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rPr>
          <w:rFonts w:ascii="仿宋_GB2312" w:hAnsi="仿宋_GB2312" w:eastAsia="仿宋_GB2312" w:cs="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方正小标宋_GBK" w:eastAsia="方正小标宋_GBK"/>
          <w:sz w:val="72"/>
          <w:szCs w:val="72"/>
        </w:rPr>
      </w:pPr>
      <w:r>
        <w:rPr>
          <w:rFonts w:hint="eastAsia" w:ascii="方正小标宋_GBK" w:eastAsia="方正小标宋_GBK"/>
          <w:sz w:val="72"/>
          <w:szCs w:val="72"/>
        </w:rPr>
        <w:t>建设项目环境影响报告表</w:t>
      </w:r>
    </w:p>
    <w:p>
      <w:pPr>
        <w:jc w:val="center"/>
        <w:rPr>
          <w:rFonts w:ascii="楷体_GB2312" w:eastAsia="楷体_GB2312"/>
          <w:sz w:val="48"/>
          <w:szCs w:val="48"/>
        </w:rPr>
      </w:pPr>
      <w:r>
        <w:rPr>
          <w:rFonts w:hint="eastAsia" w:ascii="楷体_GB2312" w:eastAsia="楷体_GB2312"/>
          <w:sz w:val="48"/>
          <w:szCs w:val="48"/>
        </w:rPr>
        <w:t>（污染影响类）</w:t>
      </w:r>
    </w:p>
    <w:p>
      <w:pPr>
        <w:ind w:firstLine="1040"/>
        <w:jc w:val="center"/>
        <w:rPr>
          <w:rFonts w:eastAsia="仿宋"/>
          <w:sz w:val="52"/>
          <w:szCs w:val="52"/>
        </w:rPr>
      </w:pPr>
    </w:p>
    <w:p>
      <w:pPr>
        <w:ind w:firstLine="880"/>
        <w:rPr>
          <w:rFonts w:eastAsia="仿宋"/>
          <w:sz w:val="44"/>
          <w:szCs w:val="44"/>
        </w:rPr>
      </w:pPr>
    </w:p>
    <w:p>
      <w:pPr>
        <w:ind w:firstLine="880"/>
        <w:rPr>
          <w:rFonts w:eastAsia="仿宋"/>
          <w:sz w:val="44"/>
          <w:szCs w:val="44"/>
        </w:rPr>
      </w:pPr>
    </w:p>
    <w:p>
      <w:pPr>
        <w:ind w:firstLine="880"/>
        <w:rPr>
          <w:rFonts w:eastAsia="仿宋"/>
          <w:sz w:val="44"/>
          <w:szCs w:val="44"/>
        </w:rPr>
      </w:pPr>
    </w:p>
    <w:p>
      <w:pPr>
        <w:ind w:firstLine="880"/>
        <w:rPr>
          <w:rFonts w:eastAsia="仿宋"/>
          <w:sz w:val="44"/>
          <w:szCs w:val="44"/>
        </w:rPr>
      </w:pPr>
    </w:p>
    <w:p>
      <w:pPr>
        <w:rPr>
          <w:rFonts w:ascii="仿宋_GB2312" w:eastAsia="仿宋_GB2312"/>
          <w:sz w:val="36"/>
          <w:szCs w:val="36"/>
          <w:u w:val="single"/>
        </w:rPr>
      </w:pPr>
      <w:r>
        <w:rPr>
          <w:rFonts w:hint="eastAsia" w:ascii="仿宋_GB2312" w:eastAsia="仿宋_GB2312"/>
          <w:sz w:val="36"/>
          <w:szCs w:val="36"/>
        </w:rPr>
        <w:t>项目名称：</w:t>
      </w:r>
      <w:r>
        <w:rPr>
          <w:rFonts w:hint="eastAsia" w:ascii="仿宋_GB2312" w:eastAsia="仿宋_GB2312"/>
          <w:sz w:val="36"/>
          <w:szCs w:val="36"/>
          <w:u w:val="single"/>
        </w:rPr>
        <w:t xml:space="preserve">  精装健康食品生产基地项目           </w:t>
      </w:r>
    </w:p>
    <w:p>
      <w:pPr>
        <w:rPr>
          <w:rFonts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spacing w:val="-16"/>
          <w:sz w:val="36"/>
          <w:szCs w:val="36"/>
          <w:u w:val="single"/>
        </w:rPr>
        <w:t xml:space="preserve">常德水井巷食品有限公司            </w:t>
      </w:r>
    </w:p>
    <w:p>
      <w:pPr>
        <w:rPr>
          <w:rFonts w:ascii="仿宋_GB2312" w:eastAsia="仿宋_GB2312"/>
          <w:sz w:val="36"/>
          <w:szCs w:val="36"/>
        </w:rPr>
      </w:pPr>
      <w:r>
        <w:rPr>
          <w:rFonts w:hint="eastAsia" w:ascii="仿宋_GB2312" w:eastAsia="仿宋_GB2312"/>
          <w:sz w:val="36"/>
          <w:szCs w:val="36"/>
        </w:rPr>
        <w:t>编制日期：</w:t>
      </w:r>
      <w:r>
        <w:rPr>
          <w:rFonts w:hint="eastAsia" w:ascii="仿宋_GB2312" w:eastAsia="仿宋_GB2312"/>
          <w:sz w:val="36"/>
          <w:szCs w:val="36"/>
          <w:u w:val="single"/>
        </w:rPr>
        <w:t xml:space="preserve">              2023年8月             </w:t>
      </w:r>
    </w:p>
    <w:p>
      <w:pPr>
        <w:ind w:firstLine="540" w:firstLineChars="150"/>
        <w:jc w:val="center"/>
        <w:rPr>
          <w:rFonts w:ascii="楷体_GB2312" w:eastAsia="楷体_GB2312"/>
          <w:sz w:val="36"/>
          <w:szCs w:val="36"/>
        </w:rPr>
      </w:pPr>
    </w:p>
    <w:p>
      <w:pPr>
        <w:ind w:firstLine="540" w:firstLineChars="150"/>
        <w:jc w:val="center"/>
        <w:rPr>
          <w:rFonts w:ascii="楷体_GB2312" w:eastAsia="楷体_GB2312"/>
          <w:sz w:val="36"/>
          <w:szCs w:val="36"/>
        </w:rPr>
      </w:pPr>
    </w:p>
    <w:p>
      <w:pPr>
        <w:ind w:firstLine="540" w:firstLineChars="150"/>
        <w:jc w:val="center"/>
        <w:rPr>
          <w:rFonts w:ascii="楷体_GB2312" w:eastAsia="楷体_GB2312"/>
          <w:sz w:val="36"/>
          <w:szCs w:val="36"/>
        </w:rPr>
      </w:pPr>
    </w:p>
    <w:p>
      <w:pPr>
        <w:ind w:firstLine="540" w:firstLineChars="150"/>
        <w:jc w:val="center"/>
        <w:rPr>
          <w:rFonts w:ascii="楷体_GB2312" w:eastAsia="楷体_GB2312"/>
          <w:sz w:val="36"/>
          <w:szCs w:val="36"/>
        </w:rPr>
      </w:pPr>
    </w:p>
    <w:p>
      <w:pPr>
        <w:ind w:firstLine="540" w:firstLineChars="150"/>
        <w:jc w:val="center"/>
      </w:pPr>
      <w:r>
        <w:rPr>
          <w:rFonts w:hint="eastAsia" w:ascii="楷体_GB2312" w:eastAsia="楷体_GB2312"/>
          <w:sz w:val="36"/>
          <w:szCs w:val="36"/>
        </w:rPr>
        <w:t>中华人民共和国生态环境部制</w:t>
      </w:r>
    </w:p>
    <w:p>
      <w:pPr>
        <w:pStyle w:val="3"/>
        <w:jc w:val="center"/>
        <w:rPr>
          <w:rFonts w:ascii="黑体" w:hAnsi="黑体" w:eastAsia="黑体"/>
          <w:b w:val="0"/>
          <w:bCs w:val="0"/>
          <w:color w:val="FF0000"/>
          <w:sz w:val="30"/>
          <w:szCs w:val="30"/>
        </w:rPr>
        <w:sectPr>
          <w:headerReference r:id="rId3" w:type="default"/>
          <w:footerReference r:id="rId4" w:type="default"/>
          <w:pgSz w:w="11906" w:h="16838"/>
          <w:pgMar w:top="1418" w:right="1588" w:bottom="1418" w:left="1588" w:header="851" w:footer="992" w:gutter="0"/>
          <w:pgNumType w:fmt="numberInDash" w:start="1"/>
          <w:cols w:space="425" w:num="1"/>
          <w:docGrid w:type="lines" w:linePitch="326" w:charSpace="0"/>
        </w:sectPr>
      </w:pPr>
    </w:p>
    <w:sdt>
      <w:sdtPr>
        <w:rPr>
          <w:rFonts w:ascii="Times New Roman" w:hAnsi="Times New Roman" w:eastAsia="宋体" w:cs="Times New Roman"/>
          <w:b w:val="0"/>
          <w:bCs w:val="0"/>
          <w:color w:val="FF0000"/>
          <w:kern w:val="2"/>
          <w:sz w:val="24"/>
          <w:szCs w:val="22"/>
          <w:lang w:val="zh-CN"/>
        </w:rPr>
        <w:id w:val="27327231"/>
        <w:docPartObj>
          <w:docPartGallery w:val="Table of Contents"/>
          <w:docPartUnique/>
        </w:docPartObj>
      </w:sdtPr>
      <w:sdtEndPr>
        <w:rPr>
          <w:rFonts w:ascii="Times New Roman" w:hAnsi="Times New Roman" w:eastAsia="宋体" w:cs="Times New Roman"/>
          <w:b w:val="0"/>
          <w:bCs w:val="0"/>
          <w:color w:val="FF0000"/>
          <w:kern w:val="2"/>
          <w:sz w:val="21"/>
          <w:szCs w:val="21"/>
          <w:lang w:val="en-US"/>
        </w:rPr>
      </w:sdtEndPr>
      <w:sdtContent>
        <w:p>
          <w:pPr>
            <w:pStyle w:val="49"/>
            <w:jc w:val="center"/>
            <w:rPr>
              <w:color w:val="auto"/>
              <w:sz w:val="24"/>
              <w:szCs w:val="24"/>
            </w:rPr>
          </w:pPr>
          <w:r>
            <w:rPr>
              <w:color w:val="auto"/>
              <w:sz w:val="24"/>
              <w:szCs w:val="24"/>
              <w:lang w:val="zh-CN"/>
            </w:rPr>
            <w:t>目</w:t>
          </w:r>
          <w:r>
            <w:rPr>
              <w:rFonts w:hint="eastAsia"/>
              <w:color w:val="auto"/>
              <w:sz w:val="24"/>
              <w:szCs w:val="24"/>
              <w:lang w:val="zh-CN"/>
            </w:rPr>
            <w:t xml:space="preserve">  </w:t>
          </w:r>
          <w:r>
            <w:rPr>
              <w:color w:val="auto"/>
              <w:sz w:val="24"/>
              <w:szCs w:val="24"/>
              <w:lang w:val="zh-CN"/>
            </w:rPr>
            <w:t>录</w:t>
          </w:r>
        </w:p>
        <w:p>
          <w:pPr>
            <w:pStyle w:val="14"/>
            <w:tabs>
              <w:tab w:val="right" w:leader="dot" w:pos="8720"/>
            </w:tabs>
            <w:ind w:firstLine="480"/>
            <w:rPr>
              <w:rFonts w:asciiTheme="minorHAnsi" w:hAnsiTheme="minorHAnsi" w:eastAsiaTheme="minorEastAsia" w:cstheme="minorBidi"/>
              <w:szCs w:val="24"/>
            </w:rPr>
          </w:pPr>
          <w:r>
            <w:rPr>
              <w:szCs w:val="24"/>
            </w:rPr>
            <w:fldChar w:fldCharType="begin"/>
          </w:r>
          <w:r>
            <w:rPr>
              <w:szCs w:val="24"/>
            </w:rPr>
            <w:instrText xml:space="preserve"> TOC \o "1-3" \h \z \u </w:instrText>
          </w:r>
          <w:r>
            <w:rPr>
              <w:szCs w:val="24"/>
            </w:rPr>
            <w:fldChar w:fldCharType="separate"/>
          </w:r>
          <w:r>
            <w:fldChar w:fldCharType="begin"/>
          </w:r>
          <w:r>
            <w:instrText xml:space="preserve"> HYPERLINK \l "_Toc100330842" </w:instrText>
          </w:r>
          <w:r>
            <w:fldChar w:fldCharType="separate"/>
          </w:r>
          <w:r>
            <w:rPr>
              <w:rStyle w:val="21"/>
              <w:rFonts w:hint="eastAsia" w:ascii="黑体" w:hAnsi="黑体" w:eastAsia="黑体"/>
              <w:color w:val="auto"/>
              <w:szCs w:val="24"/>
            </w:rPr>
            <w:t>一、建设项目基本情况</w:t>
          </w:r>
          <w:r>
            <w:rPr>
              <w:szCs w:val="24"/>
            </w:rPr>
            <w:tab/>
          </w:r>
          <w:r>
            <w:rPr>
              <w:szCs w:val="24"/>
            </w:rPr>
            <w:fldChar w:fldCharType="begin"/>
          </w:r>
          <w:r>
            <w:rPr>
              <w:szCs w:val="24"/>
            </w:rPr>
            <w:instrText xml:space="preserve"> PAGEREF _Toc100330842 \h </w:instrText>
          </w:r>
          <w:r>
            <w:rPr>
              <w:szCs w:val="24"/>
            </w:rPr>
            <w:fldChar w:fldCharType="separate"/>
          </w:r>
          <w:r>
            <w:rPr>
              <w:szCs w:val="24"/>
            </w:rPr>
            <w:t>- 1 -</w:t>
          </w:r>
          <w:r>
            <w:rPr>
              <w:szCs w:val="24"/>
            </w:rPr>
            <w:fldChar w:fldCharType="end"/>
          </w:r>
          <w:r>
            <w:rPr>
              <w:szCs w:val="24"/>
            </w:rPr>
            <w:fldChar w:fldCharType="end"/>
          </w:r>
        </w:p>
        <w:p>
          <w:pPr>
            <w:pStyle w:val="14"/>
            <w:tabs>
              <w:tab w:val="right" w:leader="dot" w:pos="8720"/>
            </w:tabs>
            <w:ind w:firstLine="480"/>
            <w:rPr>
              <w:rFonts w:asciiTheme="minorHAnsi" w:hAnsiTheme="minorHAnsi" w:eastAsiaTheme="minorEastAsia" w:cstheme="minorBidi"/>
              <w:szCs w:val="24"/>
            </w:rPr>
          </w:pPr>
          <w:r>
            <w:fldChar w:fldCharType="begin"/>
          </w:r>
          <w:r>
            <w:instrText xml:space="preserve"> HYPERLINK \l "_Toc100330843" </w:instrText>
          </w:r>
          <w:r>
            <w:fldChar w:fldCharType="separate"/>
          </w:r>
          <w:r>
            <w:rPr>
              <w:rStyle w:val="21"/>
              <w:rFonts w:hint="eastAsia" w:ascii="黑体" w:hAnsi="黑体" w:eastAsia="黑体"/>
              <w:color w:val="auto"/>
              <w:szCs w:val="24"/>
            </w:rPr>
            <w:t>二、建设项目工程分析</w:t>
          </w:r>
          <w:r>
            <w:rPr>
              <w:szCs w:val="24"/>
            </w:rPr>
            <w:tab/>
          </w:r>
          <w:r>
            <w:rPr>
              <w:szCs w:val="24"/>
            </w:rPr>
            <w:fldChar w:fldCharType="begin"/>
          </w:r>
          <w:r>
            <w:rPr>
              <w:szCs w:val="24"/>
            </w:rPr>
            <w:instrText xml:space="preserve"> PAGEREF _Toc100330843 \h </w:instrText>
          </w:r>
          <w:r>
            <w:rPr>
              <w:szCs w:val="24"/>
            </w:rPr>
            <w:fldChar w:fldCharType="separate"/>
          </w:r>
          <w:r>
            <w:rPr>
              <w:szCs w:val="24"/>
            </w:rPr>
            <w:t>- 7 -</w:t>
          </w:r>
          <w:r>
            <w:rPr>
              <w:szCs w:val="24"/>
            </w:rPr>
            <w:fldChar w:fldCharType="end"/>
          </w:r>
          <w:r>
            <w:rPr>
              <w:szCs w:val="24"/>
            </w:rPr>
            <w:fldChar w:fldCharType="end"/>
          </w:r>
        </w:p>
        <w:p>
          <w:pPr>
            <w:pStyle w:val="14"/>
            <w:tabs>
              <w:tab w:val="right" w:leader="dot" w:pos="8720"/>
            </w:tabs>
            <w:ind w:firstLine="480"/>
            <w:rPr>
              <w:rFonts w:asciiTheme="minorHAnsi" w:hAnsiTheme="minorHAnsi" w:eastAsiaTheme="minorEastAsia" w:cstheme="minorBidi"/>
              <w:szCs w:val="24"/>
            </w:rPr>
          </w:pPr>
          <w:r>
            <w:fldChar w:fldCharType="begin"/>
          </w:r>
          <w:r>
            <w:instrText xml:space="preserve"> HYPERLINK \l "_Toc100330844" </w:instrText>
          </w:r>
          <w:r>
            <w:fldChar w:fldCharType="separate"/>
          </w:r>
          <w:r>
            <w:rPr>
              <w:rStyle w:val="21"/>
              <w:rFonts w:hint="eastAsia" w:ascii="黑体" w:hAnsi="黑体" w:eastAsia="黑体"/>
              <w:color w:val="auto"/>
              <w:szCs w:val="24"/>
            </w:rPr>
            <w:t>三、区域环境质量现状、环境保护目标及评价标准</w:t>
          </w:r>
          <w:r>
            <w:rPr>
              <w:szCs w:val="24"/>
            </w:rPr>
            <w:tab/>
          </w:r>
          <w:r>
            <w:rPr>
              <w:szCs w:val="24"/>
            </w:rPr>
            <w:fldChar w:fldCharType="begin"/>
          </w:r>
          <w:r>
            <w:rPr>
              <w:szCs w:val="24"/>
            </w:rPr>
            <w:instrText xml:space="preserve"> PAGEREF _Toc100330844 \h </w:instrText>
          </w:r>
          <w:r>
            <w:rPr>
              <w:szCs w:val="24"/>
            </w:rPr>
            <w:fldChar w:fldCharType="separate"/>
          </w:r>
          <w:r>
            <w:rPr>
              <w:szCs w:val="24"/>
            </w:rPr>
            <w:t>- 14 -</w:t>
          </w:r>
          <w:r>
            <w:rPr>
              <w:szCs w:val="24"/>
            </w:rPr>
            <w:fldChar w:fldCharType="end"/>
          </w:r>
          <w:r>
            <w:rPr>
              <w:szCs w:val="24"/>
            </w:rPr>
            <w:fldChar w:fldCharType="end"/>
          </w:r>
        </w:p>
        <w:p>
          <w:pPr>
            <w:pStyle w:val="14"/>
            <w:tabs>
              <w:tab w:val="right" w:leader="dot" w:pos="8720"/>
            </w:tabs>
            <w:ind w:firstLine="480"/>
            <w:rPr>
              <w:rFonts w:asciiTheme="minorHAnsi" w:hAnsiTheme="minorHAnsi" w:eastAsiaTheme="minorEastAsia" w:cstheme="minorBidi"/>
              <w:szCs w:val="24"/>
            </w:rPr>
          </w:pPr>
          <w:r>
            <w:fldChar w:fldCharType="begin"/>
          </w:r>
          <w:r>
            <w:instrText xml:space="preserve"> HYPERLINK \l "_Toc100330845" </w:instrText>
          </w:r>
          <w:r>
            <w:fldChar w:fldCharType="separate"/>
          </w:r>
          <w:r>
            <w:rPr>
              <w:rStyle w:val="21"/>
              <w:rFonts w:hint="eastAsia" w:ascii="黑体" w:hAnsi="黑体" w:eastAsia="黑体"/>
              <w:color w:val="auto"/>
              <w:szCs w:val="24"/>
            </w:rPr>
            <w:t>四、主要环境影响和保护措施</w:t>
          </w:r>
          <w:r>
            <w:rPr>
              <w:szCs w:val="24"/>
            </w:rPr>
            <w:tab/>
          </w:r>
          <w:r>
            <w:rPr>
              <w:szCs w:val="24"/>
            </w:rPr>
            <w:fldChar w:fldCharType="begin"/>
          </w:r>
          <w:r>
            <w:rPr>
              <w:szCs w:val="24"/>
            </w:rPr>
            <w:instrText xml:space="preserve"> PAGEREF _Toc100330845 \h </w:instrText>
          </w:r>
          <w:r>
            <w:rPr>
              <w:szCs w:val="24"/>
            </w:rPr>
            <w:fldChar w:fldCharType="separate"/>
          </w:r>
          <w:r>
            <w:rPr>
              <w:szCs w:val="24"/>
            </w:rPr>
            <w:t>- 19 -</w:t>
          </w:r>
          <w:r>
            <w:rPr>
              <w:szCs w:val="24"/>
            </w:rPr>
            <w:fldChar w:fldCharType="end"/>
          </w:r>
          <w:r>
            <w:rPr>
              <w:szCs w:val="24"/>
            </w:rPr>
            <w:fldChar w:fldCharType="end"/>
          </w:r>
        </w:p>
        <w:p>
          <w:pPr>
            <w:pStyle w:val="14"/>
            <w:tabs>
              <w:tab w:val="right" w:leader="dot" w:pos="8720"/>
            </w:tabs>
            <w:ind w:firstLine="480"/>
            <w:rPr>
              <w:rFonts w:asciiTheme="minorHAnsi" w:hAnsiTheme="minorHAnsi" w:eastAsiaTheme="minorEastAsia" w:cstheme="minorBidi"/>
              <w:szCs w:val="24"/>
            </w:rPr>
          </w:pPr>
          <w:r>
            <w:fldChar w:fldCharType="begin"/>
          </w:r>
          <w:r>
            <w:instrText xml:space="preserve"> HYPERLINK \l "_Toc100330846" </w:instrText>
          </w:r>
          <w:r>
            <w:fldChar w:fldCharType="separate"/>
          </w:r>
          <w:r>
            <w:rPr>
              <w:rStyle w:val="21"/>
              <w:rFonts w:hint="eastAsia" w:ascii="黑体" w:hAnsi="黑体" w:eastAsia="黑体"/>
              <w:color w:val="auto"/>
              <w:szCs w:val="24"/>
            </w:rPr>
            <w:t>五、环境保护措施监督检查清单</w:t>
          </w:r>
          <w:r>
            <w:rPr>
              <w:szCs w:val="24"/>
            </w:rPr>
            <w:tab/>
          </w:r>
          <w:r>
            <w:rPr>
              <w:szCs w:val="24"/>
            </w:rPr>
            <w:fldChar w:fldCharType="begin"/>
          </w:r>
          <w:r>
            <w:rPr>
              <w:szCs w:val="24"/>
            </w:rPr>
            <w:instrText xml:space="preserve"> PAGEREF _Toc100330846 \h </w:instrText>
          </w:r>
          <w:r>
            <w:rPr>
              <w:szCs w:val="24"/>
            </w:rPr>
            <w:fldChar w:fldCharType="separate"/>
          </w:r>
          <w:r>
            <w:rPr>
              <w:szCs w:val="24"/>
            </w:rPr>
            <w:t>- 36 -</w:t>
          </w:r>
          <w:r>
            <w:rPr>
              <w:szCs w:val="24"/>
            </w:rPr>
            <w:fldChar w:fldCharType="end"/>
          </w:r>
          <w:r>
            <w:rPr>
              <w:szCs w:val="24"/>
            </w:rPr>
            <w:fldChar w:fldCharType="end"/>
          </w:r>
        </w:p>
        <w:p>
          <w:pPr>
            <w:pStyle w:val="14"/>
            <w:tabs>
              <w:tab w:val="right" w:leader="dot" w:pos="8720"/>
            </w:tabs>
            <w:ind w:firstLine="480"/>
            <w:rPr>
              <w:rFonts w:asciiTheme="minorHAnsi" w:hAnsiTheme="minorHAnsi" w:eastAsiaTheme="minorEastAsia" w:cstheme="minorBidi"/>
              <w:szCs w:val="24"/>
            </w:rPr>
          </w:pPr>
          <w:r>
            <w:fldChar w:fldCharType="begin"/>
          </w:r>
          <w:r>
            <w:instrText xml:space="preserve"> HYPERLINK \l "_Toc100330847" </w:instrText>
          </w:r>
          <w:r>
            <w:fldChar w:fldCharType="separate"/>
          </w:r>
          <w:r>
            <w:rPr>
              <w:rStyle w:val="21"/>
              <w:rFonts w:hint="eastAsia" w:ascii="黑体" w:hAnsi="黑体" w:eastAsia="黑体"/>
              <w:color w:val="auto"/>
              <w:szCs w:val="24"/>
            </w:rPr>
            <w:t>六、结论</w:t>
          </w:r>
          <w:r>
            <w:rPr>
              <w:szCs w:val="24"/>
            </w:rPr>
            <w:tab/>
          </w:r>
          <w:r>
            <w:rPr>
              <w:szCs w:val="24"/>
            </w:rPr>
            <w:fldChar w:fldCharType="begin"/>
          </w:r>
          <w:r>
            <w:rPr>
              <w:szCs w:val="24"/>
            </w:rPr>
            <w:instrText xml:space="preserve"> PAGEREF _Toc100330847 \h </w:instrText>
          </w:r>
          <w:r>
            <w:rPr>
              <w:szCs w:val="24"/>
            </w:rPr>
            <w:fldChar w:fldCharType="separate"/>
          </w:r>
          <w:r>
            <w:rPr>
              <w:szCs w:val="24"/>
            </w:rPr>
            <w:t>- 39 -</w:t>
          </w:r>
          <w:r>
            <w:rPr>
              <w:szCs w:val="24"/>
            </w:rPr>
            <w:fldChar w:fldCharType="end"/>
          </w:r>
          <w:r>
            <w:rPr>
              <w:szCs w:val="24"/>
            </w:rPr>
            <w:fldChar w:fldCharType="end"/>
          </w:r>
        </w:p>
        <w:p>
          <w:pPr>
            <w:pStyle w:val="14"/>
            <w:tabs>
              <w:tab w:val="right" w:leader="dot" w:pos="8720"/>
            </w:tabs>
            <w:ind w:firstLine="480"/>
            <w:rPr>
              <w:rFonts w:asciiTheme="minorHAnsi" w:hAnsiTheme="minorHAnsi" w:eastAsiaTheme="minorEastAsia" w:cstheme="minorBidi"/>
              <w:szCs w:val="24"/>
            </w:rPr>
          </w:pPr>
          <w:r>
            <w:fldChar w:fldCharType="begin"/>
          </w:r>
          <w:r>
            <w:instrText xml:space="preserve"> HYPERLINK \l "_Toc100330848" </w:instrText>
          </w:r>
          <w:r>
            <w:fldChar w:fldCharType="separate"/>
          </w:r>
          <w:r>
            <w:rPr>
              <w:rStyle w:val="21"/>
              <w:rFonts w:hint="eastAsia" w:ascii="黑体" w:hAnsi="黑体" w:eastAsia="黑体"/>
              <w:color w:val="auto"/>
              <w:szCs w:val="24"/>
            </w:rPr>
            <w:t>本工程大气污染物排放基本情况一览表</w:t>
          </w:r>
          <w:r>
            <w:rPr>
              <w:szCs w:val="24"/>
            </w:rPr>
            <w:tab/>
          </w:r>
          <w:r>
            <w:rPr>
              <w:szCs w:val="24"/>
            </w:rPr>
            <w:fldChar w:fldCharType="begin"/>
          </w:r>
          <w:r>
            <w:rPr>
              <w:szCs w:val="24"/>
            </w:rPr>
            <w:instrText xml:space="preserve"> PAGEREF _Toc100330848 \h </w:instrText>
          </w:r>
          <w:r>
            <w:rPr>
              <w:szCs w:val="24"/>
            </w:rPr>
            <w:fldChar w:fldCharType="separate"/>
          </w:r>
          <w:r>
            <w:rPr>
              <w:szCs w:val="24"/>
            </w:rPr>
            <w:t>- 40 -</w:t>
          </w:r>
          <w:r>
            <w:rPr>
              <w:szCs w:val="24"/>
            </w:rPr>
            <w:fldChar w:fldCharType="end"/>
          </w:r>
          <w:r>
            <w:rPr>
              <w:szCs w:val="24"/>
            </w:rPr>
            <w:fldChar w:fldCharType="end"/>
          </w:r>
        </w:p>
        <w:p>
          <w:pPr>
            <w:pStyle w:val="14"/>
            <w:tabs>
              <w:tab w:val="right" w:leader="dot" w:pos="8720"/>
            </w:tabs>
            <w:ind w:firstLine="480"/>
            <w:rPr>
              <w:rFonts w:asciiTheme="minorHAnsi" w:hAnsiTheme="minorHAnsi" w:eastAsiaTheme="minorEastAsia" w:cstheme="minorBidi"/>
              <w:szCs w:val="24"/>
            </w:rPr>
          </w:pPr>
          <w:r>
            <w:fldChar w:fldCharType="begin"/>
          </w:r>
          <w:r>
            <w:instrText xml:space="preserve"> HYPERLINK \l "_Toc100330849" </w:instrText>
          </w:r>
          <w:r>
            <w:fldChar w:fldCharType="separate"/>
          </w:r>
          <w:r>
            <w:rPr>
              <w:rStyle w:val="21"/>
              <w:rFonts w:hint="eastAsia" w:ascii="黑体" w:hAnsi="黑体" w:eastAsia="黑体"/>
              <w:color w:val="auto"/>
              <w:szCs w:val="24"/>
            </w:rPr>
            <w:t>本工程废水污染物排放基本情况一览表</w:t>
          </w:r>
          <w:r>
            <w:rPr>
              <w:szCs w:val="24"/>
            </w:rPr>
            <w:tab/>
          </w:r>
          <w:r>
            <w:rPr>
              <w:szCs w:val="24"/>
            </w:rPr>
            <w:fldChar w:fldCharType="begin"/>
          </w:r>
          <w:r>
            <w:rPr>
              <w:szCs w:val="24"/>
            </w:rPr>
            <w:instrText xml:space="preserve"> PAGEREF _Toc100330849 \h </w:instrText>
          </w:r>
          <w:r>
            <w:rPr>
              <w:szCs w:val="24"/>
            </w:rPr>
            <w:fldChar w:fldCharType="separate"/>
          </w:r>
          <w:r>
            <w:rPr>
              <w:szCs w:val="24"/>
            </w:rPr>
            <w:t>- 41 -</w:t>
          </w:r>
          <w:r>
            <w:rPr>
              <w:szCs w:val="24"/>
            </w:rPr>
            <w:fldChar w:fldCharType="end"/>
          </w:r>
          <w:r>
            <w:rPr>
              <w:szCs w:val="24"/>
            </w:rPr>
            <w:fldChar w:fldCharType="end"/>
          </w:r>
        </w:p>
        <w:p>
          <w:pPr>
            <w:pStyle w:val="14"/>
            <w:tabs>
              <w:tab w:val="right" w:leader="dot" w:pos="8720"/>
            </w:tabs>
            <w:ind w:firstLine="480"/>
            <w:rPr>
              <w:rFonts w:asciiTheme="minorHAnsi" w:hAnsiTheme="minorHAnsi" w:eastAsiaTheme="minorEastAsia" w:cstheme="minorBidi"/>
              <w:szCs w:val="24"/>
            </w:rPr>
          </w:pPr>
          <w:r>
            <w:fldChar w:fldCharType="begin"/>
          </w:r>
          <w:r>
            <w:instrText xml:space="preserve"> HYPERLINK \l "_Toc100330850" </w:instrText>
          </w:r>
          <w:r>
            <w:fldChar w:fldCharType="separate"/>
          </w:r>
          <w:r>
            <w:rPr>
              <w:rStyle w:val="21"/>
              <w:rFonts w:hint="eastAsia" w:ascii="黑体" w:hAnsi="黑体" w:eastAsia="黑体"/>
              <w:color w:val="auto"/>
              <w:szCs w:val="24"/>
            </w:rPr>
            <w:t>附表</w:t>
          </w:r>
          <w:r>
            <w:rPr>
              <w:szCs w:val="24"/>
            </w:rPr>
            <w:tab/>
          </w:r>
          <w:r>
            <w:rPr>
              <w:szCs w:val="24"/>
            </w:rPr>
            <w:fldChar w:fldCharType="begin"/>
          </w:r>
          <w:r>
            <w:rPr>
              <w:szCs w:val="24"/>
            </w:rPr>
            <w:instrText xml:space="preserve"> PAGEREF _Toc100330850 \h </w:instrText>
          </w:r>
          <w:r>
            <w:rPr>
              <w:szCs w:val="24"/>
            </w:rPr>
            <w:fldChar w:fldCharType="separate"/>
          </w:r>
          <w:r>
            <w:rPr>
              <w:szCs w:val="24"/>
            </w:rPr>
            <w:t>- 42 -</w:t>
          </w:r>
          <w:r>
            <w:rPr>
              <w:szCs w:val="24"/>
            </w:rPr>
            <w:fldChar w:fldCharType="end"/>
          </w:r>
          <w:r>
            <w:rPr>
              <w:szCs w:val="24"/>
            </w:rPr>
            <w:fldChar w:fldCharType="end"/>
          </w:r>
        </w:p>
        <w:p>
          <w:pPr>
            <w:ind w:firstLine="480"/>
            <w:rPr>
              <w:rFonts w:ascii="黑体" w:hAnsi="黑体" w:eastAsia="黑体"/>
              <w:b w:val="0"/>
              <w:bCs w:val="0"/>
              <w:color w:val="FF0000"/>
              <w:sz w:val="30"/>
              <w:szCs w:val="30"/>
            </w:rPr>
            <w:sectPr>
              <w:footerReference r:id="rId5" w:type="default"/>
              <w:pgSz w:w="11906" w:h="16838"/>
              <w:pgMar w:top="1418" w:right="1588" w:bottom="1418" w:left="1588" w:header="851" w:footer="992" w:gutter="0"/>
              <w:pgNumType w:fmt="numberInDash" w:start="1"/>
              <w:cols w:space="425" w:num="1"/>
              <w:docGrid w:type="lines" w:linePitch="326" w:charSpace="0"/>
            </w:sectPr>
          </w:pPr>
          <w:r>
            <w:rPr>
              <w:szCs w:val="24"/>
            </w:rPr>
            <w:fldChar w:fldCharType="end"/>
          </w:r>
        </w:p>
      </w:sdtContent>
    </w:sdt>
    <w:p>
      <w:pPr>
        <w:pStyle w:val="3"/>
        <w:jc w:val="center"/>
        <w:rPr>
          <w:rFonts w:ascii="黑体" w:hAnsi="黑体" w:eastAsia="黑体"/>
          <w:b w:val="0"/>
          <w:bCs w:val="0"/>
          <w:sz w:val="30"/>
          <w:szCs w:val="30"/>
        </w:rPr>
      </w:pPr>
      <w:bookmarkStart w:id="0" w:name="_Toc100330842"/>
      <w:bookmarkStart w:id="9" w:name="_GoBack"/>
      <w:bookmarkEnd w:id="9"/>
      <w:r>
        <w:rPr>
          <w:rFonts w:hint="eastAsia" w:ascii="黑体" w:hAnsi="黑体" w:eastAsia="黑体"/>
          <w:b w:val="0"/>
          <w:bCs w:val="0"/>
          <w:sz w:val="30"/>
          <w:szCs w:val="30"/>
        </w:rPr>
        <w:t>一、建设项目基本情况</w:t>
      </w:r>
      <w:bookmarkEnd w:id="0"/>
    </w:p>
    <w:tbl>
      <w:tblPr>
        <w:tblStyle w:val="19"/>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2200"/>
        <w:gridCol w:w="196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5" w:type="dxa"/>
            <w:vAlign w:val="center"/>
          </w:tcPr>
          <w:p>
            <w:pPr>
              <w:jc w:val="center"/>
            </w:pPr>
            <w:r>
              <w:t>建设项目名称</w:t>
            </w:r>
          </w:p>
        </w:tc>
        <w:tc>
          <w:tcPr>
            <w:tcW w:w="6998" w:type="dxa"/>
            <w:gridSpan w:val="3"/>
            <w:vAlign w:val="center"/>
          </w:tcPr>
          <w:p>
            <w:pPr>
              <w:jc w:val="center"/>
            </w:pPr>
            <w:r>
              <w:rPr>
                <w:rFonts w:hint="eastAsia"/>
              </w:rPr>
              <w:t>精装健康食品生产基地项目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5" w:type="dxa"/>
            <w:vAlign w:val="center"/>
          </w:tcPr>
          <w:p>
            <w:pPr>
              <w:jc w:val="center"/>
            </w:pPr>
            <w:r>
              <w:t>项目代码</w:t>
            </w:r>
          </w:p>
        </w:tc>
        <w:tc>
          <w:tcPr>
            <w:tcW w:w="6998" w:type="dxa"/>
            <w:gridSpan w:val="3"/>
            <w:vAlign w:val="center"/>
          </w:tcPr>
          <w:p>
            <w:pPr>
              <w:jc w:val="center"/>
            </w:pPr>
            <w:r>
              <w:rPr>
                <w:rFonts w:hint="eastAsia"/>
              </w:rPr>
              <w:t>2207-430700-04-01-603028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5" w:type="dxa"/>
            <w:vAlign w:val="center"/>
          </w:tcPr>
          <w:p>
            <w:pPr>
              <w:jc w:val="center"/>
            </w:pPr>
            <w:r>
              <w:t>建设单位联系人</w:t>
            </w:r>
          </w:p>
        </w:tc>
        <w:tc>
          <w:tcPr>
            <w:tcW w:w="2200" w:type="dxa"/>
            <w:vAlign w:val="center"/>
          </w:tcPr>
          <w:p>
            <w:pPr>
              <w:jc w:val="center"/>
            </w:pPr>
            <w:r>
              <w:rPr>
                <w:rFonts w:hint="eastAsia"/>
              </w:rPr>
              <w:t>林朝阳</w:t>
            </w:r>
          </w:p>
        </w:tc>
        <w:tc>
          <w:tcPr>
            <w:tcW w:w="1963" w:type="dxa"/>
            <w:vAlign w:val="center"/>
          </w:tcPr>
          <w:p>
            <w:pPr>
              <w:jc w:val="center"/>
            </w:pPr>
            <w:r>
              <w:t>联系方式</w:t>
            </w:r>
          </w:p>
        </w:tc>
        <w:tc>
          <w:tcPr>
            <w:tcW w:w="2835" w:type="dxa"/>
            <w:vAlign w:val="center"/>
          </w:tcPr>
          <w:p>
            <w:pPr>
              <w:jc w:val="center"/>
            </w:pPr>
            <w:r>
              <w:rPr>
                <w:rFonts w:hint="eastAsia"/>
              </w:rPr>
              <w:t>13517376186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5" w:type="dxa"/>
            <w:vAlign w:val="center"/>
          </w:tcPr>
          <w:p>
            <w:pPr>
              <w:jc w:val="center"/>
            </w:pPr>
            <w:r>
              <w:t>建设地点</w:t>
            </w:r>
          </w:p>
        </w:tc>
        <w:tc>
          <w:tcPr>
            <w:tcW w:w="6998" w:type="dxa"/>
            <w:gridSpan w:val="3"/>
            <w:vAlign w:val="center"/>
          </w:tcPr>
          <w:p>
            <w:pPr>
              <w:jc w:val="center"/>
            </w:pPr>
            <w:r>
              <w:rPr>
                <w:rFonts w:hint="eastAsia"/>
              </w:rPr>
              <w:t>湖南省常德市经开区长安路以西、尚德路以南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5" w:type="dxa"/>
            <w:vAlign w:val="center"/>
          </w:tcPr>
          <w:p>
            <w:pPr>
              <w:jc w:val="center"/>
            </w:pPr>
            <w:r>
              <w:t>地理坐标</w:t>
            </w:r>
          </w:p>
        </w:tc>
        <w:tc>
          <w:tcPr>
            <w:tcW w:w="6998" w:type="dxa"/>
            <w:gridSpan w:val="3"/>
            <w:vAlign w:val="center"/>
          </w:tcPr>
          <w:p>
            <w:pPr>
              <w:jc w:val="center"/>
            </w:pPr>
            <w:r>
              <w:t>（东经111</w:t>
            </w:r>
            <w:r>
              <w:rPr>
                <w:rFonts w:hint="eastAsia"/>
              </w:rPr>
              <w:t>.702784</w:t>
            </w:r>
            <w:r>
              <w:t>，北纬2</w:t>
            </w:r>
            <w:r>
              <w:rPr>
                <w:rFonts w:hint="eastAsia"/>
              </w:rPr>
              <w:t>8.900334</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5" w:type="dxa"/>
            <w:vAlign w:val="center"/>
          </w:tcPr>
          <w:p>
            <w:pPr>
              <w:jc w:val="center"/>
            </w:pPr>
            <w:r>
              <w:t>国民经济</w:t>
            </w:r>
          </w:p>
          <w:p>
            <w:pPr>
              <w:jc w:val="center"/>
            </w:pPr>
            <w:r>
              <w:t>行业类别</w:t>
            </w:r>
          </w:p>
        </w:tc>
        <w:tc>
          <w:tcPr>
            <w:tcW w:w="2200" w:type="dxa"/>
            <w:vAlign w:val="center"/>
          </w:tcPr>
          <w:p>
            <w:pPr>
              <w:jc w:val="center"/>
            </w:pPr>
            <w:r>
              <w:rPr>
                <w:rFonts w:hint="eastAsia"/>
              </w:rPr>
              <w:t>C143方便食品制造</w:t>
            </w:r>
          </w:p>
        </w:tc>
        <w:tc>
          <w:tcPr>
            <w:tcW w:w="1963" w:type="dxa"/>
            <w:vAlign w:val="center"/>
          </w:tcPr>
          <w:p>
            <w:pPr>
              <w:jc w:val="center"/>
            </w:pPr>
            <w:r>
              <w:t>建设项目</w:t>
            </w:r>
          </w:p>
          <w:p>
            <w:pPr>
              <w:jc w:val="center"/>
            </w:pPr>
            <w:r>
              <w:t>行业类别</w:t>
            </w:r>
          </w:p>
        </w:tc>
        <w:tc>
          <w:tcPr>
            <w:tcW w:w="2835" w:type="dxa"/>
            <w:vAlign w:val="center"/>
          </w:tcPr>
          <w:p>
            <w:pPr>
              <w:jc w:val="center"/>
            </w:pPr>
            <w:r>
              <w:rPr>
                <w:rFonts w:hint="eastAsia"/>
              </w:rPr>
              <w:t>十一、食品制造业—21、方便食品制造143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5" w:type="dxa"/>
            <w:vAlign w:val="center"/>
          </w:tcPr>
          <w:p>
            <w:pPr>
              <w:jc w:val="center"/>
            </w:pPr>
            <w:r>
              <w:t>建设性质</w:t>
            </w:r>
          </w:p>
        </w:tc>
        <w:tc>
          <w:tcPr>
            <w:tcW w:w="2200" w:type="dxa"/>
            <w:vAlign w:val="center"/>
          </w:tcPr>
          <w:p>
            <w:pPr>
              <w:rPr>
                <w:rFonts w:asciiTheme="minorEastAsia" w:hAnsiTheme="minorEastAsia" w:eastAsiaTheme="minorEastAsia"/>
              </w:rPr>
            </w:pPr>
            <w:r>
              <w:rPr>
                <w:rFonts w:ascii="宋体" w:hAnsi="宋体"/>
              </w:rPr>
              <w:t>■</w:t>
            </w:r>
            <w:r>
              <w:rPr>
                <w:rFonts w:asciiTheme="minorEastAsia" w:hAnsiTheme="minorEastAsia" w:eastAsiaTheme="minorEastAsia"/>
              </w:rPr>
              <w:t>新建（迁建）</w:t>
            </w:r>
          </w:p>
          <w:p>
            <w:pPr>
              <w:rPr>
                <w:rFonts w:asciiTheme="minorEastAsia" w:hAnsiTheme="minorEastAsia" w:eastAsiaTheme="minorEastAsia"/>
              </w:rPr>
            </w:pPr>
            <w:r>
              <w:rPr>
                <w:rFonts w:asciiTheme="minorEastAsia" w:hAnsiTheme="minorEastAsia" w:eastAsiaTheme="minorEastAsia"/>
              </w:rPr>
              <w:t>□改建</w:t>
            </w:r>
          </w:p>
          <w:p>
            <w:pPr>
              <w:rPr>
                <w:rFonts w:asciiTheme="minorEastAsia" w:hAnsiTheme="minorEastAsia" w:eastAsiaTheme="minorEastAsia"/>
              </w:rPr>
            </w:pPr>
            <w:r>
              <w:rPr>
                <w:rFonts w:asciiTheme="minorEastAsia" w:hAnsiTheme="minorEastAsia" w:eastAsiaTheme="minorEastAsia"/>
              </w:rPr>
              <w:t>□扩建</w:t>
            </w:r>
          </w:p>
          <w:p>
            <w:pPr>
              <w:rPr>
                <w:rFonts w:asciiTheme="minorEastAsia" w:hAnsiTheme="minorEastAsia" w:eastAsiaTheme="minorEastAsia"/>
              </w:rPr>
            </w:pPr>
            <w:r>
              <w:rPr>
                <w:rFonts w:asciiTheme="minorEastAsia" w:hAnsiTheme="minorEastAsia" w:eastAsiaTheme="minorEastAsia"/>
              </w:rPr>
              <w:t>□技术改造</w:t>
            </w:r>
          </w:p>
        </w:tc>
        <w:tc>
          <w:tcPr>
            <w:tcW w:w="1963" w:type="dxa"/>
            <w:vAlign w:val="center"/>
          </w:tcPr>
          <w:p>
            <w:pPr>
              <w:jc w:val="center"/>
              <w:rPr>
                <w:rFonts w:asciiTheme="minorEastAsia" w:hAnsiTheme="minorEastAsia" w:eastAsiaTheme="minorEastAsia"/>
              </w:rPr>
            </w:pPr>
            <w:r>
              <w:rPr>
                <w:rFonts w:asciiTheme="minorEastAsia" w:hAnsiTheme="minorEastAsia" w:eastAsiaTheme="minorEastAsia"/>
              </w:rPr>
              <w:t>建设项目</w:t>
            </w:r>
          </w:p>
          <w:p>
            <w:pPr>
              <w:jc w:val="center"/>
              <w:rPr>
                <w:rFonts w:asciiTheme="minorEastAsia" w:hAnsiTheme="minorEastAsia" w:eastAsiaTheme="minorEastAsia"/>
              </w:rPr>
            </w:pPr>
            <w:r>
              <w:rPr>
                <w:rFonts w:asciiTheme="minorEastAsia" w:hAnsiTheme="minorEastAsia" w:eastAsiaTheme="minorEastAsia"/>
              </w:rPr>
              <w:t>申报情形</w:t>
            </w:r>
          </w:p>
        </w:tc>
        <w:tc>
          <w:tcPr>
            <w:tcW w:w="2835" w:type="dxa"/>
            <w:vAlign w:val="center"/>
          </w:tcPr>
          <w:p>
            <w:pPr>
              <w:rPr>
                <w:rFonts w:asciiTheme="minorEastAsia" w:hAnsiTheme="minorEastAsia" w:eastAsiaTheme="minorEastAsia"/>
              </w:rPr>
            </w:pPr>
            <w:r>
              <w:rPr>
                <w:rFonts w:ascii="宋体" w:hAnsi="宋体"/>
              </w:rPr>
              <w:t>■</w:t>
            </w:r>
            <w:r>
              <w:rPr>
                <w:rFonts w:asciiTheme="minorEastAsia" w:hAnsiTheme="minorEastAsia" w:eastAsiaTheme="minorEastAsia"/>
              </w:rPr>
              <w:t>首次申报项目</w:t>
            </w:r>
          </w:p>
          <w:p>
            <w:pPr>
              <w:rPr>
                <w:rFonts w:asciiTheme="minorEastAsia" w:hAnsiTheme="minorEastAsia" w:eastAsiaTheme="minorEastAsia"/>
              </w:rPr>
            </w:pPr>
            <w:r>
              <w:rPr>
                <w:rFonts w:asciiTheme="minorEastAsia" w:hAnsiTheme="minorEastAsia" w:eastAsiaTheme="minorEastAsia"/>
              </w:rPr>
              <w:t>□不予批准后再次申报项目</w:t>
            </w:r>
          </w:p>
          <w:p>
            <w:pPr>
              <w:rPr>
                <w:rFonts w:asciiTheme="minorEastAsia" w:hAnsiTheme="minorEastAsia" w:eastAsiaTheme="minorEastAsia"/>
              </w:rPr>
            </w:pPr>
            <w:r>
              <w:rPr>
                <w:rFonts w:asciiTheme="minorEastAsia" w:hAnsiTheme="minorEastAsia" w:eastAsiaTheme="minorEastAsia"/>
              </w:rPr>
              <w:sym w:font="Wingdings 2" w:char="00A3"/>
            </w:r>
            <w:r>
              <w:rPr>
                <w:rFonts w:asciiTheme="minorEastAsia" w:hAnsiTheme="minorEastAsia" w:eastAsiaTheme="minorEastAsia"/>
              </w:rPr>
              <w:t>超五年重新审核项目</w:t>
            </w:r>
          </w:p>
          <w:p>
            <w:pPr>
              <w:rPr>
                <w:rFonts w:asciiTheme="minorEastAsia" w:hAnsiTheme="minorEastAsia" w:eastAsiaTheme="minorEastAsia"/>
              </w:rPr>
            </w:pPr>
            <w:r>
              <w:rPr>
                <w:rFonts w:asciiTheme="minorEastAsia" w:hAnsiTheme="minorEastAsia" w:eastAsiaTheme="minorEastAsia"/>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5" w:type="dxa"/>
            <w:vAlign w:val="center"/>
          </w:tcPr>
          <w:p>
            <w:pPr>
              <w:jc w:val="center"/>
            </w:pPr>
            <w:r>
              <w:t>项目审批（核准/</w:t>
            </w:r>
          </w:p>
          <w:p>
            <w:pPr>
              <w:jc w:val="center"/>
            </w:pPr>
            <w:r>
              <w:t>备案）部门（选填）</w:t>
            </w:r>
          </w:p>
        </w:tc>
        <w:tc>
          <w:tcPr>
            <w:tcW w:w="2200" w:type="dxa"/>
            <w:vAlign w:val="center"/>
          </w:tcPr>
          <w:p>
            <w:pPr>
              <w:jc w:val="center"/>
            </w:pPr>
            <w:r>
              <w:rPr>
                <w:rFonts w:hint="eastAsia"/>
              </w:rPr>
              <w:t>/</w:t>
            </w:r>
          </w:p>
        </w:tc>
        <w:tc>
          <w:tcPr>
            <w:tcW w:w="1963" w:type="dxa"/>
            <w:vAlign w:val="center"/>
          </w:tcPr>
          <w:p>
            <w:pPr>
              <w:jc w:val="center"/>
            </w:pPr>
            <w:r>
              <w:t>项目审批（核准/</w:t>
            </w:r>
          </w:p>
          <w:p>
            <w:pPr>
              <w:jc w:val="center"/>
            </w:pPr>
            <w:r>
              <w:t>备案）文号（选填）</w:t>
            </w:r>
          </w:p>
        </w:tc>
        <w:tc>
          <w:tcPr>
            <w:tcW w:w="2835" w:type="dxa"/>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5" w:type="dxa"/>
            <w:vAlign w:val="center"/>
          </w:tcPr>
          <w:p>
            <w:pPr>
              <w:jc w:val="center"/>
            </w:pPr>
            <w:r>
              <w:t>总投资（万元）</w:t>
            </w:r>
          </w:p>
        </w:tc>
        <w:tc>
          <w:tcPr>
            <w:tcW w:w="2200" w:type="dxa"/>
            <w:vAlign w:val="center"/>
          </w:tcPr>
          <w:p>
            <w:pPr>
              <w:jc w:val="center"/>
            </w:pPr>
            <w:r>
              <w:rPr>
                <w:rFonts w:hint="eastAsia"/>
              </w:rPr>
              <w:t>15000</w:t>
            </w:r>
          </w:p>
        </w:tc>
        <w:tc>
          <w:tcPr>
            <w:tcW w:w="1963" w:type="dxa"/>
            <w:vAlign w:val="center"/>
          </w:tcPr>
          <w:p>
            <w:pPr>
              <w:jc w:val="center"/>
            </w:pPr>
            <w:r>
              <w:t>环保投资（万元）</w:t>
            </w:r>
          </w:p>
        </w:tc>
        <w:tc>
          <w:tcPr>
            <w:tcW w:w="2835" w:type="dxa"/>
            <w:vAlign w:val="center"/>
          </w:tcPr>
          <w:p>
            <w:pPr>
              <w:jc w:val="center"/>
            </w:pPr>
            <w:r>
              <w:rPr>
                <w:rFonts w:hint="eastAsia"/>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5" w:type="dxa"/>
            <w:vAlign w:val="center"/>
          </w:tcPr>
          <w:p>
            <w:pPr>
              <w:jc w:val="center"/>
            </w:pPr>
            <w:r>
              <w:t>环保投资占比（%）</w:t>
            </w:r>
          </w:p>
        </w:tc>
        <w:tc>
          <w:tcPr>
            <w:tcW w:w="2200" w:type="dxa"/>
            <w:vAlign w:val="center"/>
          </w:tcPr>
          <w:p>
            <w:pPr>
              <w:jc w:val="center"/>
            </w:pPr>
            <w:r>
              <w:rPr>
                <w:rFonts w:hint="eastAsia"/>
              </w:rPr>
              <w:t>3.33</w:t>
            </w:r>
          </w:p>
        </w:tc>
        <w:tc>
          <w:tcPr>
            <w:tcW w:w="1963" w:type="dxa"/>
            <w:vAlign w:val="center"/>
          </w:tcPr>
          <w:p>
            <w:pPr>
              <w:jc w:val="center"/>
            </w:pPr>
            <w:r>
              <w:t>施工工期</w:t>
            </w:r>
          </w:p>
        </w:tc>
        <w:tc>
          <w:tcPr>
            <w:tcW w:w="2835" w:type="dxa"/>
            <w:vAlign w:val="center"/>
          </w:tcPr>
          <w:p>
            <w:pPr>
              <w:jc w:val="center"/>
            </w:pPr>
            <w:r>
              <w:rPr>
                <w:rFonts w:hint="eastAsia"/>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5" w:type="dxa"/>
            <w:vAlign w:val="center"/>
          </w:tcPr>
          <w:p>
            <w:pPr>
              <w:jc w:val="center"/>
            </w:pPr>
            <w:r>
              <w:t>是否开工建设</w:t>
            </w:r>
          </w:p>
        </w:tc>
        <w:tc>
          <w:tcPr>
            <w:tcW w:w="2200" w:type="dxa"/>
            <w:vAlign w:val="center"/>
          </w:tcPr>
          <w:p>
            <w:pPr>
              <w:rPr>
                <w:rFonts w:ascii="宋体" w:hAnsi="宋体"/>
              </w:rPr>
            </w:pPr>
            <w:r>
              <w:rPr>
                <w:rFonts w:ascii="宋体" w:hAnsi="宋体"/>
              </w:rPr>
              <w:t>■否：</w:t>
            </w:r>
          </w:p>
          <w:p>
            <w:r>
              <w:rPr>
                <w:rFonts w:ascii="宋体" w:hAnsi="宋体"/>
              </w:rPr>
              <w:sym w:font="Wingdings 2" w:char="00A3"/>
            </w:r>
            <w:r>
              <w:rPr>
                <w:rFonts w:ascii="宋体" w:hAnsi="宋体"/>
              </w:rPr>
              <w:t xml:space="preserve">是：         </w:t>
            </w:r>
          </w:p>
        </w:tc>
        <w:tc>
          <w:tcPr>
            <w:tcW w:w="1963" w:type="dxa"/>
            <w:vAlign w:val="center"/>
          </w:tcPr>
          <w:p>
            <w:pPr>
              <w:jc w:val="center"/>
              <w:rPr>
                <w:spacing w:val="-6"/>
              </w:rPr>
            </w:pPr>
            <w:r>
              <w:rPr>
                <w:spacing w:val="-6"/>
              </w:rPr>
              <w:t>用地（用海）</w:t>
            </w:r>
          </w:p>
          <w:p>
            <w:pPr>
              <w:jc w:val="center"/>
            </w:pPr>
            <w:r>
              <w:rPr>
                <w:spacing w:val="-6"/>
              </w:rPr>
              <w:t>面积（m</w:t>
            </w:r>
            <w:r>
              <w:rPr>
                <w:spacing w:val="-6"/>
                <w:vertAlign w:val="superscript"/>
              </w:rPr>
              <w:t>2</w:t>
            </w:r>
            <w:r>
              <w:rPr>
                <w:spacing w:val="-6"/>
              </w:rPr>
              <w:t>）</w:t>
            </w:r>
          </w:p>
        </w:tc>
        <w:tc>
          <w:tcPr>
            <w:tcW w:w="2835" w:type="dxa"/>
            <w:vAlign w:val="center"/>
          </w:tcPr>
          <w:p>
            <w:pPr>
              <w:jc w:val="center"/>
            </w:pPr>
            <w:r>
              <w:rPr>
                <w:rFonts w:hint="eastAsia"/>
              </w:rPr>
              <w:t>29682.6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55" w:type="dxa"/>
            <w:vAlign w:val="center"/>
          </w:tcPr>
          <w:p>
            <w:pPr>
              <w:autoSpaceDE w:val="0"/>
              <w:autoSpaceDN w:val="0"/>
              <w:jc w:val="center"/>
            </w:pPr>
            <w:r>
              <w:t>专项评价设置情况</w:t>
            </w:r>
          </w:p>
        </w:tc>
        <w:tc>
          <w:tcPr>
            <w:tcW w:w="6998" w:type="dxa"/>
            <w:gridSpan w:val="3"/>
            <w:vAlign w:val="center"/>
          </w:tcPr>
          <w:p>
            <w:pPr>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55" w:type="dxa"/>
            <w:vAlign w:val="center"/>
          </w:tcPr>
          <w:p>
            <w:pPr>
              <w:autoSpaceDE w:val="0"/>
              <w:autoSpaceDN w:val="0"/>
              <w:jc w:val="center"/>
            </w:pPr>
            <w:r>
              <w:t>规划情况</w:t>
            </w:r>
          </w:p>
        </w:tc>
        <w:tc>
          <w:tcPr>
            <w:tcW w:w="6998" w:type="dxa"/>
            <w:gridSpan w:val="3"/>
            <w:vAlign w:val="center"/>
          </w:tcPr>
          <w:p>
            <w:pPr>
              <w:jc w:val="center"/>
            </w:pPr>
            <w:r>
              <w:rPr>
                <w:rFonts w:hint="eastAsia"/>
              </w:rPr>
              <w:t>1、《常德经济技术开发区概念性总体规划》（2008-2030）</w:t>
            </w:r>
          </w:p>
          <w:p>
            <w:pPr>
              <w:jc w:val="center"/>
            </w:pPr>
            <w:r>
              <w:rPr>
                <w:rFonts w:hint="eastAsia"/>
              </w:rPr>
              <w:t>2、《常德市城市总体规划》（2009-2030）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955" w:type="dxa"/>
            <w:vAlign w:val="center"/>
          </w:tcPr>
          <w:p>
            <w:pPr>
              <w:jc w:val="center"/>
            </w:pPr>
            <w:r>
              <w:t>规划环境影响</w:t>
            </w:r>
          </w:p>
          <w:p>
            <w:pPr>
              <w:jc w:val="center"/>
            </w:pPr>
            <w:r>
              <w:t>评价情况</w:t>
            </w:r>
          </w:p>
        </w:tc>
        <w:tc>
          <w:tcPr>
            <w:tcW w:w="6998" w:type="dxa"/>
            <w:gridSpan w:val="3"/>
            <w:vAlign w:val="center"/>
          </w:tcPr>
          <w:p>
            <w:pPr>
              <w:snapToGrid w:val="0"/>
              <w:spacing w:line="300" w:lineRule="auto"/>
              <w:rPr>
                <w:szCs w:val="24"/>
              </w:rPr>
            </w:pPr>
            <w:r>
              <w:rPr>
                <w:rFonts w:hint="eastAsia"/>
              </w:rPr>
              <w:t>《常德市城市总体规划（2009-2030）环境影响报告书》，审批机关为湖南省环境保护厅，审批文件名称《关于常德市城市总体规划（2009-2030）环境影响报告书审查意见的函》（湘环评[2011]19号）。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955" w:type="dxa"/>
            <w:vAlign w:val="center"/>
          </w:tcPr>
          <w:p>
            <w:pPr>
              <w:jc w:val="center"/>
              <w:rPr>
                <w:b/>
                <w:bCs/>
              </w:rPr>
            </w:pPr>
            <w:r>
              <w:t>规划及规划环境影响评价符合性分析</w:t>
            </w:r>
          </w:p>
        </w:tc>
        <w:tc>
          <w:tcPr>
            <w:tcW w:w="6998" w:type="dxa"/>
            <w:gridSpan w:val="3"/>
          </w:tcPr>
          <w:p>
            <w:pPr>
              <w:adjustRightInd w:val="0"/>
              <w:snapToGrid w:val="0"/>
              <w:spacing w:before="163" w:beforeLines="50" w:line="360" w:lineRule="auto"/>
              <w:ind w:firstLine="420"/>
              <w:rPr>
                <w:bCs/>
              </w:rPr>
            </w:pPr>
            <w:r>
              <w:rPr>
                <w:rFonts w:hint="eastAsia"/>
                <w:bCs/>
              </w:rPr>
              <w:t>规划符合性：常德经济技术开发区应重点发展工业，特别是技术含量较高的高新技术产业，形成国家先进装备制造业研发和生产基地、国家新材料和新能源研发创新基地、区域现代物流中心。配套完善生活服务设施，发展成为工业新城、城市新区。根据《常德经济技术开发区概念性总体规划》土地使用规划图，本项目用地性质为二类工业用地，符合《常德经济技术开发区概念性总体规划》（2013-2030）。</w:t>
            </w:r>
          </w:p>
          <w:p>
            <w:pPr>
              <w:adjustRightInd w:val="0"/>
              <w:snapToGrid w:val="0"/>
              <w:spacing w:before="163" w:beforeLines="50" w:line="360" w:lineRule="auto"/>
              <w:ind w:firstLine="420"/>
              <w:rPr>
                <w:bCs/>
              </w:rPr>
            </w:pPr>
            <w:r>
              <w:rPr>
                <w:rFonts w:hint="eastAsia"/>
                <w:bCs/>
              </w:rPr>
              <w:t>环境影响评价符合性分析：根据《常德市城市总体规划（2009-2030）环境影响报告书》及其环评批复可知：“常德经济技术开发区重点打造烟草、装备制造、食品、先进材料、电子信息五大支柱产业，提升纺织、电力、建材、医药、林纸等传统产业结构”。</w:t>
            </w:r>
          </w:p>
          <w:p>
            <w:pPr>
              <w:adjustRightInd w:val="0"/>
              <w:snapToGrid w:val="0"/>
              <w:spacing w:before="163" w:beforeLines="50" w:line="360" w:lineRule="auto"/>
              <w:ind w:firstLine="420"/>
              <w:rPr>
                <w:b/>
                <w:bCs/>
                <w:color w:val="FF0000"/>
              </w:rPr>
            </w:pPr>
            <w:r>
              <w:rPr>
                <w:rFonts w:hint="eastAsia"/>
                <w:bCs/>
              </w:rPr>
              <w:t>常德水井巷食品有限公司为食品生产企业。所在地给水、排水、电力、能源等园区配套基础设施均已到位，本项目与《常德市城市总体规划（2009-2030）环境影响报告书》及其环评批复要求相符。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955" w:type="dxa"/>
            <w:vAlign w:val="center"/>
          </w:tcPr>
          <w:p>
            <w:pPr>
              <w:jc w:val="center"/>
            </w:pPr>
            <w:r>
              <w:t>其他符合性分析</w:t>
            </w:r>
          </w:p>
        </w:tc>
        <w:tc>
          <w:tcPr>
            <w:tcW w:w="6998" w:type="dxa"/>
            <w:gridSpan w:val="3"/>
          </w:tcPr>
          <w:p>
            <w:pPr>
              <w:adjustRightInd w:val="0"/>
              <w:snapToGrid w:val="0"/>
              <w:spacing w:before="163" w:beforeLines="50" w:line="360" w:lineRule="auto"/>
              <w:rPr>
                <w:b/>
                <w:bCs/>
              </w:rPr>
            </w:pPr>
            <w:r>
              <w:rPr>
                <w:b/>
                <w:bCs/>
              </w:rPr>
              <w:t>1、产业政策符合性分析</w:t>
            </w:r>
          </w:p>
          <w:p>
            <w:pPr>
              <w:snapToGrid w:val="0"/>
              <w:spacing w:line="360" w:lineRule="auto"/>
              <w:ind w:firstLine="420"/>
            </w:pPr>
            <w:r>
              <w:rPr>
                <w:rFonts w:hint="eastAsia"/>
              </w:rPr>
              <w:t>对照《产业结构调整指导目录（2019年本）》（中华人民共和国国家发展和改革委员会令第29号）及2021年修订版（国家发展和改革委员会令第49号），本项目不在淘汰类、限制类之列，本项目建设符合国家产业政策要求。</w:t>
            </w:r>
          </w:p>
          <w:p>
            <w:pPr>
              <w:snapToGrid w:val="0"/>
              <w:spacing w:line="360" w:lineRule="auto"/>
              <w:ind w:firstLine="420"/>
            </w:pPr>
            <w:r>
              <w:rPr>
                <w:rFonts w:hint="eastAsia"/>
              </w:rPr>
              <w:t>根据《建设项目环境影响评价分类管理名录》（2021年版），本项目属于“十一、食品制造业—21、方便食品制造143”中“除单纯分装外的”，环评类别属于报告表。</w:t>
            </w:r>
          </w:p>
          <w:p>
            <w:pPr>
              <w:autoSpaceDE w:val="0"/>
              <w:autoSpaceDN w:val="0"/>
              <w:adjustRightInd w:val="0"/>
              <w:snapToGrid w:val="0"/>
              <w:spacing w:line="360" w:lineRule="auto"/>
              <w:rPr>
                <w:b/>
                <w:kern w:val="0"/>
              </w:rPr>
            </w:pPr>
            <w:r>
              <w:rPr>
                <w:rFonts w:hint="eastAsia"/>
                <w:b/>
                <w:kern w:val="0"/>
              </w:rPr>
              <w:t>2、“三线一单”生态环境分区管控符合性分析</w:t>
            </w:r>
          </w:p>
          <w:p>
            <w:pPr>
              <w:snapToGrid w:val="0"/>
              <w:spacing w:line="360" w:lineRule="auto"/>
              <w:ind w:firstLine="420"/>
            </w:pPr>
            <w:r>
              <w:rPr>
                <w:rFonts w:hint="eastAsia"/>
              </w:rPr>
              <w:t>（1）生态红线区域保护规划的相符性</w:t>
            </w:r>
          </w:p>
          <w:p>
            <w:pPr>
              <w:snapToGrid w:val="0"/>
              <w:spacing w:line="360" w:lineRule="auto"/>
              <w:ind w:firstLine="420"/>
            </w:pPr>
            <w:r>
              <w:rPr>
                <w:rFonts w:hint="eastAsia"/>
              </w:rPr>
              <w:t>本项目位于常德经济技术开发区，根据《湖南省"三线一单"生态环境总体管控要求暨省级以上产业园区生态环境准入清单》的规定，本项目不在自然保护区、风景名胜区、饮用水水源保护区、森林公园、地质公园等重要生态功能区、生态敏感区和脆弱区以及其他要求禁止建设的环境敏感区内，符合生态保护红线的划定原则。具体位置见附图。</w:t>
            </w:r>
          </w:p>
          <w:p>
            <w:pPr>
              <w:snapToGrid w:val="0"/>
              <w:spacing w:line="360" w:lineRule="auto"/>
              <w:ind w:firstLine="420"/>
            </w:pPr>
            <w:r>
              <w:rPr>
                <w:rFonts w:hint="eastAsia"/>
              </w:rPr>
              <w:t>（2）环境质量底线相符性</w:t>
            </w:r>
          </w:p>
          <w:p>
            <w:pPr>
              <w:snapToGrid w:val="0"/>
              <w:spacing w:line="360" w:lineRule="auto"/>
              <w:ind w:firstLine="420"/>
            </w:pPr>
            <w:r>
              <w:rPr>
                <w:rFonts w:hint="eastAsia"/>
              </w:rPr>
              <w:t>由环境现状调查可知，建设项目所在区域环境空气、地表水环境、声环境等均满足相应的功能区划要求，具有一定的环境承载力。根据预测分析，本项目的建设不会改变区域环境功能属性，项目的建设符合环境质量底线要求。</w:t>
            </w:r>
          </w:p>
          <w:p>
            <w:pPr>
              <w:snapToGrid w:val="0"/>
              <w:spacing w:line="360" w:lineRule="auto"/>
              <w:ind w:firstLine="420"/>
            </w:pPr>
            <w:r>
              <w:rPr>
                <w:rFonts w:hint="eastAsia"/>
              </w:rPr>
              <w:t>（3）资源利用上线的相符性</w:t>
            </w:r>
          </w:p>
          <w:p>
            <w:pPr>
              <w:snapToGrid w:val="0"/>
              <w:spacing w:line="360" w:lineRule="auto"/>
              <w:ind w:firstLine="420"/>
            </w:pPr>
            <w:r>
              <w:rPr>
                <w:rFonts w:hint="eastAsia"/>
              </w:rPr>
              <w:t>本项目所使用的能源主要为水、电能、天然气；本项目选用了高效、先进的设备，自动化程度较高，提高了生产效率，减少了产品的损耗率，减少了原料的用量和废料的产生量，减少了物流运输次数和运输量，节省了能源。综上，本项目的建设符合资源利用上线的要求。</w:t>
            </w:r>
          </w:p>
          <w:p>
            <w:pPr>
              <w:snapToGrid w:val="0"/>
              <w:spacing w:line="360" w:lineRule="auto"/>
              <w:ind w:firstLine="420"/>
            </w:pPr>
            <w:r>
              <w:rPr>
                <w:rFonts w:hint="eastAsia"/>
              </w:rPr>
              <w:t>（4）环境准入负面清单相符性</w:t>
            </w:r>
          </w:p>
          <w:p>
            <w:pPr>
              <w:snapToGrid w:val="0"/>
              <w:spacing w:line="360" w:lineRule="auto"/>
              <w:ind w:firstLine="420"/>
            </w:pPr>
            <w:r>
              <w:rPr>
                <w:rFonts w:hint="eastAsia"/>
              </w:rPr>
              <w:t>对照2020年11月湖南省生态环境厅发布《湖南省"三线一单"生态环境总体管控要求暨省级以上产业园区生态环境准入清单》中的管控要求，具体见下表。</w:t>
            </w:r>
          </w:p>
          <w:p>
            <w:pPr>
              <w:autoSpaceDE w:val="0"/>
              <w:autoSpaceDN w:val="0"/>
              <w:adjustRightInd w:val="0"/>
              <w:spacing w:before="163" w:beforeLines="50" w:line="360" w:lineRule="auto"/>
              <w:jc w:val="center"/>
              <w:rPr>
                <w:b/>
                <w:bCs/>
              </w:rPr>
            </w:pPr>
            <w:r>
              <w:rPr>
                <w:rFonts w:hint="eastAsia"/>
                <w:b/>
                <w:bCs/>
              </w:rPr>
              <w:t>表</w:t>
            </w:r>
            <w:r>
              <w:rPr>
                <w:b/>
                <w:bCs/>
              </w:rPr>
              <w:t>1-4</w:t>
            </w:r>
            <w:r>
              <w:rPr>
                <w:rFonts w:hint="eastAsia"/>
                <w:b/>
                <w:bCs/>
              </w:rPr>
              <w:t>常德经济技术开发区环境准入清单</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3991"/>
              <w:gridCol w:w="1600"/>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kern w:val="0"/>
                    </w:rPr>
                    <w:t>管控纬度</w:t>
                  </w:r>
                </w:p>
              </w:tc>
              <w:tc>
                <w:tcPr>
                  <w:tcW w:w="2948" w:type="pct"/>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kern w:val="0"/>
                    </w:rPr>
                    <w:t>管控要求</w:t>
                  </w:r>
                </w:p>
              </w:tc>
              <w:tc>
                <w:tcPr>
                  <w:tcW w:w="1182" w:type="pct"/>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kern w:val="0"/>
                    </w:rPr>
                    <w:t>本项目情况</w:t>
                  </w:r>
                </w:p>
              </w:tc>
              <w:tc>
                <w:tcPr>
                  <w:tcW w:w="367" w:type="pct"/>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kern w:val="0"/>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kern w:val="0"/>
                    </w:rPr>
                    <w:t>空间布局约束</w:t>
                  </w:r>
                </w:p>
              </w:tc>
              <w:tc>
                <w:tcPr>
                  <w:tcW w:w="29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kern w:val="0"/>
                    </w:rPr>
                    <w:t>进一步优化规划布局，西区严格控制三类用地，注重发展新材料、机械电子等高新技术产业；东扩区三类工业以化学工业、纺织印染工业、新材料工业为主，优先发展高科技、高附加值、技术密集型的工业空间企业，并确保引进项目具备成熟的污染防治技术。</w:t>
                  </w:r>
                </w:p>
                <w:p>
                  <w:pPr>
                    <w:adjustRightInd w:val="0"/>
                    <w:snapToGrid w:val="0"/>
                    <w:jc w:val="center"/>
                  </w:pPr>
                  <w:r>
                    <w:rPr>
                      <w:rFonts w:hint="eastAsia"/>
                      <w:kern w:val="0"/>
                    </w:rPr>
                    <w:t>对临近规划区东南部的枫树岗和茶叶岗安置小区进行规模控制，并对园区南部、西南部引进企业严格予以限制，两个安置小区</w:t>
                  </w:r>
                  <w:r>
                    <w:rPr>
                      <w:kern w:val="0"/>
                    </w:rPr>
                    <w:t>1000</w:t>
                  </w:r>
                  <w:r>
                    <w:rPr>
                      <w:rFonts w:hint="eastAsia"/>
                      <w:kern w:val="0"/>
                    </w:rPr>
                    <w:t>米范围内不得引进气型污染项目。枫树岗安置小区作为过渡安置区，适时结合项目入园情况逐步将其内居民外迁重新安置，防止相互功能干扰。</w:t>
                  </w:r>
                </w:p>
              </w:tc>
              <w:tc>
                <w:tcPr>
                  <w:tcW w:w="1182" w:type="pct"/>
                  <w:tcBorders>
                    <w:top w:val="single" w:color="auto" w:sz="4" w:space="0"/>
                    <w:left w:val="single" w:color="auto" w:sz="4" w:space="0"/>
                    <w:bottom w:val="single" w:color="auto" w:sz="4" w:space="0"/>
                    <w:right w:val="single" w:color="auto" w:sz="4" w:space="0"/>
                  </w:tcBorders>
                  <w:vAlign w:val="center"/>
                </w:tcPr>
                <w:p>
                  <w:pPr>
                    <w:jc w:val="left"/>
                  </w:pPr>
                  <w:r>
                    <w:rPr>
                      <w:rFonts w:hint="eastAsia"/>
                      <w:kern w:val="0"/>
                    </w:rPr>
                    <w:t>本项目位于常德经济技术开发区，属于食品工业，采用的污染防治技术在国内比较成熟。</w:t>
                  </w:r>
                </w:p>
              </w:tc>
              <w:tc>
                <w:tcPr>
                  <w:tcW w:w="36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kern w:val="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kern w:val="0"/>
                    </w:rPr>
                    <w:t>污染物排放管控</w:t>
                  </w:r>
                </w:p>
              </w:tc>
              <w:tc>
                <w:tcPr>
                  <w:tcW w:w="2948" w:type="pct"/>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废水：规划区内排水实施雨污分流，确保规划区各企业产生的污水通过德山污水处理厂处理达标后，排入东风河，最终进入沅江；区域雨水沿地势分区排入东风河、枉水、三港渠、六号渠，最后均进入沅江。</w:t>
                  </w:r>
                </w:p>
                <w:p>
                  <w:pPr>
                    <w:widowControl/>
                    <w:jc w:val="left"/>
                  </w:pPr>
                  <w:r>
                    <w:rPr>
                      <w:rFonts w:hint="eastAsia"/>
                    </w:rPr>
                    <w:t>废气：做好规划区大气污染控制措施，加强企业管理，对各企业有工艺废气产出的生产节点配置废气收集与处理净化装置，做到达标排放；加强生产工艺研究与技术改进，采取有效措施，减少工艺废气的无组织排放。</w:t>
                  </w:r>
                </w:p>
                <w:p>
                  <w:pPr>
                    <w:widowControl/>
                    <w:jc w:val="left"/>
                  </w:pPr>
                  <w:r>
                    <w:rPr>
                      <w:rFonts w:hint="eastAsia"/>
                    </w:rPr>
                    <w:t>强化源头管控和末端治理，加快推进有机化工、工业涂装、包装印刷、沥青搅拌、制药、农药等行业企业</w:t>
                  </w:r>
                  <w:r>
                    <w:t xml:space="preserve"> VOCs </w:t>
                  </w:r>
                  <w:r>
                    <w:rPr>
                      <w:rFonts w:hint="eastAsia"/>
                    </w:rPr>
                    <w:t>治理，确保达标排放。</w:t>
                  </w:r>
                </w:p>
                <w:p>
                  <w:pPr>
                    <w:widowControl/>
                    <w:jc w:val="left"/>
                  </w:pPr>
                  <w:r>
                    <w:rPr>
                      <w:rFonts w:hint="eastAsia"/>
                    </w:rPr>
                    <w:t>园区内电镀、无机化工、杂环类农药、纺织染整等行业及涉锅炉大气污染物排放应满足《湖南省生态环境厅关于执行污染</w:t>
                  </w:r>
                  <w:r>
                    <w:t xml:space="preserve"> </w:t>
                  </w:r>
                  <w:r>
                    <w:rPr>
                      <w:rFonts w:hint="eastAsia"/>
                    </w:rPr>
                    <w:t>物特别排放限值（第一批）的公告》中的要求。</w:t>
                  </w:r>
                  <w:r>
                    <w:t xml:space="preserve"> </w:t>
                  </w:r>
                </w:p>
                <w:p>
                  <w:pPr>
                    <w:widowControl/>
                    <w:jc w:val="left"/>
                  </w:pPr>
                  <w:r>
                    <w:rPr>
                      <w:rFonts w:hint="eastAsia"/>
                    </w:rPr>
                    <w:t>固废：做好工业固体废物和生活垃圾的分类收集、转运、综合利用和无害化处理，建立统一的固废收集、贮存、运输、综</w:t>
                  </w:r>
                  <w:r>
                    <w:t xml:space="preserve"> </w:t>
                  </w:r>
                  <w:r>
                    <w:rPr>
                      <w:rFonts w:hint="eastAsia"/>
                    </w:rPr>
                    <w:t>合利用和安全处置的运营管理体系。加强粉煤灰等固体废物的资源化进程，提高综合利用率。加快开发区固废处置（含危废暂存）场地的建设，对工业企业产生固体废物特别是危险固废应按国家有关规定综合利用或妥善处置，严防二次污染。生活垃圾集中后送到开发区生活垃圾焚烧发电项目基地进行统一处理。</w:t>
                  </w:r>
                </w:p>
              </w:tc>
              <w:tc>
                <w:tcPr>
                  <w:tcW w:w="1182" w:type="pct"/>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left"/>
                  </w:pPr>
                  <w:r>
                    <w:rPr>
                      <w:rFonts w:hint="eastAsia"/>
                    </w:rPr>
                    <w:t>本项目实行雨污分流，项目废水预处理后进入德山污水处理厂处理后排出，雨水经市政雨水管网排入东风河。</w:t>
                  </w:r>
                </w:p>
                <w:p>
                  <w:pPr>
                    <w:widowControl/>
                    <w:numPr>
                      <w:ilvl w:val="0"/>
                      <w:numId w:val="1"/>
                    </w:numPr>
                    <w:jc w:val="left"/>
                  </w:pPr>
                  <w:r>
                    <w:rPr>
                      <w:rFonts w:hint="eastAsia"/>
                    </w:rPr>
                    <w:t>项目废气设置收集、处理系统，废气可达标排放。</w:t>
                  </w:r>
                </w:p>
                <w:p>
                  <w:pPr>
                    <w:widowControl/>
                    <w:jc w:val="left"/>
                    <w:rPr>
                      <w:rFonts w:ascii="宋体" w:hAnsi="宋体"/>
                      <w:kern w:val="0"/>
                    </w:rPr>
                  </w:pPr>
                  <w:r>
                    <w:t>3</w:t>
                  </w:r>
                  <w:r>
                    <w:rPr>
                      <w:rFonts w:hint="eastAsia"/>
                    </w:rPr>
                    <w:t>、项目产生的一般工业固体废物外售综合利用或处置、生活垃圾交由环卫部门处理。</w:t>
                  </w:r>
                </w:p>
              </w:tc>
              <w:tc>
                <w:tcPr>
                  <w:tcW w:w="36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u w:val="single"/>
                    </w:rPr>
                  </w:pPr>
                  <w:r>
                    <w:rPr>
                      <w:rFonts w:hint="eastAsia"/>
                      <w:kern w:val="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tcBorders>
                    <w:top w:val="single" w:color="auto" w:sz="4" w:space="0"/>
                    <w:left w:val="single" w:color="auto" w:sz="4" w:space="0"/>
                    <w:bottom w:val="single" w:color="auto" w:sz="4" w:space="0"/>
                    <w:right w:val="single" w:color="auto" w:sz="4" w:space="0"/>
                  </w:tcBorders>
                  <w:vAlign w:val="center"/>
                </w:tcPr>
                <w:p>
                  <w:pPr>
                    <w:jc w:val="center"/>
                    <w:rPr>
                      <w:kern w:val="0"/>
                      <w:szCs w:val="24"/>
                    </w:rPr>
                  </w:pPr>
                  <w:r>
                    <w:rPr>
                      <w:rFonts w:hint="eastAsia"/>
                      <w:kern w:val="0"/>
                    </w:rPr>
                    <w:t>环境风险防控</w:t>
                  </w:r>
                </w:p>
              </w:tc>
              <w:tc>
                <w:tcPr>
                  <w:tcW w:w="2948" w:type="pct"/>
                  <w:tcBorders>
                    <w:top w:val="single" w:color="auto" w:sz="4" w:space="0"/>
                    <w:left w:val="single" w:color="auto" w:sz="4" w:space="0"/>
                    <w:bottom w:val="single" w:color="auto" w:sz="4" w:space="0"/>
                    <w:right w:val="single" w:color="auto" w:sz="4" w:space="0"/>
                  </w:tcBorders>
                  <w:vAlign w:val="center"/>
                </w:tcPr>
                <w:p>
                  <w:pPr>
                    <w:jc w:val="left"/>
                  </w:pPr>
                  <w:r>
                    <w:rPr>
                      <w:kern w:val="0"/>
                    </w:rPr>
                    <w:t>1</w:t>
                  </w:r>
                  <w:r>
                    <w:rPr>
                      <w:rFonts w:hint="eastAsia"/>
                      <w:kern w:val="0"/>
                    </w:rPr>
                    <w:t>、开发区应建立健全环境风险防控体系，落实《常德经济技术开发区突发环境事件应急预案》提出的各项环境风险防范措施，严防环境风险事故发生。园区在排渍站应储备泵和消防带，用于泵送事故废水和消防废水入德山污水处理厂（一期工程）的事故池，防止事故和消防废水未处理外排造成沅江污染。</w:t>
                  </w:r>
                </w:p>
                <w:p>
                  <w:pPr>
                    <w:jc w:val="center"/>
                    <w:rPr>
                      <w:kern w:val="0"/>
                    </w:rPr>
                  </w:pPr>
                  <w:r>
                    <w:rPr>
                      <w:kern w:val="0"/>
                    </w:rPr>
                    <w:t>2</w:t>
                  </w:r>
                  <w:r>
                    <w:rPr>
                      <w:rFonts w:hint="eastAsia"/>
                      <w:kern w:val="0"/>
                    </w:rPr>
                    <w:t>、园区可能发生突发环境事件的污染物排放企业，生产、储存、运输、使用危险化学品的企业，产生、收集、贮存、运输、</w:t>
                  </w:r>
                </w:p>
                <w:p>
                  <w:pPr>
                    <w:jc w:val="center"/>
                    <w:rPr>
                      <w:kern w:val="0"/>
                    </w:rPr>
                  </w:pPr>
                  <w:r>
                    <w:rPr>
                      <w:rFonts w:hint="eastAsia"/>
                      <w:kern w:val="0"/>
                    </w:rPr>
                    <w:t>利用、处置危险废物的企业等应当编制和实施环境应急预案；鼓励其他企业制定单独的环境应急预案，或在突发事件应急预案中制定环境应急预案专章，并备案。</w:t>
                  </w:r>
                </w:p>
                <w:p>
                  <w:pPr>
                    <w:numPr>
                      <w:ilvl w:val="0"/>
                      <w:numId w:val="2"/>
                    </w:numPr>
                    <w:jc w:val="center"/>
                    <w:rPr>
                      <w:kern w:val="0"/>
                    </w:rPr>
                  </w:pPr>
                  <w:r>
                    <w:rPr>
                      <w:rFonts w:hint="eastAsia"/>
                      <w:kern w:val="0"/>
                    </w:rPr>
                    <w:t>建设用地土壤风险防控：加强对建设用地土壤环境状况调查、风险评估和污染地块治理与修复活动的监管。常德经济技术开发区管理委员会镍电池材料场地土壤污染地块、原顺隆制革有限公司污染地块风险管控项目地块修复完成前不得作为住宅、公共管理与公共服务用地。</w:t>
                  </w:r>
                </w:p>
                <w:p>
                  <w:pPr>
                    <w:numPr>
                      <w:ilvl w:val="0"/>
                      <w:numId w:val="2"/>
                    </w:numPr>
                    <w:jc w:val="center"/>
                    <w:rPr>
                      <w:kern w:val="0"/>
                    </w:rPr>
                  </w:pPr>
                  <w:r>
                    <w:rPr>
                      <w:rFonts w:hint="eastAsia"/>
                      <w:kern w:val="0"/>
                    </w:rPr>
                    <w:t>农用地风险防控：实施农用地分类管理，保障农业生产环境安全；防控企业污染。禁止在优先保护类耕地集中区域新建有</w:t>
                  </w:r>
                </w:p>
                <w:p>
                  <w:pPr>
                    <w:jc w:val="center"/>
                    <w:rPr>
                      <w:kern w:val="0"/>
                      <w:szCs w:val="24"/>
                    </w:rPr>
                  </w:pPr>
                  <w:r>
                    <w:rPr>
                      <w:rFonts w:hint="eastAsia"/>
                      <w:kern w:val="0"/>
                    </w:rPr>
                    <w:t>色金属冶炼、化工、电镀、制革、危险废物经营等行业企业。</w:t>
                  </w:r>
                </w:p>
              </w:tc>
              <w:tc>
                <w:tcPr>
                  <w:tcW w:w="1182" w:type="pct"/>
                  <w:tcBorders>
                    <w:top w:val="single" w:color="auto" w:sz="4" w:space="0"/>
                    <w:left w:val="single" w:color="auto" w:sz="4" w:space="0"/>
                    <w:bottom w:val="single" w:color="auto" w:sz="4" w:space="0"/>
                    <w:right w:val="single" w:color="auto" w:sz="4" w:space="0"/>
                  </w:tcBorders>
                  <w:vAlign w:val="center"/>
                </w:tcPr>
                <w:p>
                  <w:pPr>
                    <w:jc w:val="center"/>
                    <w:rPr>
                      <w:kern w:val="0"/>
                    </w:rPr>
                  </w:pPr>
                  <w:r>
                    <w:rPr>
                      <w:rFonts w:hint="eastAsia"/>
                      <w:kern w:val="0"/>
                    </w:rPr>
                    <w:t>本项目所在地为工业用地，企业涉及环境突发环境事件，建议按要求编制和实施环境应急预案</w:t>
                  </w:r>
                </w:p>
              </w:tc>
              <w:tc>
                <w:tcPr>
                  <w:tcW w:w="367" w:type="pct"/>
                  <w:tcBorders>
                    <w:top w:val="single" w:color="auto" w:sz="4" w:space="0"/>
                    <w:left w:val="single" w:color="auto" w:sz="4" w:space="0"/>
                    <w:bottom w:val="single" w:color="auto" w:sz="4" w:space="0"/>
                    <w:right w:val="single" w:color="auto" w:sz="4" w:space="0"/>
                  </w:tcBorders>
                  <w:vAlign w:val="center"/>
                </w:tcPr>
                <w:p>
                  <w:pPr>
                    <w:jc w:val="center"/>
                    <w:rPr>
                      <w:kern w:val="0"/>
                    </w:rPr>
                  </w:pPr>
                  <w:r>
                    <w:rPr>
                      <w:rFonts w:hint="eastAsia"/>
                      <w:kern w:val="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tcBorders>
                    <w:top w:val="single" w:color="auto" w:sz="4" w:space="0"/>
                    <w:left w:val="single" w:color="auto" w:sz="4" w:space="0"/>
                    <w:bottom w:val="single" w:color="auto" w:sz="4" w:space="0"/>
                    <w:right w:val="single" w:color="auto" w:sz="4" w:space="0"/>
                  </w:tcBorders>
                  <w:vAlign w:val="center"/>
                </w:tcPr>
                <w:p>
                  <w:pPr>
                    <w:jc w:val="center"/>
                    <w:rPr>
                      <w:kern w:val="0"/>
                      <w:szCs w:val="24"/>
                    </w:rPr>
                  </w:pPr>
                  <w:r>
                    <w:rPr>
                      <w:rFonts w:hint="eastAsia"/>
                      <w:kern w:val="0"/>
                      <w:sz w:val="24"/>
                      <w:szCs w:val="24"/>
                    </w:rPr>
                    <w:t>资源开发效率</w:t>
                  </w:r>
                </w:p>
                <w:p>
                  <w:pPr>
                    <w:jc w:val="center"/>
                    <w:rPr>
                      <w:kern w:val="0"/>
                      <w:szCs w:val="24"/>
                    </w:rPr>
                  </w:pPr>
                  <w:r>
                    <w:rPr>
                      <w:rFonts w:hint="eastAsia"/>
                      <w:kern w:val="0"/>
                      <w:sz w:val="24"/>
                      <w:szCs w:val="24"/>
                    </w:rPr>
                    <w:t>要求</w:t>
                  </w:r>
                </w:p>
              </w:tc>
              <w:tc>
                <w:tcPr>
                  <w:tcW w:w="2948"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rPr>
                    <w:t>能源：除经过批准的火力发电企业外，禁止销售、燃用高污染燃料；禁止新建、扩建燃用高污染燃料的锅炉、炉窑、工业及经营用炉灶等燃烧设施。调整开发区现有能源结构，加快推进园区集中供热工程，集中供热范围外企业推行天然气等清洁能源。鼓励入园单位釆用节能工艺，增加可利用资源的回收量，降低能耗。</w:t>
                  </w:r>
                  <w:r>
                    <w:rPr>
                      <w:kern w:val="0"/>
                    </w:rPr>
                    <w:t>2020</w:t>
                  </w:r>
                  <w:r>
                    <w:rPr>
                      <w:rFonts w:hint="eastAsia"/>
                      <w:kern w:val="0"/>
                    </w:rPr>
                    <w:t>年，综合能源消费量控制在</w:t>
                  </w:r>
                  <w:r>
                    <w:rPr>
                      <w:kern w:val="0"/>
                    </w:rPr>
                    <w:t xml:space="preserve"> 144.49</w:t>
                  </w:r>
                  <w:r>
                    <w:rPr>
                      <w:rFonts w:hint="eastAsia"/>
                      <w:kern w:val="0"/>
                    </w:rPr>
                    <w:t>万吨标煤，单位</w:t>
                  </w:r>
                  <w:r>
                    <w:rPr>
                      <w:kern w:val="0"/>
                    </w:rPr>
                    <w:t>GDP</w:t>
                  </w:r>
                  <w:r>
                    <w:rPr>
                      <w:rFonts w:hint="eastAsia"/>
                      <w:kern w:val="0"/>
                    </w:rPr>
                    <w:t>能耗达到</w:t>
                  </w:r>
                  <w:r>
                    <w:rPr>
                      <w:kern w:val="0"/>
                    </w:rPr>
                    <w:t>0.264</w:t>
                  </w:r>
                  <w:r>
                    <w:rPr>
                      <w:rFonts w:hint="eastAsia"/>
                      <w:kern w:val="0"/>
                    </w:rPr>
                    <w:t>标煤</w:t>
                  </w:r>
                  <w:r>
                    <w:rPr>
                      <w:kern w:val="0"/>
                    </w:rPr>
                    <w:t>/</w:t>
                  </w:r>
                  <w:r>
                    <w:rPr>
                      <w:rFonts w:hint="eastAsia"/>
                      <w:kern w:val="0"/>
                    </w:rPr>
                    <w:t>万元，到</w:t>
                  </w:r>
                  <w:r>
                    <w:rPr>
                      <w:kern w:val="0"/>
                    </w:rPr>
                    <w:t>2025</w:t>
                  </w:r>
                  <w:r>
                    <w:rPr>
                      <w:rFonts w:hint="eastAsia"/>
                      <w:kern w:val="0"/>
                    </w:rPr>
                    <w:t>年，综合能源消费量控制在</w:t>
                  </w:r>
                  <w:r>
                    <w:rPr>
                      <w:kern w:val="0"/>
                    </w:rPr>
                    <w:t xml:space="preserve">235.17 </w:t>
                  </w:r>
                  <w:r>
                    <w:rPr>
                      <w:rFonts w:hint="eastAsia"/>
                      <w:kern w:val="0"/>
                    </w:rPr>
                    <w:t>万吨标煤，单位</w:t>
                  </w:r>
                  <w:r>
                    <w:rPr>
                      <w:kern w:val="0"/>
                    </w:rPr>
                    <w:t>GDP</w:t>
                  </w:r>
                  <w:r>
                    <w:rPr>
                      <w:rFonts w:hint="eastAsia"/>
                      <w:kern w:val="0"/>
                    </w:rPr>
                    <w:t>能耗达到</w:t>
                  </w:r>
                  <w:r>
                    <w:rPr>
                      <w:kern w:val="0"/>
                    </w:rPr>
                    <w:t xml:space="preserve"> 0.267</w:t>
                  </w:r>
                  <w:r>
                    <w:rPr>
                      <w:rFonts w:hint="eastAsia"/>
                      <w:kern w:val="0"/>
                    </w:rPr>
                    <w:t>标煤</w:t>
                  </w:r>
                  <w:r>
                    <w:rPr>
                      <w:kern w:val="0"/>
                    </w:rPr>
                    <w:t>/</w:t>
                  </w:r>
                  <w:r>
                    <w:rPr>
                      <w:rFonts w:hint="eastAsia"/>
                      <w:kern w:val="0"/>
                    </w:rPr>
                    <w:t>万元。</w:t>
                  </w:r>
                </w:p>
                <w:p>
                  <w:pPr>
                    <w:jc w:val="center"/>
                    <w:rPr>
                      <w:kern w:val="0"/>
                    </w:rPr>
                  </w:pPr>
                  <w:r>
                    <w:rPr>
                      <w:rFonts w:hint="eastAsia"/>
                      <w:kern w:val="0"/>
                    </w:rPr>
                    <w:t>水资源：严格按照用水定额核定取用水量，进一步加强计划用水管理，强化行业和产品用水强度控制。到</w:t>
                  </w:r>
                  <w:r>
                    <w:rPr>
                      <w:kern w:val="0"/>
                    </w:rPr>
                    <w:t>2020</w:t>
                  </w:r>
                  <w:r>
                    <w:rPr>
                      <w:rFonts w:hint="eastAsia"/>
                      <w:kern w:val="0"/>
                    </w:rPr>
                    <w:t>年武陵区水资源开发利用控制红线达到</w:t>
                  </w:r>
                  <w:r>
                    <w:rPr>
                      <w:kern w:val="0"/>
                    </w:rPr>
                    <w:t>3.71</w:t>
                  </w:r>
                  <w:r>
                    <w:rPr>
                      <w:rFonts w:hint="eastAsia"/>
                      <w:kern w:val="0"/>
                    </w:rPr>
                    <w:t>亿立方米，万元国内生产总值用水量、万元工业增加值用水量分别比</w:t>
                  </w:r>
                  <w:r>
                    <w:rPr>
                      <w:kern w:val="0"/>
                    </w:rPr>
                    <w:t>2015</w:t>
                  </w:r>
                  <w:r>
                    <w:rPr>
                      <w:rFonts w:hint="eastAsia"/>
                      <w:kern w:val="0"/>
                    </w:rPr>
                    <w:t>年降低</w:t>
                  </w:r>
                  <w:r>
                    <w:rPr>
                      <w:kern w:val="0"/>
                    </w:rPr>
                    <w:t>30%</w:t>
                  </w:r>
                  <w:r>
                    <w:rPr>
                      <w:rFonts w:hint="eastAsia"/>
                      <w:kern w:val="0"/>
                    </w:rPr>
                    <w:t>和</w:t>
                  </w:r>
                  <w:r>
                    <w:rPr>
                      <w:kern w:val="0"/>
                    </w:rPr>
                    <w:t>22%</w:t>
                  </w:r>
                  <w:r>
                    <w:rPr>
                      <w:rFonts w:hint="eastAsia"/>
                      <w:kern w:val="0"/>
                    </w:rPr>
                    <w:t>。</w:t>
                  </w:r>
                </w:p>
                <w:p>
                  <w:pPr>
                    <w:jc w:val="center"/>
                    <w:rPr>
                      <w:kern w:val="0"/>
                    </w:rPr>
                  </w:pPr>
                  <w:r>
                    <w:rPr>
                      <w:rFonts w:hint="eastAsia"/>
                      <w:kern w:val="0"/>
                    </w:rPr>
                    <w:t>土地资源：推进开发园区土地节约集约利用评价，控制开发园区新增用地规模。以国家产业发展政策为导向，科学合理安</w:t>
                  </w:r>
                  <w:r>
                    <w:rPr>
                      <w:kern w:val="0"/>
                    </w:rPr>
                    <w:t xml:space="preserve"> </w:t>
                  </w:r>
                  <w:r>
                    <w:rPr>
                      <w:rFonts w:hint="eastAsia"/>
                      <w:kern w:val="0"/>
                    </w:rPr>
                    <w:t>排各行各业用地。优先保障区域主导产业发展用地。入园项目投资强度原则上不低于</w:t>
                  </w:r>
                  <w:r>
                    <w:rPr>
                      <w:kern w:val="0"/>
                    </w:rPr>
                    <w:t>200</w:t>
                  </w:r>
                  <w:r>
                    <w:rPr>
                      <w:rFonts w:hint="eastAsia"/>
                      <w:kern w:val="0"/>
                    </w:rPr>
                    <w:t>万元</w:t>
                  </w:r>
                  <w:r>
                    <w:rPr>
                      <w:kern w:val="0"/>
                    </w:rPr>
                    <w:t>/</w:t>
                  </w:r>
                  <w:r>
                    <w:rPr>
                      <w:rFonts w:hint="eastAsia"/>
                      <w:kern w:val="0"/>
                    </w:rPr>
                    <w:t>亩。</w:t>
                  </w:r>
                </w:p>
              </w:tc>
              <w:tc>
                <w:tcPr>
                  <w:tcW w:w="1182" w:type="pct"/>
                  <w:tcBorders>
                    <w:top w:val="single" w:color="auto" w:sz="4" w:space="0"/>
                    <w:left w:val="single" w:color="auto" w:sz="4" w:space="0"/>
                    <w:bottom w:val="single" w:color="auto" w:sz="4" w:space="0"/>
                    <w:right w:val="single" w:color="auto" w:sz="4" w:space="0"/>
                  </w:tcBorders>
                  <w:vAlign w:val="center"/>
                </w:tcPr>
                <w:p>
                  <w:pPr>
                    <w:jc w:val="center"/>
                    <w:rPr>
                      <w:kern w:val="0"/>
                    </w:rPr>
                  </w:pPr>
                  <w:r>
                    <w:rPr>
                      <w:rFonts w:hint="eastAsia"/>
                      <w:kern w:val="0"/>
                    </w:rPr>
                    <w:t>本项目位于常德经济技术开发区，项目使用天然气作为燃料。项目占地</w:t>
                  </w:r>
                  <w:r>
                    <w:rPr>
                      <w:kern w:val="0"/>
                    </w:rPr>
                    <w:t>约</w:t>
                  </w:r>
                  <w:r>
                    <w:rPr>
                      <w:rFonts w:hint="eastAsia"/>
                      <w:kern w:val="0"/>
                    </w:rPr>
                    <w:t>44.6亩，项目总投资150</w:t>
                  </w:r>
                  <w:r>
                    <w:rPr>
                      <w:kern w:val="0"/>
                    </w:rPr>
                    <w:t>00</w:t>
                  </w:r>
                  <w:r>
                    <w:rPr>
                      <w:rFonts w:hint="eastAsia"/>
                      <w:kern w:val="0"/>
                    </w:rPr>
                    <w:t>万元，入园投资强度大于</w:t>
                  </w:r>
                  <w:r>
                    <w:rPr>
                      <w:kern w:val="0"/>
                    </w:rPr>
                    <w:t>200</w:t>
                  </w:r>
                  <w:r>
                    <w:rPr>
                      <w:rFonts w:hint="eastAsia"/>
                      <w:kern w:val="0"/>
                    </w:rPr>
                    <w:t>万元</w:t>
                  </w:r>
                  <w:r>
                    <w:rPr>
                      <w:kern w:val="0"/>
                    </w:rPr>
                    <w:t>/</w:t>
                  </w:r>
                  <w:r>
                    <w:rPr>
                      <w:rFonts w:hint="eastAsia"/>
                      <w:kern w:val="0"/>
                    </w:rPr>
                    <w:t>亩，并已在常德经济技术开发区产业发展局备案。</w:t>
                  </w:r>
                </w:p>
              </w:tc>
              <w:tc>
                <w:tcPr>
                  <w:tcW w:w="367" w:type="pct"/>
                  <w:tcBorders>
                    <w:top w:val="single" w:color="auto" w:sz="4" w:space="0"/>
                    <w:left w:val="single" w:color="auto" w:sz="4" w:space="0"/>
                    <w:bottom w:val="single" w:color="auto" w:sz="4" w:space="0"/>
                    <w:right w:val="single" w:color="auto" w:sz="4" w:space="0"/>
                  </w:tcBorders>
                  <w:vAlign w:val="center"/>
                </w:tcPr>
                <w:p>
                  <w:pPr>
                    <w:jc w:val="center"/>
                    <w:rPr>
                      <w:kern w:val="0"/>
                    </w:rPr>
                  </w:pPr>
                  <w:r>
                    <w:rPr>
                      <w:rFonts w:hint="eastAsia"/>
                      <w:kern w:val="0"/>
                    </w:rPr>
                    <w:t>符合</w:t>
                  </w:r>
                </w:p>
              </w:tc>
            </w:tr>
          </w:tbl>
          <w:p>
            <w:pPr>
              <w:snapToGrid w:val="0"/>
              <w:spacing w:before="163" w:beforeLines="50" w:line="360" w:lineRule="auto"/>
              <w:ind w:firstLine="420"/>
              <w:rPr>
                <w:color w:val="FF0000"/>
              </w:rPr>
            </w:pPr>
            <w:r>
              <w:rPr>
                <w:rFonts w:hint="eastAsia"/>
                <w:kern w:val="0"/>
              </w:rPr>
              <w:t>综上所述，本项目符合《湖南省</w:t>
            </w:r>
            <w:r>
              <w:rPr>
                <w:kern w:val="0"/>
              </w:rPr>
              <w:t>"</w:t>
            </w:r>
            <w:r>
              <w:rPr>
                <w:rFonts w:hint="eastAsia"/>
                <w:kern w:val="0"/>
              </w:rPr>
              <w:t>三线一单</w:t>
            </w:r>
            <w:r>
              <w:rPr>
                <w:kern w:val="0"/>
              </w:rPr>
              <w:t>"</w:t>
            </w:r>
            <w:r>
              <w:rPr>
                <w:rFonts w:hint="eastAsia"/>
                <w:kern w:val="0"/>
              </w:rPr>
              <w:t>生态环境总体管控要求暨省级以上产业园区生态环境准入清单》中的管控要求相关要求。</w:t>
            </w:r>
          </w:p>
          <w:p>
            <w:pPr>
              <w:autoSpaceDE w:val="0"/>
              <w:autoSpaceDN w:val="0"/>
              <w:adjustRightInd w:val="0"/>
              <w:snapToGrid w:val="0"/>
              <w:spacing w:line="360" w:lineRule="auto"/>
              <w:rPr>
                <w:b/>
                <w:kern w:val="0"/>
              </w:rPr>
            </w:pPr>
            <w:r>
              <w:rPr>
                <w:rFonts w:hint="eastAsia"/>
                <w:b/>
                <w:kern w:val="0"/>
              </w:rPr>
              <w:t>3、</w:t>
            </w:r>
            <w:r>
              <w:rPr>
                <w:b/>
                <w:kern w:val="0"/>
              </w:rPr>
              <w:t>选址可行性分析</w:t>
            </w:r>
          </w:p>
          <w:p>
            <w:pPr>
              <w:snapToGrid w:val="0"/>
              <w:spacing w:line="360" w:lineRule="auto"/>
              <w:ind w:firstLine="420"/>
            </w:pPr>
            <w:r>
              <w:rPr>
                <w:rFonts w:hint="eastAsia"/>
              </w:rPr>
              <w:t>（1）土地利用符合性分析</w:t>
            </w:r>
          </w:p>
          <w:p>
            <w:pPr>
              <w:snapToGrid w:val="0"/>
              <w:spacing w:line="360" w:lineRule="auto"/>
              <w:ind w:firstLine="420"/>
            </w:pPr>
            <w:r>
              <w:rPr>
                <w:rFonts w:hint="eastAsia"/>
              </w:rPr>
              <w:t>本项目属于食品生产行业，位于常德经济技术开发区，项目用地属于工业用地，项目用地符合常德经济技术开发区土地利用总体规划。综上分析，项目土地利用符合相关要求。</w:t>
            </w:r>
          </w:p>
          <w:p>
            <w:pPr>
              <w:snapToGrid w:val="0"/>
              <w:spacing w:line="360" w:lineRule="auto"/>
              <w:ind w:firstLine="420"/>
            </w:pPr>
            <w:r>
              <w:rPr>
                <w:rFonts w:hint="eastAsia"/>
              </w:rPr>
              <w:t>（2）与相关规范符合性</w:t>
            </w:r>
          </w:p>
          <w:p>
            <w:pPr>
              <w:snapToGrid w:val="0"/>
              <w:spacing w:line="360" w:lineRule="auto"/>
              <w:ind w:firstLine="420"/>
            </w:pPr>
            <w:r>
              <w:rPr>
                <w:rFonts w:hint="eastAsia"/>
              </w:rPr>
              <w:t>项目为食品生产，其选址应符合《食品生产通用卫生规范》（GB148812013）要求。</w:t>
            </w:r>
          </w:p>
          <w:p>
            <w:pPr>
              <w:snapToGrid w:val="0"/>
              <w:spacing w:line="360" w:lineRule="auto"/>
              <w:ind w:firstLine="420"/>
            </w:pPr>
            <w:r>
              <w:rPr>
                <w:rFonts w:hint="eastAsia"/>
              </w:rPr>
              <w:t>根据规范，规范中关于食品生产选址要求如下：</w:t>
            </w:r>
          </w:p>
          <w:p>
            <w:pPr>
              <w:snapToGrid w:val="0"/>
              <w:spacing w:line="360" w:lineRule="auto"/>
              <w:ind w:firstLine="420"/>
            </w:pPr>
            <w:r>
              <w:rPr>
                <w:rFonts w:hint="eastAsia"/>
              </w:rPr>
              <w:t>①厂区不应选择对食品有显著污染的区域。如某地对食品安全和食品宜食用性存在明显不利影响，且无法通过措施加以改善，应避免在该地址建厂。</w:t>
            </w:r>
          </w:p>
          <w:p>
            <w:pPr>
              <w:snapToGrid w:val="0"/>
              <w:spacing w:line="360" w:lineRule="auto"/>
              <w:ind w:firstLine="420"/>
            </w:pPr>
            <w:r>
              <w:rPr>
                <w:rFonts w:hint="eastAsia"/>
              </w:rPr>
              <w:t>②厂区不应选择有害废弃物以及粉尘、有害气体、放射性物质和其他扩散污染源不能有效清除的地址。</w:t>
            </w:r>
          </w:p>
          <w:p>
            <w:pPr>
              <w:snapToGrid w:val="0"/>
              <w:spacing w:line="360" w:lineRule="auto"/>
              <w:ind w:firstLine="420"/>
            </w:pPr>
            <w:r>
              <w:rPr>
                <w:rFonts w:hint="eastAsia"/>
              </w:rPr>
              <w:t>③厂区不宜择易发生洪涝灾害的地区，难以避开时应设计必要的防范措施。</w:t>
            </w:r>
          </w:p>
          <w:p>
            <w:pPr>
              <w:snapToGrid w:val="0"/>
              <w:spacing w:line="360" w:lineRule="auto"/>
              <w:ind w:firstLine="420"/>
            </w:pPr>
            <w:r>
              <w:rPr>
                <w:rFonts w:hint="eastAsia"/>
              </w:rPr>
              <w:t>④厂区周围厂区周围不宜有虫害大量孳生的潜在场所，难以避开时应设计必要的防范措施。</w:t>
            </w:r>
          </w:p>
          <w:p>
            <w:pPr>
              <w:snapToGrid w:val="0"/>
              <w:spacing w:line="360" w:lineRule="auto"/>
              <w:ind w:firstLine="420"/>
            </w:pPr>
            <w:r>
              <w:rPr>
                <w:rFonts w:hint="eastAsia"/>
              </w:rPr>
              <w:t>根据调查，本项目周边均为空地，外环境对本项目影响较小。项目周边无重污染的化工、冶炼、造纸等对食品有显著污染、虫害滋生的场所，不涉及有害废弃物、有害气体、放射性物质等污染源，不属于易发生洪涝灾害的地区，因此该选址基本符合《食品生产通用卫生规范》（GB14881-2013）要求。</w:t>
            </w:r>
          </w:p>
          <w:p>
            <w:pPr>
              <w:snapToGrid w:val="0"/>
              <w:spacing w:line="360" w:lineRule="auto"/>
              <w:ind w:firstLine="420"/>
            </w:pPr>
          </w:p>
          <w:p>
            <w:pPr>
              <w:snapToGrid w:val="0"/>
              <w:spacing w:line="360" w:lineRule="auto"/>
              <w:ind w:firstLine="420"/>
            </w:pPr>
          </w:p>
          <w:p>
            <w:pPr>
              <w:snapToGrid w:val="0"/>
              <w:spacing w:line="360" w:lineRule="auto"/>
              <w:ind w:firstLine="420"/>
              <w:rPr>
                <w:color w:val="FF0000"/>
              </w:rPr>
            </w:pPr>
          </w:p>
          <w:p>
            <w:pPr>
              <w:snapToGrid w:val="0"/>
              <w:spacing w:line="360" w:lineRule="auto"/>
              <w:ind w:firstLine="420"/>
              <w:rPr>
                <w:color w:val="FF0000"/>
              </w:rPr>
            </w:pPr>
          </w:p>
          <w:p>
            <w:pPr>
              <w:snapToGrid w:val="0"/>
              <w:spacing w:line="360" w:lineRule="auto"/>
              <w:ind w:firstLine="420"/>
              <w:rPr>
                <w:color w:val="FF0000"/>
              </w:rPr>
            </w:pPr>
          </w:p>
        </w:tc>
      </w:tr>
    </w:tbl>
    <w:p>
      <w:pPr>
        <w:jc w:val="center"/>
        <w:rPr>
          <w:color w:val="FF0000"/>
        </w:rPr>
        <w:sectPr>
          <w:footerReference r:id="rId6" w:type="default"/>
          <w:pgSz w:w="11906" w:h="16838"/>
          <w:pgMar w:top="1418" w:right="1588" w:bottom="1418" w:left="1588" w:header="851" w:footer="992" w:gutter="0"/>
          <w:pgNumType w:fmt="numberInDash" w:start="1"/>
          <w:cols w:space="425" w:num="1"/>
          <w:docGrid w:type="lines" w:linePitch="326" w:charSpace="0"/>
        </w:sectPr>
      </w:pPr>
    </w:p>
    <w:p>
      <w:pPr>
        <w:pStyle w:val="3"/>
        <w:jc w:val="center"/>
        <w:rPr>
          <w:rFonts w:ascii="黑体" w:hAnsi="黑体" w:eastAsia="黑体"/>
          <w:b w:val="0"/>
          <w:bCs w:val="0"/>
          <w:sz w:val="30"/>
          <w:szCs w:val="30"/>
        </w:rPr>
      </w:pPr>
      <w:bookmarkStart w:id="1" w:name="_Toc100330843"/>
      <w:r>
        <w:rPr>
          <w:rFonts w:hint="eastAsia" w:ascii="黑体" w:hAnsi="黑体" w:eastAsia="黑体"/>
          <w:b w:val="0"/>
          <w:bCs w:val="0"/>
          <w:sz w:val="30"/>
          <w:szCs w:val="30"/>
        </w:rPr>
        <w:t>二、建设项目工程分析</w:t>
      </w:r>
      <w:bookmarkEnd w:id="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8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1" w:hRule="atLeast"/>
        </w:trPr>
        <w:tc>
          <w:tcPr>
            <w:tcW w:w="809" w:type="dxa"/>
            <w:vAlign w:val="center"/>
          </w:tcPr>
          <w:p>
            <w:pPr>
              <w:jc w:val="center"/>
            </w:pPr>
            <w:r>
              <w:rPr>
                <w:rFonts w:hint="eastAsia"/>
              </w:rPr>
              <w:t>建设内容</w:t>
            </w:r>
          </w:p>
        </w:tc>
        <w:tc>
          <w:tcPr>
            <w:tcW w:w="8137" w:type="dxa"/>
          </w:tcPr>
          <w:p>
            <w:pPr>
              <w:adjustRightInd w:val="0"/>
              <w:snapToGrid w:val="0"/>
              <w:spacing w:before="163" w:beforeLines="50" w:line="360" w:lineRule="auto"/>
              <w:rPr>
                <w:b/>
                <w:bCs/>
              </w:rPr>
            </w:pPr>
            <w:r>
              <w:rPr>
                <w:rFonts w:hint="eastAsia"/>
                <w:b/>
                <w:bCs/>
              </w:rPr>
              <w:t>1、项目由来</w:t>
            </w:r>
          </w:p>
          <w:p>
            <w:pPr>
              <w:snapToGrid w:val="0"/>
              <w:spacing w:line="360" w:lineRule="auto"/>
              <w:ind w:firstLine="420"/>
            </w:pPr>
            <w:r>
              <w:rPr>
                <w:rFonts w:hint="eastAsia"/>
              </w:rPr>
              <w:t>常德水井巷食品有限公司成立于2022年7月，是以生产客家擂茶为核心产品的企业。公司选址于常德市经开区长安路以西、尚德路以南地块，建设精装健康食品生产基地项目。项目主要从事擂茶、芝麻茶、油炸香米、油炸花生米等炒货、油炸食品的生产和销售。</w:t>
            </w:r>
          </w:p>
          <w:p>
            <w:pPr>
              <w:autoSpaceDE w:val="0"/>
              <w:autoSpaceDN w:val="0"/>
              <w:adjustRightInd w:val="0"/>
              <w:snapToGrid w:val="0"/>
              <w:spacing w:line="360" w:lineRule="auto"/>
            </w:pPr>
            <w:r>
              <w:rPr>
                <w:rFonts w:hint="eastAsia"/>
                <w:b/>
                <w:bCs/>
              </w:rPr>
              <w:t>2、建设内容及规模</w:t>
            </w:r>
          </w:p>
          <w:p>
            <w:pPr>
              <w:snapToGrid w:val="0"/>
              <w:spacing w:line="360" w:lineRule="auto"/>
              <w:ind w:firstLine="420"/>
            </w:pPr>
            <w:r>
              <w:rPr>
                <w:rFonts w:hint="eastAsia"/>
              </w:rPr>
              <w:t>项目总用地面积29682.6m</w:t>
            </w:r>
            <w:r>
              <w:rPr>
                <w:rFonts w:hint="eastAsia"/>
                <w:vertAlign w:val="superscript"/>
              </w:rPr>
              <w:t>2</w:t>
            </w:r>
            <w:r>
              <w:rPr>
                <w:rFonts w:hint="eastAsia"/>
              </w:rPr>
              <w:t>，建设生产大楼、分包车间、原料仓库、成品仓库、配套用房及配套环保设施。</w:t>
            </w:r>
          </w:p>
          <w:p>
            <w:pPr>
              <w:snapToGrid w:val="0"/>
              <w:spacing w:line="360" w:lineRule="auto"/>
              <w:ind w:firstLine="420"/>
            </w:pPr>
            <w:r>
              <w:rPr>
                <w:rFonts w:hint="eastAsia"/>
              </w:rPr>
              <w:t>项目组成见下表。</w:t>
            </w:r>
          </w:p>
          <w:p>
            <w:pPr>
              <w:pStyle w:val="17"/>
              <w:spacing w:beforeLines="0" w:line="240" w:lineRule="auto"/>
              <w:ind w:firstLine="0" w:firstLineChars="0"/>
              <w:jc w:val="center"/>
              <w:rPr>
                <w:b/>
                <w:bCs/>
                <w:sz w:val="21"/>
                <w:szCs w:val="21"/>
              </w:rPr>
            </w:pPr>
            <w:r>
              <w:rPr>
                <w:rFonts w:hint="eastAsia"/>
                <w:b/>
                <w:bCs/>
                <w:sz w:val="21"/>
                <w:szCs w:val="21"/>
              </w:rPr>
              <w:t>表2-1  项目组成一览表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338"/>
              <w:gridCol w:w="5106"/>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spacing w:line="300" w:lineRule="auto"/>
                    <w:jc w:val="center"/>
                    <w:rPr>
                      <w:rFonts w:eastAsiaTheme="minorEastAsia"/>
                      <w:b/>
                    </w:rPr>
                  </w:pPr>
                  <w:r>
                    <w:rPr>
                      <w:rFonts w:hAnsiTheme="minorEastAsia" w:eastAsiaTheme="minorEastAsia"/>
                      <w:b/>
                    </w:rPr>
                    <w:t>工程名称</w:t>
                  </w:r>
                </w:p>
              </w:tc>
              <w:tc>
                <w:tcPr>
                  <w:tcW w:w="1330" w:type="dxa"/>
                  <w:vAlign w:val="center"/>
                </w:tcPr>
                <w:p>
                  <w:pPr>
                    <w:spacing w:line="300" w:lineRule="auto"/>
                    <w:jc w:val="center"/>
                    <w:rPr>
                      <w:rFonts w:eastAsiaTheme="minorEastAsia"/>
                      <w:b/>
                    </w:rPr>
                  </w:pPr>
                  <w:r>
                    <w:rPr>
                      <w:rFonts w:hAnsiTheme="minorEastAsia" w:eastAsiaTheme="minorEastAsia"/>
                      <w:b/>
                    </w:rPr>
                    <w:t>工程组成</w:t>
                  </w:r>
                </w:p>
              </w:tc>
              <w:tc>
                <w:tcPr>
                  <w:tcW w:w="5076" w:type="dxa"/>
                  <w:vAlign w:val="center"/>
                </w:tcPr>
                <w:p>
                  <w:pPr>
                    <w:spacing w:line="300" w:lineRule="auto"/>
                    <w:jc w:val="center"/>
                    <w:rPr>
                      <w:rFonts w:eastAsiaTheme="minorEastAsia"/>
                      <w:b/>
                    </w:rPr>
                  </w:pPr>
                  <w:r>
                    <w:rPr>
                      <w:rFonts w:hAnsiTheme="minorEastAsia" w:eastAsiaTheme="minorEastAsia"/>
                      <w:b/>
                    </w:rPr>
                    <w:t>建设内容</w:t>
                  </w:r>
                </w:p>
              </w:tc>
              <w:tc>
                <w:tcPr>
                  <w:tcW w:w="1070" w:type="dxa"/>
                  <w:vAlign w:val="center"/>
                </w:tcPr>
                <w:p>
                  <w:pPr>
                    <w:spacing w:line="300" w:lineRule="auto"/>
                    <w:jc w:val="center"/>
                    <w:rPr>
                      <w:rFonts w:eastAsiaTheme="minorEastAsia"/>
                      <w:b/>
                    </w:rPr>
                  </w:pPr>
                  <w:r>
                    <w:rPr>
                      <w:rFonts w:hAnsiTheme="minorEastAsia" w:eastAsiaTheme="minor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spacing w:line="300" w:lineRule="auto"/>
                    <w:jc w:val="center"/>
                    <w:rPr>
                      <w:rFonts w:eastAsiaTheme="minorEastAsia"/>
                    </w:rPr>
                  </w:pPr>
                  <w:r>
                    <w:rPr>
                      <w:rFonts w:hAnsiTheme="minorEastAsia" w:eastAsiaTheme="minorEastAsia"/>
                    </w:rPr>
                    <w:t>主体工程</w:t>
                  </w:r>
                </w:p>
              </w:tc>
              <w:tc>
                <w:tcPr>
                  <w:tcW w:w="1330" w:type="dxa"/>
                  <w:vAlign w:val="center"/>
                </w:tcPr>
                <w:p>
                  <w:pPr>
                    <w:spacing w:line="300" w:lineRule="auto"/>
                    <w:jc w:val="center"/>
                    <w:rPr>
                      <w:rFonts w:hAnsiTheme="minorEastAsia" w:eastAsiaTheme="minorEastAsia"/>
                    </w:rPr>
                  </w:pPr>
                  <w:r>
                    <w:rPr>
                      <w:rFonts w:hint="eastAsia" w:hAnsiTheme="minorEastAsia" w:eastAsiaTheme="minorEastAsia"/>
                    </w:rPr>
                    <w:t>生产大楼</w:t>
                  </w:r>
                </w:p>
              </w:tc>
              <w:tc>
                <w:tcPr>
                  <w:tcW w:w="5076" w:type="dxa"/>
                  <w:vAlign w:val="center"/>
                </w:tcPr>
                <w:p>
                  <w:pPr>
                    <w:spacing w:line="300" w:lineRule="auto"/>
                    <w:jc w:val="center"/>
                    <w:rPr>
                      <w:rFonts w:eastAsiaTheme="minorEastAsia"/>
                    </w:rPr>
                  </w:pPr>
                  <w:r>
                    <w:rPr>
                      <w:rFonts w:hint="eastAsia" w:eastAsiaTheme="minorEastAsia"/>
                    </w:rPr>
                    <w:t>建筑面积约22347</w:t>
                  </w:r>
                  <w:r>
                    <w:rPr>
                      <w:rFonts w:eastAsiaTheme="minorEastAsia"/>
                    </w:rPr>
                    <w:t>m</w:t>
                  </w:r>
                  <w:r>
                    <w:rPr>
                      <w:rFonts w:eastAsiaTheme="minorEastAsia"/>
                      <w:vertAlign w:val="superscript"/>
                    </w:rPr>
                    <w:t>2</w:t>
                  </w:r>
                  <w:r>
                    <w:rPr>
                      <w:rFonts w:hAnsiTheme="minorEastAsia" w:eastAsiaTheme="minorEastAsia"/>
                    </w:rPr>
                    <w:t>，</w:t>
                  </w:r>
                  <w:r>
                    <w:rPr>
                      <w:rFonts w:hint="eastAsia" w:eastAsiaTheme="minorEastAsia"/>
                    </w:rPr>
                    <w:t>4</w:t>
                  </w:r>
                  <w:r>
                    <w:rPr>
                      <w:rFonts w:eastAsiaTheme="minorEastAsia"/>
                    </w:rPr>
                    <w:t>F</w:t>
                  </w:r>
                  <w:r>
                    <w:rPr>
                      <w:rFonts w:hAnsiTheme="minorEastAsia" w:eastAsiaTheme="minorEastAsia"/>
                    </w:rPr>
                    <w:t>，钢架结构</w:t>
                  </w:r>
                </w:p>
              </w:tc>
              <w:tc>
                <w:tcPr>
                  <w:tcW w:w="1070" w:type="dxa"/>
                  <w:vAlign w:val="center"/>
                </w:tcPr>
                <w:p>
                  <w:pPr>
                    <w:spacing w:line="300" w:lineRule="auto"/>
                    <w:jc w:val="center"/>
                    <w:rPr>
                      <w:rFonts w:eastAsiaTheme="minorEastAsia"/>
                    </w:rPr>
                  </w:pPr>
                  <w:r>
                    <w:rPr>
                      <w:rFonts w:hAnsiTheme="minorEastAsia" w:eastAsiaTheme="minor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restart"/>
                  <w:vAlign w:val="center"/>
                </w:tcPr>
                <w:p>
                  <w:pPr>
                    <w:spacing w:line="300" w:lineRule="auto"/>
                    <w:jc w:val="center"/>
                    <w:rPr>
                      <w:rFonts w:hAnsiTheme="minorEastAsia" w:eastAsiaTheme="minorEastAsia"/>
                    </w:rPr>
                  </w:pPr>
                  <w:r>
                    <w:rPr>
                      <w:rFonts w:hAnsiTheme="minorEastAsia" w:eastAsiaTheme="minorEastAsia"/>
                    </w:rPr>
                    <w:t>辅助工程</w:t>
                  </w:r>
                </w:p>
              </w:tc>
              <w:tc>
                <w:tcPr>
                  <w:tcW w:w="1330" w:type="dxa"/>
                  <w:vAlign w:val="center"/>
                </w:tcPr>
                <w:p>
                  <w:pPr>
                    <w:spacing w:line="300" w:lineRule="auto"/>
                    <w:jc w:val="center"/>
                    <w:rPr>
                      <w:rFonts w:hAnsiTheme="minorEastAsia" w:eastAsiaTheme="minorEastAsia"/>
                    </w:rPr>
                  </w:pPr>
                  <w:r>
                    <w:rPr>
                      <w:rFonts w:hint="eastAsia" w:hAnsiTheme="minorEastAsia" w:eastAsiaTheme="minorEastAsia"/>
                    </w:rPr>
                    <w:t>分包车间</w:t>
                  </w:r>
                </w:p>
              </w:tc>
              <w:tc>
                <w:tcPr>
                  <w:tcW w:w="5076" w:type="dxa"/>
                  <w:vAlign w:val="center"/>
                </w:tcPr>
                <w:p>
                  <w:pPr>
                    <w:spacing w:line="300" w:lineRule="auto"/>
                    <w:jc w:val="center"/>
                    <w:rPr>
                      <w:rFonts w:eastAsiaTheme="minorEastAsia"/>
                    </w:rPr>
                  </w:pPr>
                  <w:r>
                    <w:rPr>
                      <w:rFonts w:hint="eastAsia" w:eastAsiaTheme="minorEastAsia"/>
                    </w:rPr>
                    <w:t>建筑面积约9036</w:t>
                  </w:r>
                  <w:r>
                    <w:rPr>
                      <w:rFonts w:eastAsiaTheme="minorEastAsia"/>
                    </w:rPr>
                    <w:t>m</w:t>
                  </w:r>
                  <w:r>
                    <w:rPr>
                      <w:rFonts w:eastAsiaTheme="minorEastAsia"/>
                      <w:vertAlign w:val="superscript"/>
                    </w:rPr>
                    <w:t>2</w:t>
                  </w:r>
                  <w:r>
                    <w:rPr>
                      <w:rFonts w:hAnsiTheme="minorEastAsia" w:eastAsiaTheme="minorEastAsia"/>
                    </w:rPr>
                    <w:t>，</w:t>
                  </w:r>
                  <w:r>
                    <w:rPr>
                      <w:rFonts w:hint="eastAsia" w:eastAsiaTheme="minorEastAsia"/>
                    </w:rPr>
                    <w:t>4</w:t>
                  </w:r>
                  <w:r>
                    <w:rPr>
                      <w:rFonts w:eastAsiaTheme="minorEastAsia"/>
                    </w:rPr>
                    <w:t>F</w:t>
                  </w:r>
                  <w:r>
                    <w:rPr>
                      <w:rFonts w:hAnsiTheme="minorEastAsia" w:eastAsiaTheme="minorEastAsia"/>
                    </w:rPr>
                    <w:t>，钢架结构</w:t>
                  </w:r>
                </w:p>
              </w:tc>
              <w:tc>
                <w:tcPr>
                  <w:tcW w:w="1070" w:type="dxa"/>
                  <w:vAlign w:val="center"/>
                </w:tcPr>
                <w:p>
                  <w:pPr>
                    <w:spacing w:line="300" w:lineRule="auto"/>
                    <w:jc w:val="center"/>
                    <w:rPr>
                      <w:rFonts w:hAnsiTheme="minorEastAsia" w:eastAsiaTheme="minorEastAsia"/>
                    </w:rPr>
                  </w:pPr>
                  <w:r>
                    <w:rPr>
                      <w:rFonts w:hAnsiTheme="minorEastAsia" w:eastAsiaTheme="minor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vAlign w:val="center"/>
                </w:tcPr>
                <w:p>
                  <w:pPr>
                    <w:spacing w:line="300" w:lineRule="auto"/>
                    <w:jc w:val="center"/>
                    <w:rPr>
                      <w:rFonts w:hAnsiTheme="minorEastAsia" w:eastAsiaTheme="minorEastAsia"/>
                    </w:rPr>
                  </w:pPr>
                </w:p>
              </w:tc>
              <w:tc>
                <w:tcPr>
                  <w:tcW w:w="1330" w:type="dxa"/>
                  <w:vAlign w:val="center"/>
                </w:tcPr>
                <w:p>
                  <w:pPr>
                    <w:spacing w:line="300" w:lineRule="auto"/>
                    <w:jc w:val="center"/>
                    <w:rPr>
                      <w:rFonts w:hAnsiTheme="minorEastAsia" w:eastAsiaTheme="minorEastAsia"/>
                    </w:rPr>
                  </w:pPr>
                  <w:r>
                    <w:rPr>
                      <w:rFonts w:hAnsiTheme="minorEastAsia" w:eastAsiaTheme="minorEastAsia"/>
                    </w:rPr>
                    <w:t>办公楼</w:t>
                  </w:r>
                  <w:r>
                    <w:rPr>
                      <w:rFonts w:hint="eastAsia" w:hAnsiTheme="minorEastAsia" w:eastAsiaTheme="minorEastAsia"/>
                    </w:rPr>
                    <w:t xml:space="preserve"> </w:t>
                  </w:r>
                </w:p>
              </w:tc>
              <w:tc>
                <w:tcPr>
                  <w:tcW w:w="5076" w:type="dxa"/>
                  <w:vAlign w:val="center"/>
                </w:tcPr>
                <w:p>
                  <w:pPr>
                    <w:spacing w:line="300" w:lineRule="auto"/>
                    <w:jc w:val="center"/>
                    <w:rPr>
                      <w:rFonts w:eastAsiaTheme="minorEastAsia"/>
                    </w:rPr>
                  </w:pPr>
                  <w:r>
                    <w:rPr>
                      <w:rFonts w:hint="eastAsia" w:eastAsiaTheme="minorEastAsia"/>
                    </w:rPr>
                    <w:t>建筑面积约3893</w:t>
                  </w:r>
                  <w:r>
                    <w:rPr>
                      <w:rFonts w:eastAsiaTheme="minorEastAsia"/>
                    </w:rPr>
                    <w:t>m</w:t>
                  </w:r>
                  <w:r>
                    <w:rPr>
                      <w:rFonts w:eastAsiaTheme="minorEastAsia"/>
                      <w:vertAlign w:val="superscript"/>
                    </w:rPr>
                    <w:t>2</w:t>
                  </w:r>
                  <w:r>
                    <w:rPr>
                      <w:rFonts w:hAnsiTheme="minorEastAsia" w:eastAsiaTheme="minorEastAsia"/>
                    </w:rPr>
                    <w:t>，</w:t>
                  </w:r>
                  <w:r>
                    <w:rPr>
                      <w:rFonts w:hint="eastAsia" w:hAnsiTheme="minorEastAsia" w:eastAsiaTheme="minorEastAsia"/>
                    </w:rPr>
                    <w:t>5F，用于办公及会议接待</w:t>
                  </w:r>
                  <w:r>
                    <w:rPr>
                      <w:rFonts w:eastAsiaTheme="minorEastAsia"/>
                    </w:rPr>
                    <w:t xml:space="preserve"> </w:t>
                  </w:r>
                </w:p>
              </w:tc>
              <w:tc>
                <w:tcPr>
                  <w:tcW w:w="1070" w:type="dxa"/>
                  <w:vAlign w:val="center"/>
                </w:tcPr>
                <w:p>
                  <w:pPr>
                    <w:spacing w:line="300" w:lineRule="auto"/>
                    <w:jc w:val="center"/>
                    <w:rPr>
                      <w:rFonts w:eastAsiaTheme="minorEastAsia"/>
                    </w:rPr>
                  </w:pPr>
                  <w:r>
                    <w:rPr>
                      <w:rFonts w:hAnsiTheme="minorEastAsia" w:eastAsiaTheme="minor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vAlign w:val="center"/>
                </w:tcPr>
                <w:p>
                  <w:pPr>
                    <w:spacing w:line="300" w:lineRule="auto"/>
                    <w:jc w:val="center"/>
                    <w:rPr>
                      <w:rFonts w:hAnsiTheme="minorEastAsia" w:eastAsiaTheme="minorEastAsia"/>
                    </w:rPr>
                  </w:pPr>
                </w:p>
              </w:tc>
              <w:tc>
                <w:tcPr>
                  <w:tcW w:w="1330" w:type="dxa"/>
                  <w:vAlign w:val="center"/>
                </w:tcPr>
                <w:p>
                  <w:pPr>
                    <w:spacing w:line="300" w:lineRule="auto"/>
                    <w:jc w:val="center"/>
                    <w:rPr>
                      <w:rFonts w:hAnsiTheme="minorEastAsia" w:eastAsiaTheme="minorEastAsia"/>
                    </w:rPr>
                  </w:pPr>
                  <w:r>
                    <w:rPr>
                      <w:rFonts w:hint="eastAsia" w:hAnsiTheme="minorEastAsia" w:eastAsiaTheme="minorEastAsia"/>
                    </w:rPr>
                    <w:t>员工宿舍楼</w:t>
                  </w:r>
                </w:p>
              </w:tc>
              <w:tc>
                <w:tcPr>
                  <w:tcW w:w="5076" w:type="dxa"/>
                  <w:vAlign w:val="center"/>
                </w:tcPr>
                <w:p>
                  <w:pPr>
                    <w:spacing w:line="300" w:lineRule="auto"/>
                    <w:jc w:val="center"/>
                    <w:rPr>
                      <w:rFonts w:eastAsiaTheme="minorEastAsia"/>
                    </w:rPr>
                  </w:pPr>
                  <w:r>
                    <w:rPr>
                      <w:rFonts w:hint="eastAsia" w:eastAsiaTheme="minorEastAsia"/>
                    </w:rPr>
                    <w:t>建筑面积约3996</w:t>
                  </w:r>
                  <w:r>
                    <w:rPr>
                      <w:rFonts w:eastAsiaTheme="minorEastAsia"/>
                    </w:rPr>
                    <w:t>m</w:t>
                  </w:r>
                  <w:r>
                    <w:rPr>
                      <w:rFonts w:eastAsiaTheme="minorEastAsia"/>
                      <w:vertAlign w:val="superscript"/>
                    </w:rPr>
                    <w:t>2</w:t>
                  </w:r>
                  <w:r>
                    <w:rPr>
                      <w:rFonts w:hAnsiTheme="minorEastAsia" w:eastAsiaTheme="minorEastAsia"/>
                    </w:rPr>
                    <w:t>，</w:t>
                  </w:r>
                  <w:r>
                    <w:rPr>
                      <w:rFonts w:hint="eastAsia" w:hAnsiTheme="minorEastAsia" w:eastAsiaTheme="minorEastAsia"/>
                    </w:rPr>
                    <w:t>5F，用于员工休息</w:t>
                  </w:r>
                </w:p>
              </w:tc>
              <w:tc>
                <w:tcPr>
                  <w:tcW w:w="1070" w:type="dxa"/>
                  <w:vAlign w:val="center"/>
                </w:tcPr>
                <w:p>
                  <w:pPr>
                    <w:spacing w:line="300" w:lineRule="auto"/>
                    <w:jc w:val="center"/>
                    <w:rPr>
                      <w:rFonts w:eastAsiaTheme="minorEastAsia"/>
                    </w:rPr>
                  </w:pPr>
                  <w:r>
                    <w:rPr>
                      <w:rFonts w:hAnsiTheme="minorEastAsia" w:eastAsiaTheme="minor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restart"/>
                  <w:vAlign w:val="center"/>
                </w:tcPr>
                <w:p>
                  <w:pPr>
                    <w:spacing w:line="300" w:lineRule="auto"/>
                    <w:jc w:val="center"/>
                    <w:rPr>
                      <w:rFonts w:eastAsiaTheme="minorEastAsia"/>
                    </w:rPr>
                  </w:pPr>
                  <w:r>
                    <w:rPr>
                      <w:rFonts w:hAnsiTheme="minorEastAsia" w:eastAsiaTheme="minorEastAsia"/>
                    </w:rPr>
                    <w:t>储运工程</w:t>
                  </w:r>
                </w:p>
              </w:tc>
              <w:tc>
                <w:tcPr>
                  <w:tcW w:w="1330" w:type="dxa"/>
                  <w:vAlign w:val="center"/>
                </w:tcPr>
                <w:p>
                  <w:pPr>
                    <w:spacing w:line="300" w:lineRule="auto"/>
                    <w:jc w:val="center"/>
                    <w:rPr>
                      <w:rFonts w:eastAsiaTheme="minorEastAsia"/>
                    </w:rPr>
                  </w:pPr>
                  <w:r>
                    <w:rPr>
                      <w:rFonts w:eastAsiaTheme="minorEastAsia"/>
                    </w:rPr>
                    <w:t>原料仓库</w:t>
                  </w:r>
                </w:p>
              </w:tc>
              <w:tc>
                <w:tcPr>
                  <w:tcW w:w="5076" w:type="dxa"/>
                  <w:vAlign w:val="center"/>
                </w:tcPr>
                <w:p>
                  <w:pPr>
                    <w:spacing w:line="300" w:lineRule="auto"/>
                    <w:jc w:val="center"/>
                    <w:rPr>
                      <w:rFonts w:eastAsiaTheme="minorEastAsia"/>
                    </w:rPr>
                  </w:pPr>
                  <w:r>
                    <w:rPr>
                      <w:rFonts w:hint="eastAsia" w:eastAsiaTheme="minorEastAsia"/>
                    </w:rPr>
                    <w:t>建筑面积约6465</w:t>
                  </w:r>
                  <w:r>
                    <w:rPr>
                      <w:rFonts w:eastAsiaTheme="minorEastAsia"/>
                    </w:rPr>
                    <w:t>m</w:t>
                  </w:r>
                  <w:r>
                    <w:rPr>
                      <w:rFonts w:eastAsiaTheme="minorEastAsia"/>
                      <w:vertAlign w:val="superscript"/>
                    </w:rPr>
                    <w:t>2</w:t>
                  </w:r>
                  <w:r>
                    <w:rPr>
                      <w:rFonts w:hAnsiTheme="minorEastAsia" w:eastAsiaTheme="minorEastAsia"/>
                    </w:rPr>
                    <w:t>，</w:t>
                  </w:r>
                  <w:r>
                    <w:rPr>
                      <w:rFonts w:hint="eastAsia" w:hAnsiTheme="minorEastAsia" w:eastAsiaTheme="minorEastAsia"/>
                    </w:rPr>
                    <w:t>4F，1-2层为冷库，用于期货仓储，3-4层为常温仓库，用于原材料的短期暂存</w:t>
                  </w:r>
                </w:p>
              </w:tc>
              <w:tc>
                <w:tcPr>
                  <w:tcW w:w="1070" w:type="dxa"/>
                  <w:vAlign w:val="center"/>
                </w:tcPr>
                <w:p>
                  <w:pPr>
                    <w:spacing w:line="300" w:lineRule="auto"/>
                    <w:jc w:val="center"/>
                    <w:rPr>
                      <w:rFonts w:eastAsiaTheme="minorEastAsia"/>
                    </w:rPr>
                  </w:pPr>
                  <w:r>
                    <w:rPr>
                      <w:rFonts w:hAnsiTheme="minorEastAsia" w:eastAsiaTheme="minor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vAlign w:val="center"/>
                </w:tcPr>
                <w:p>
                  <w:pPr>
                    <w:spacing w:line="300" w:lineRule="auto"/>
                    <w:jc w:val="center"/>
                    <w:rPr>
                      <w:rFonts w:eastAsiaTheme="minorEastAsia"/>
                    </w:rPr>
                  </w:pPr>
                </w:p>
              </w:tc>
              <w:tc>
                <w:tcPr>
                  <w:tcW w:w="1330" w:type="dxa"/>
                  <w:vAlign w:val="center"/>
                </w:tcPr>
                <w:p>
                  <w:pPr>
                    <w:spacing w:line="300" w:lineRule="auto"/>
                    <w:jc w:val="center"/>
                    <w:rPr>
                      <w:rFonts w:hAnsiTheme="minorEastAsia" w:eastAsiaTheme="minorEastAsia"/>
                    </w:rPr>
                  </w:pPr>
                  <w:r>
                    <w:rPr>
                      <w:rFonts w:hAnsiTheme="minorEastAsia" w:eastAsiaTheme="minorEastAsia"/>
                    </w:rPr>
                    <w:t>成品仓库</w:t>
                  </w:r>
                </w:p>
              </w:tc>
              <w:tc>
                <w:tcPr>
                  <w:tcW w:w="5076" w:type="dxa"/>
                  <w:vAlign w:val="center"/>
                </w:tcPr>
                <w:p>
                  <w:pPr>
                    <w:spacing w:line="300" w:lineRule="auto"/>
                    <w:jc w:val="center"/>
                    <w:rPr>
                      <w:rFonts w:eastAsiaTheme="minorEastAsia"/>
                    </w:rPr>
                  </w:pPr>
                  <w:r>
                    <w:rPr>
                      <w:rFonts w:hint="eastAsia" w:eastAsiaTheme="minorEastAsia"/>
                    </w:rPr>
                    <w:t>建筑面积约8072</w:t>
                  </w:r>
                  <w:r>
                    <w:rPr>
                      <w:rFonts w:eastAsiaTheme="minorEastAsia"/>
                    </w:rPr>
                    <w:t>m</w:t>
                  </w:r>
                  <w:r>
                    <w:rPr>
                      <w:rFonts w:eastAsiaTheme="minorEastAsia"/>
                      <w:vertAlign w:val="superscript"/>
                    </w:rPr>
                    <w:t>2</w:t>
                  </w:r>
                  <w:r>
                    <w:rPr>
                      <w:rFonts w:hAnsiTheme="minorEastAsia" w:eastAsiaTheme="minorEastAsia"/>
                    </w:rPr>
                    <w:t>，</w:t>
                  </w:r>
                  <w:r>
                    <w:rPr>
                      <w:rFonts w:hint="eastAsia" w:hAnsiTheme="minorEastAsia" w:eastAsiaTheme="minorEastAsia"/>
                    </w:rPr>
                    <w:t>4F，用于成品暂存</w:t>
                  </w:r>
                </w:p>
              </w:tc>
              <w:tc>
                <w:tcPr>
                  <w:tcW w:w="1070" w:type="dxa"/>
                  <w:vAlign w:val="center"/>
                </w:tcPr>
                <w:p>
                  <w:pPr>
                    <w:spacing w:line="300" w:lineRule="auto"/>
                    <w:jc w:val="center"/>
                    <w:rPr>
                      <w:rFonts w:eastAsiaTheme="minorEastAsia"/>
                    </w:rPr>
                  </w:pPr>
                  <w:r>
                    <w:rPr>
                      <w:rFonts w:hAnsiTheme="minorEastAsia" w:eastAsiaTheme="minor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restart"/>
                  <w:vAlign w:val="center"/>
                </w:tcPr>
                <w:p>
                  <w:pPr>
                    <w:spacing w:line="300" w:lineRule="auto"/>
                    <w:jc w:val="center"/>
                    <w:rPr>
                      <w:rFonts w:eastAsiaTheme="minorEastAsia"/>
                    </w:rPr>
                  </w:pPr>
                  <w:r>
                    <w:rPr>
                      <w:rFonts w:hAnsiTheme="minorEastAsia" w:eastAsiaTheme="minorEastAsia"/>
                    </w:rPr>
                    <w:t>公用工程</w:t>
                  </w:r>
                </w:p>
              </w:tc>
              <w:tc>
                <w:tcPr>
                  <w:tcW w:w="1330" w:type="dxa"/>
                  <w:vAlign w:val="center"/>
                </w:tcPr>
                <w:p>
                  <w:pPr>
                    <w:spacing w:line="300" w:lineRule="auto"/>
                    <w:jc w:val="center"/>
                    <w:rPr>
                      <w:rFonts w:eastAsiaTheme="minorEastAsia"/>
                      <w:spacing w:val="20"/>
                    </w:rPr>
                  </w:pPr>
                  <w:r>
                    <w:rPr>
                      <w:rFonts w:hAnsiTheme="minorEastAsia" w:eastAsiaTheme="minorEastAsia"/>
                    </w:rPr>
                    <w:t>给水</w:t>
                  </w:r>
                </w:p>
              </w:tc>
              <w:tc>
                <w:tcPr>
                  <w:tcW w:w="5076" w:type="dxa"/>
                  <w:vAlign w:val="center"/>
                </w:tcPr>
                <w:p>
                  <w:pPr>
                    <w:spacing w:line="300" w:lineRule="auto"/>
                    <w:jc w:val="center"/>
                    <w:rPr>
                      <w:rFonts w:eastAsiaTheme="minorEastAsia"/>
                    </w:rPr>
                  </w:pPr>
                  <w:r>
                    <w:rPr>
                      <w:rFonts w:hint="eastAsia" w:hAnsiTheme="minorEastAsia" w:eastAsiaTheme="minorEastAsia"/>
                    </w:rPr>
                    <w:t>园区</w:t>
                  </w:r>
                  <w:r>
                    <w:rPr>
                      <w:rFonts w:hAnsiTheme="minorEastAsia" w:eastAsiaTheme="minorEastAsia"/>
                    </w:rPr>
                    <w:t>自来水管网供给</w:t>
                  </w:r>
                </w:p>
              </w:tc>
              <w:tc>
                <w:tcPr>
                  <w:tcW w:w="1070" w:type="dxa"/>
                  <w:vAlign w:val="center"/>
                </w:tcPr>
                <w:p>
                  <w:pPr>
                    <w:spacing w:line="300" w:lineRule="auto"/>
                    <w:jc w:val="center"/>
                    <w:rPr>
                      <w:rFonts w:eastAsiaTheme="minorEastAsia"/>
                    </w:rPr>
                  </w:pPr>
                  <w:r>
                    <w:rPr>
                      <w:rFonts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vAlign w:val="center"/>
                </w:tcPr>
                <w:p>
                  <w:pPr>
                    <w:spacing w:line="300" w:lineRule="auto"/>
                    <w:jc w:val="center"/>
                    <w:rPr>
                      <w:rFonts w:eastAsiaTheme="minorEastAsia"/>
                    </w:rPr>
                  </w:pPr>
                </w:p>
              </w:tc>
              <w:tc>
                <w:tcPr>
                  <w:tcW w:w="1330" w:type="dxa"/>
                  <w:vAlign w:val="center"/>
                </w:tcPr>
                <w:p>
                  <w:pPr>
                    <w:spacing w:line="300" w:lineRule="auto"/>
                    <w:jc w:val="center"/>
                    <w:rPr>
                      <w:rFonts w:eastAsiaTheme="minorEastAsia"/>
                      <w:spacing w:val="20"/>
                    </w:rPr>
                  </w:pPr>
                  <w:r>
                    <w:rPr>
                      <w:rFonts w:hAnsiTheme="minorEastAsia" w:eastAsiaTheme="minorEastAsia"/>
                    </w:rPr>
                    <w:t>排水</w:t>
                  </w:r>
                </w:p>
              </w:tc>
              <w:tc>
                <w:tcPr>
                  <w:tcW w:w="5076" w:type="dxa"/>
                  <w:vAlign w:val="center"/>
                </w:tcPr>
                <w:p>
                  <w:pPr>
                    <w:spacing w:line="300" w:lineRule="auto"/>
                    <w:jc w:val="center"/>
                    <w:rPr>
                      <w:rFonts w:eastAsiaTheme="minorEastAsia"/>
                    </w:rPr>
                  </w:pPr>
                  <w:r>
                    <w:rPr>
                      <w:rFonts w:hAnsiTheme="minorEastAsia" w:eastAsiaTheme="minorEastAsia"/>
                    </w:rPr>
                    <w:t>纳入</w:t>
                  </w:r>
                  <w:r>
                    <w:rPr>
                      <w:rFonts w:hint="eastAsia" w:hAnsiTheme="minorEastAsia" w:eastAsiaTheme="minorEastAsia"/>
                    </w:rPr>
                    <w:t>园区</w:t>
                  </w:r>
                  <w:r>
                    <w:rPr>
                      <w:rFonts w:hAnsiTheme="minorEastAsia" w:eastAsiaTheme="minorEastAsia"/>
                    </w:rPr>
                    <w:t>污水管网</w:t>
                  </w:r>
                </w:p>
              </w:tc>
              <w:tc>
                <w:tcPr>
                  <w:tcW w:w="1070" w:type="dxa"/>
                  <w:vAlign w:val="center"/>
                </w:tcPr>
                <w:p>
                  <w:pPr>
                    <w:spacing w:line="300" w:lineRule="auto"/>
                    <w:jc w:val="center"/>
                    <w:rPr>
                      <w:rFonts w:eastAsiaTheme="minorEastAsia"/>
                    </w:rPr>
                  </w:pPr>
                  <w:r>
                    <w:rPr>
                      <w:rFonts w:eastAsiaTheme="minor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vAlign w:val="center"/>
                </w:tcPr>
                <w:p>
                  <w:pPr>
                    <w:spacing w:line="300" w:lineRule="auto"/>
                    <w:jc w:val="center"/>
                    <w:rPr>
                      <w:rFonts w:eastAsiaTheme="minorEastAsia"/>
                    </w:rPr>
                  </w:pPr>
                </w:p>
              </w:tc>
              <w:tc>
                <w:tcPr>
                  <w:tcW w:w="1330" w:type="dxa"/>
                  <w:vAlign w:val="center"/>
                </w:tcPr>
                <w:p>
                  <w:pPr>
                    <w:spacing w:line="300" w:lineRule="auto"/>
                    <w:jc w:val="center"/>
                    <w:rPr>
                      <w:rFonts w:eastAsiaTheme="minorEastAsia"/>
                      <w:spacing w:val="20"/>
                    </w:rPr>
                  </w:pPr>
                  <w:r>
                    <w:rPr>
                      <w:rFonts w:hAnsiTheme="minorEastAsia" w:eastAsiaTheme="minorEastAsia"/>
                    </w:rPr>
                    <w:t>供电</w:t>
                  </w:r>
                </w:p>
              </w:tc>
              <w:tc>
                <w:tcPr>
                  <w:tcW w:w="5076" w:type="dxa"/>
                  <w:vAlign w:val="center"/>
                </w:tcPr>
                <w:p>
                  <w:pPr>
                    <w:spacing w:line="300" w:lineRule="auto"/>
                    <w:jc w:val="center"/>
                    <w:rPr>
                      <w:rFonts w:eastAsiaTheme="minorEastAsia"/>
                    </w:rPr>
                  </w:pPr>
                  <w:r>
                    <w:rPr>
                      <w:rFonts w:hint="eastAsia" w:hAnsiTheme="minorEastAsia" w:eastAsiaTheme="minorEastAsia"/>
                    </w:rPr>
                    <w:t>园区</w:t>
                  </w:r>
                  <w:r>
                    <w:rPr>
                      <w:rFonts w:hAnsiTheme="minorEastAsia" w:eastAsiaTheme="minorEastAsia"/>
                    </w:rPr>
                    <w:t>电网供电</w:t>
                  </w:r>
                </w:p>
              </w:tc>
              <w:tc>
                <w:tcPr>
                  <w:tcW w:w="1070" w:type="dxa"/>
                  <w:vAlign w:val="center"/>
                </w:tcPr>
                <w:p>
                  <w:pPr>
                    <w:spacing w:line="300" w:lineRule="auto"/>
                    <w:jc w:val="center"/>
                    <w:rPr>
                      <w:rFonts w:eastAsiaTheme="minorEastAsia"/>
                    </w:rPr>
                  </w:pPr>
                  <w:r>
                    <w:rPr>
                      <w:rFonts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restart"/>
                  <w:vAlign w:val="center"/>
                </w:tcPr>
                <w:p>
                  <w:pPr>
                    <w:spacing w:line="300" w:lineRule="auto"/>
                    <w:jc w:val="center"/>
                    <w:rPr>
                      <w:rFonts w:eastAsiaTheme="minorEastAsia"/>
                    </w:rPr>
                  </w:pPr>
                  <w:r>
                    <w:rPr>
                      <w:rFonts w:hAnsiTheme="minorEastAsia" w:eastAsiaTheme="minorEastAsia"/>
                    </w:rPr>
                    <w:t>环保工程</w:t>
                  </w:r>
                </w:p>
              </w:tc>
              <w:tc>
                <w:tcPr>
                  <w:tcW w:w="1330" w:type="dxa"/>
                  <w:vAlign w:val="center"/>
                </w:tcPr>
                <w:p>
                  <w:pPr>
                    <w:spacing w:line="300" w:lineRule="auto"/>
                    <w:jc w:val="center"/>
                    <w:rPr>
                      <w:rFonts w:eastAsiaTheme="minorEastAsia"/>
                    </w:rPr>
                  </w:pPr>
                  <w:r>
                    <w:rPr>
                      <w:rFonts w:hAnsiTheme="minorEastAsia" w:eastAsiaTheme="minorEastAsia"/>
                    </w:rPr>
                    <w:t>废气处理</w:t>
                  </w:r>
                </w:p>
              </w:tc>
              <w:tc>
                <w:tcPr>
                  <w:tcW w:w="5076" w:type="dxa"/>
                  <w:vAlign w:val="center"/>
                </w:tcPr>
                <w:p>
                  <w:pPr>
                    <w:spacing w:line="300" w:lineRule="auto"/>
                    <w:jc w:val="center"/>
                    <w:rPr>
                      <w:rFonts w:hAnsiTheme="minorEastAsia" w:eastAsiaTheme="minorEastAsia"/>
                    </w:rPr>
                  </w:pPr>
                  <w:r>
                    <w:rPr>
                      <w:rFonts w:hAnsiTheme="minorEastAsia" w:eastAsiaTheme="minorEastAsia"/>
                    </w:rPr>
                    <w:t>低温油炸废气经集气罩收集，经</w:t>
                  </w:r>
                  <w:r>
                    <w:rPr>
                      <w:rFonts w:hint="eastAsia" w:hAnsiTheme="minorEastAsia" w:eastAsiaTheme="minorEastAsia"/>
                    </w:rPr>
                    <w:t>水雾除油+离心除油处理，油污进入隔油池；炒制设备为密闭，炒制粉尘废气经喷淋处理，与油炸废气经楼顶排气筒DA001（20m）排放；</w:t>
                  </w:r>
                </w:p>
                <w:p>
                  <w:pPr>
                    <w:spacing w:line="300" w:lineRule="auto"/>
                    <w:jc w:val="center"/>
                    <w:rPr>
                      <w:rFonts w:eastAsiaTheme="minorEastAsia"/>
                    </w:rPr>
                  </w:pPr>
                  <w:r>
                    <w:rPr>
                      <w:rFonts w:hAnsiTheme="minorEastAsia" w:eastAsiaTheme="minorEastAsia"/>
                    </w:rPr>
                    <w:t>天然气燃烧设备配备低氮燃烧器，燃烧废气经楼顶</w:t>
                  </w:r>
                  <w:r>
                    <w:rPr>
                      <w:rFonts w:hint="eastAsia" w:hAnsiTheme="minorEastAsia" w:eastAsiaTheme="minorEastAsia"/>
                    </w:rPr>
                    <w:t>气筒DA002（20m）排放</w:t>
                  </w:r>
                  <w:r>
                    <w:rPr>
                      <w:rFonts w:hAnsiTheme="minorEastAsia" w:eastAsiaTheme="minorEastAsia"/>
                    </w:rPr>
                    <w:t>；</w:t>
                  </w:r>
                </w:p>
              </w:tc>
              <w:tc>
                <w:tcPr>
                  <w:tcW w:w="1070" w:type="dxa"/>
                  <w:vAlign w:val="center"/>
                </w:tcPr>
                <w:p>
                  <w:pPr>
                    <w:spacing w:line="300" w:lineRule="auto"/>
                    <w:jc w:val="center"/>
                    <w:rPr>
                      <w:rFonts w:eastAsiaTheme="minorEastAsia"/>
                    </w:rPr>
                  </w:pPr>
                  <w:r>
                    <w:rPr>
                      <w:rFonts w:hAnsiTheme="minorEastAsia" w:eastAsiaTheme="minor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vAlign w:val="center"/>
                </w:tcPr>
                <w:p>
                  <w:pPr>
                    <w:spacing w:line="300" w:lineRule="auto"/>
                    <w:jc w:val="center"/>
                    <w:rPr>
                      <w:rFonts w:eastAsiaTheme="minorEastAsia"/>
                      <w:color w:val="FF0000"/>
                    </w:rPr>
                  </w:pPr>
                </w:p>
              </w:tc>
              <w:tc>
                <w:tcPr>
                  <w:tcW w:w="1330" w:type="dxa"/>
                  <w:vAlign w:val="center"/>
                </w:tcPr>
                <w:p>
                  <w:pPr>
                    <w:spacing w:line="300" w:lineRule="auto"/>
                    <w:jc w:val="center"/>
                    <w:rPr>
                      <w:rFonts w:eastAsiaTheme="minorEastAsia"/>
                    </w:rPr>
                  </w:pPr>
                  <w:r>
                    <w:rPr>
                      <w:rFonts w:hAnsiTheme="minorEastAsia" w:eastAsiaTheme="minorEastAsia"/>
                    </w:rPr>
                    <w:t>废水处理</w:t>
                  </w:r>
                </w:p>
              </w:tc>
              <w:tc>
                <w:tcPr>
                  <w:tcW w:w="5076" w:type="dxa"/>
                  <w:vAlign w:val="center"/>
                </w:tcPr>
                <w:p>
                  <w:pPr>
                    <w:spacing w:line="300" w:lineRule="auto"/>
                    <w:jc w:val="center"/>
                    <w:rPr>
                      <w:rFonts w:eastAsiaTheme="minorEastAsia"/>
                    </w:rPr>
                  </w:pPr>
                  <w:r>
                    <w:rPr>
                      <w:rFonts w:hAnsiTheme="minorEastAsia" w:eastAsiaTheme="minorEastAsia"/>
                    </w:rPr>
                    <w:t>原料清洗废水经沉淀处理、废气处理废水经隔油沉淀处理、然后与生活污水一并经化粪池处理后纳入</w:t>
                  </w:r>
                  <w:r>
                    <w:rPr>
                      <w:rFonts w:hint="eastAsia" w:hAnsiTheme="minorEastAsia" w:eastAsiaTheme="minorEastAsia"/>
                    </w:rPr>
                    <w:t>园区</w:t>
                  </w:r>
                  <w:r>
                    <w:rPr>
                      <w:rFonts w:hAnsiTheme="minorEastAsia" w:eastAsiaTheme="minorEastAsia"/>
                    </w:rPr>
                    <w:t>污水管网；</w:t>
                  </w:r>
                </w:p>
              </w:tc>
              <w:tc>
                <w:tcPr>
                  <w:tcW w:w="1070" w:type="dxa"/>
                  <w:vAlign w:val="center"/>
                </w:tcPr>
                <w:p>
                  <w:pPr>
                    <w:spacing w:line="300" w:lineRule="auto"/>
                    <w:jc w:val="center"/>
                    <w:rPr>
                      <w:rFonts w:eastAsiaTheme="minorEastAsia"/>
                    </w:rPr>
                  </w:pPr>
                  <w:r>
                    <w:rPr>
                      <w:rFonts w:hAnsiTheme="minorEastAsia" w:eastAsiaTheme="minor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vAlign w:val="center"/>
                </w:tcPr>
                <w:p>
                  <w:pPr>
                    <w:spacing w:line="300" w:lineRule="auto"/>
                    <w:jc w:val="center"/>
                    <w:rPr>
                      <w:rFonts w:eastAsiaTheme="minorEastAsia"/>
                      <w:color w:val="FF0000"/>
                    </w:rPr>
                  </w:pPr>
                </w:p>
              </w:tc>
              <w:tc>
                <w:tcPr>
                  <w:tcW w:w="1330" w:type="dxa"/>
                  <w:vAlign w:val="center"/>
                </w:tcPr>
                <w:p>
                  <w:pPr>
                    <w:spacing w:line="300" w:lineRule="auto"/>
                    <w:jc w:val="center"/>
                    <w:rPr>
                      <w:rFonts w:eastAsiaTheme="minorEastAsia"/>
                    </w:rPr>
                  </w:pPr>
                  <w:r>
                    <w:rPr>
                      <w:rFonts w:hAnsiTheme="minorEastAsia" w:eastAsiaTheme="minorEastAsia"/>
                    </w:rPr>
                    <w:t>噪声防治</w:t>
                  </w:r>
                </w:p>
              </w:tc>
              <w:tc>
                <w:tcPr>
                  <w:tcW w:w="5076" w:type="dxa"/>
                  <w:vAlign w:val="center"/>
                </w:tcPr>
                <w:p>
                  <w:pPr>
                    <w:spacing w:line="300" w:lineRule="auto"/>
                    <w:jc w:val="center"/>
                    <w:rPr>
                      <w:rFonts w:eastAsiaTheme="minorEastAsia"/>
                    </w:rPr>
                  </w:pPr>
                  <w:r>
                    <w:rPr>
                      <w:rFonts w:hAnsiTheme="minorEastAsia" w:eastAsiaTheme="minorEastAsia"/>
                    </w:rPr>
                    <w:t>减振、隔声降噪措施</w:t>
                  </w:r>
                </w:p>
              </w:tc>
              <w:tc>
                <w:tcPr>
                  <w:tcW w:w="1070" w:type="dxa"/>
                  <w:vAlign w:val="center"/>
                </w:tcPr>
                <w:p>
                  <w:pPr>
                    <w:spacing w:line="300" w:lineRule="auto"/>
                    <w:jc w:val="center"/>
                    <w:rPr>
                      <w:rFonts w:hAnsiTheme="minorEastAsia" w:eastAsiaTheme="minorEastAsia"/>
                    </w:rPr>
                  </w:pPr>
                  <w:r>
                    <w:rPr>
                      <w:rFonts w:hAnsiTheme="minorEastAsia" w:eastAsiaTheme="minorEastAsia"/>
                    </w:rPr>
                    <w:t>新建</w:t>
                  </w:r>
                </w:p>
              </w:tc>
            </w:tr>
          </w:tbl>
          <w:p>
            <w:pPr>
              <w:adjustRightInd w:val="0"/>
              <w:snapToGrid w:val="0"/>
              <w:spacing w:before="163" w:beforeLines="50"/>
              <w:rPr>
                <w:b/>
                <w:bCs/>
              </w:rPr>
            </w:pPr>
            <w:r>
              <w:rPr>
                <w:rFonts w:hint="eastAsia"/>
                <w:b/>
                <w:bCs/>
              </w:rPr>
              <w:t>3、产品方案</w:t>
            </w:r>
          </w:p>
          <w:p>
            <w:pPr>
              <w:adjustRightInd w:val="0"/>
              <w:snapToGrid w:val="0"/>
              <w:spacing w:before="163" w:beforeLines="50" w:line="360" w:lineRule="auto"/>
              <w:ind w:firstLine="420"/>
            </w:pPr>
            <w:r>
              <w:rPr>
                <w:rFonts w:hint="eastAsia"/>
              </w:rPr>
              <w:t>项目主要生产擂茶、芝麻茶、油炸香米、油炸花生米等炒货、油炸食品16300t/a。项目产品见下表。</w:t>
            </w:r>
          </w:p>
          <w:p>
            <w:pPr>
              <w:pStyle w:val="17"/>
              <w:spacing w:beforeLines="0" w:line="240" w:lineRule="auto"/>
              <w:ind w:firstLine="0" w:firstLineChars="0"/>
              <w:jc w:val="center"/>
              <w:rPr>
                <w:b/>
                <w:bCs/>
                <w:sz w:val="21"/>
                <w:szCs w:val="21"/>
              </w:rPr>
            </w:pPr>
            <w:r>
              <w:rPr>
                <w:rFonts w:hint="eastAsia"/>
                <w:b/>
                <w:bCs/>
                <w:sz w:val="21"/>
                <w:szCs w:val="21"/>
              </w:rPr>
              <w:t>表2-2  项目产品一览表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833"/>
              <w:gridCol w:w="1324"/>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shd w:val="clear" w:color="auto" w:fill="auto"/>
                  <w:vAlign w:val="center"/>
                </w:tcPr>
                <w:p>
                  <w:pPr>
                    <w:jc w:val="center"/>
                    <w:rPr>
                      <w:b/>
                      <w:bCs/>
                    </w:rPr>
                  </w:pPr>
                  <w:r>
                    <w:rPr>
                      <w:b/>
                      <w:bCs/>
                    </w:rPr>
                    <w:t>序号</w:t>
                  </w:r>
                </w:p>
              </w:tc>
              <w:tc>
                <w:tcPr>
                  <w:tcW w:w="3810" w:type="dxa"/>
                  <w:shd w:val="clear" w:color="auto" w:fill="auto"/>
                  <w:vAlign w:val="center"/>
                </w:tcPr>
                <w:p>
                  <w:pPr>
                    <w:jc w:val="center"/>
                    <w:rPr>
                      <w:b/>
                      <w:bCs/>
                    </w:rPr>
                  </w:pPr>
                  <w:r>
                    <w:rPr>
                      <w:b/>
                      <w:bCs/>
                    </w:rPr>
                    <w:t>名称</w:t>
                  </w:r>
                </w:p>
              </w:tc>
              <w:tc>
                <w:tcPr>
                  <w:tcW w:w="1316" w:type="dxa"/>
                  <w:shd w:val="clear" w:color="auto" w:fill="auto"/>
                  <w:vAlign w:val="center"/>
                </w:tcPr>
                <w:p>
                  <w:pPr>
                    <w:jc w:val="center"/>
                    <w:rPr>
                      <w:b/>
                      <w:bCs/>
                    </w:rPr>
                  </w:pPr>
                  <w:r>
                    <w:rPr>
                      <w:b/>
                      <w:bCs/>
                    </w:rPr>
                    <w:t>产量（t/a）</w:t>
                  </w:r>
                </w:p>
              </w:tc>
              <w:tc>
                <w:tcPr>
                  <w:tcW w:w="2300" w:type="dxa"/>
                  <w:shd w:val="clear" w:color="auto" w:fill="auto"/>
                  <w:vAlign w:val="center"/>
                </w:tcPr>
                <w:p>
                  <w:pPr>
                    <w:jc w:val="center"/>
                    <w:rPr>
                      <w:b/>
                      <w:bCs/>
                    </w:rPr>
                  </w:pPr>
                  <w:r>
                    <w:rPr>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shd w:val="clear" w:color="auto" w:fill="auto"/>
                  <w:vAlign w:val="center"/>
                </w:tcPr>
                <w:p>
                  <w:pPr>
                    <w:jc w:val="center"/>
                    <w:rPr>
                      <w:rFonts w:eastAsiaTheme="minorEastAsia"/>
                    </w:rPr>
                  </w:pPr>
                  <w:r>
                    <w:rPr>
                      <w:rFonts w:eastAsiaTheme="minorEastAsia"/>
                    </w:rPr>
                    <w:t>1</w:t>
                  </w:r>
                </w:p>
              </w:tc>
              <w:tc>
                <w:tcPr>
                  <w:tcW w:w="3810" w:type="dxa"/>
                  <w:shd w:val="clear" w:color="auto" w:fill="auto"/>
                  <w:vAlign w:val="center"/>
                </w:tcPr>
                <w:p>
                  <w:pPr>
                    <w:jc w:val="center"/>
                    <w:rPr>
                      <w:rFonts w:ascii="宋体" w:hAnsi="宋体" w:cs="宋体"/>
                      <w:szCs w:val="24"/>
                    </w:rPr>
                  </w:pPr>
                  <w:r>
                    <w:rPr>
                      <w:rFonts w:hint="eastAsia"/>
                    </w:rPr>
                    <w:t>擂茶</w:t>
                  </w:r>
                </w:p>
              </w:tc>
              <w:tc>
                <w:tcPr>
                  <w:tcW w:w="1316" w:type="dxa"/>
                  <w:shd w:val="clear" w:color="auto" w:fill="auto"/>
                  <w:vAlign w:val="center"/>
                </w:tcPr>
                <w:p>
                  <w:pPr>
                    <w:jc w:val="center"/>
                    <w:rPr>
                      <w:rFonts w:ascii="宋体" w:hAnsi="宋体" w:cs="宋体"/>
                      <w:szCs w:val="24"/>
                    </w:rPr>
                  </w:pPr>
                  <w:r>
                    <w:rPr>
                      <w:rFonts w:hint="eastAsia"/>
                    </w:rPr>
                    <w:t>4000</w:t>
                  </w:r>
                </w:p>
              </w:tc>
              <w:tc>
                <w:tcPr>
                  <w:tcW w:w="2300" w:type="dxa"/>
                  <w:shd w:val="clear" w:color="auto" w:fill="auto"/>
                  <w:vAlign w:val="center"/>
                </w:tcPr>
                <w:p>
                  <w:pPr>
                    <w:jc w:val="center"/>
                    <w:rPr>
                      <w:rFonts w:ascii="宋体" w:hAnsi="宋体" w:cs="宋体"/>
                      <w:szCs w:val="24"/>
                    </w:rPr>
                  </w:pPr>
                  <w:r>
                    <w:rPr>
                      <w:rFonts w:hint="eastAsia"/>
                    </w:rPr>
                    <w:t>执行《食品安全国家标准 冲调谷物制品》GB 19640-2016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shd w:val="clear" w:color="auto" w:fill="auto"/>
                  <w:vAlign w:val="center"/>
                </w:tcPr>
                <w:p>
                  <w:pPr>
                    <w:jc w:val="center"/>
                    <w:rPr>
                      <w:rFonts w:eastAsiaTheme="minorEastAsia"/>
                    </w:rPr>
                  </w:pPr>
                  <w:r>
                    <w:rPr>
                      <w:rFonts w:hint="eastAsia" w:eastAsiaTheme="minorEastAsia"/>
                    </w:rPr>
                    <w:t>2</w:t>
                  </w:r>
                </w:p>
              </w:tc>
              <w:tc>
                <w:tcPr>
                  <w:tcW w:w="3810" w:type="dxa"/>
                  <w:shd w:val="clear" w:color="auto" w:fill="auto"/>
                  <w:vAlign w:val="center"/>
                </w:tcPr>
                <w:p>
                  <w:pPr>
                    <w:jc w:val="center"/>
                    <w:rPr>
                      <w:rFonts w:ascii="宋体" w:hAnsi="宋体" w:cs="宋体"/>
                      <w:szCs w:val="24"/>
                    </w:rPr>
                  </w:pPr>
                  <w:r>
                    <w:rPr>
                      <w:rFonts w:hint="eastAsia"/>
                    </w:rPr>
                    <w:t>芝麻茶</w:t>
                  </w:r>
                </w:p>
              </w:tc>
              <w:tc>
                <w:tcPr>
                  <w:tcW w:w="1316" w:type="dxa"/>
                  <w:shd w:val="clear" w:color="auto" w:fill="auto"/>
                  <w:vAlign w:val="center"/>
                </w:tcPr>
                <w:p>
                  <w:pPr>
                    <w:jc w:val="center"/>
                    <w:rPr>
                      <w:rFonts w:ascii="宋体" w:hAnsi="宋体" w:cs="宋体"/>
                      <w:szCs w:val="24"/>
                    </w:rPr>
                  </w:pPr>
                  <w:r>
                    <w:rPr>
                      <w:rFonts w:hint="eastAsia"/>
                    </w:rPr>
                    <w:t>2000</w:t>
                  </w:r>
                </w:p>
              </w:tc>
              <w:tc>
                <w:tcPr>
                  <w:tcW w:w="2300" w:type="dxa"/>
                  <w:vMerge w:val="restart"/>
                  <w:shd w:val="clear" w:color="auto" w:fill="auto"/>
                  <w:vAlign w:val="center"/>
                </w:tcPr>
                <w:p>
                  <w:pPr>
                    <w:jc w:val="center"/>
                    <w:rPr>
                      <w:rFonts w:ascii="宋体" w:hAnsi="宋体" w:cs="宋体"/>
                      <w:szCs w:val="24"/>
                    </w:rPr>
                  </w:pPr>
                  <w:r>
                    <w:rPr>
                      <w:rFonts w:hint="eastAsia"/>
                    </w:rPr>
                    <w:t>执行《食品安全国家标准 坚果与籽类食品》GB 19300-2014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shd w:val="clear" w:color="auto" w:fill="auto"/>
                  <w:vAlign w:val="center"/>
                </w:tcPr>
                <w:p>
                  <w:pPr>
                    <w:jc w:val="center"/>
                    <w:rPr>
                      <w:rFonts w:eastAsiaTheme="minorEastAsia"/>
                    </w:rPr>
                  </w:pPr>
                  <w:r>
                    <w:rPr>
                      <w:rFonts w:hint="eastAsia" w:eastAsiaTheme="minorEastAsia"/>
                    </w:rPr>
                    <w:t>3</w:t>
                  </w:r>
                </w:p>
              </w:tc>
              <w:tc>
                <w:tcPr>
                  <w:tcW w:w="3810" w:type="dxa"/>
                  <w:shd w:val="clear" w:color="auto" w:fill="auto"/>
                  <w:vAlign w:val="center"/>
                </w:tcPr>
                <w:p>
                  <w:pPr>
                    <w:jc w:val="center"/>
                    <w:rPr>
                      <w:rFonts w:ascii="宋体" w:hAnsi="宋体" w:cs="宋体"/>
                      <w:szCs w:val="24"/>
                    </w:rPr>
                  </w:pPr>
                  <w:r>
                    <w:rPr>
                      <w:rFonts w:hint="eastAsia"/>
                    </w:rPr>
                    <w:t>油炸香米</w:t>
                  </w:r>
                </w:p>
              </w:tc>
              <w:tc>
                <w:tcPr>
                  <w:tcW w:w="1316" w:type="dxa"/>
                  <w:shd w:val="clear" w:color="auto" w:fill="auto"/>
                  <w:vAlign w:val="center"/>
                </w:tcPr>
                <w:p>
                  <w:pPr>
                    <w:jc w:val="center"/>
                    <w:rPr>
                      <w:rFonts w:ascii="宋体" w:hAnsi="宋体" w:cs="宋体"/>
                      <w:szCs w:val="24"/>
                    </w:rPr>
                  </w:pPr>
                  <w:r>
                    <w:rPr>
                      <w:rFonts w:hint="eastAsia"/>
                    </w:rPr>
                    <w:t>1000</w:t>
                  </w:r>
                </w:p>
              </w:tc>
              <w:tc>
                <w:tcPr>
                  <w:tcW w:w="2300" w:type="dxa"/>
                  <w:vMerge w:val="continue"/>
                  <w:shd w:val="clear" w:color="auto" w:fill="auto"/>
                  <w:vAlign w:val="center"/>
                </w:tcPr>
                <w:p>
                  <w:pPr>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shd w:val="clear" w:color="auto" w:fill="auto"/>
                  <w:vAlign w:val="center"/>
                </w:tcPr>
                <w:p>
                  <w:pPr>
                    <w:jc w:val="center"/>
                    <w:rPr>
                      <w:rFonts w:eastAsiaTheme="minorEastAsia"/>
                    </w:rPr>
                  </w:pPr>
                  <w:r>
                    <w:rPr>
                      <w:rFonts w:hint="eastAsia" w:eastAsiaTheme="minorEastAsia"/>
                    </w:rPr>
                    <w:t>4</w:t>
                  </w:r>
                </w:p>
              </w:tc>
              <w:tc>
                <w:tcPr>
                  <w:tcW w:w="3810" w:type="dxa"/>
                  <w:shd w:val="clear" w:color="auto" w:fill="auto"/>
                  <w:vAlign w:val="center"/>
                </w:tcPr>
                <w:p>
                  <w:pPr>
                    <w:jc w:val="center"/>
                    <w:rPr>
                      <w:rFonts w:ascii="宋体" w:hAnsi="宋体" w:cs="宋体"/>
                      <w:szCs w:val="24"/>
                    </w:rPr>
                  </w:pPr>
                  <w:r>
                    <w:rPr>
                      <w:rFonts w:hint="eastAsia"/>
                    </w:rPr>
                    <w:t>油炸花生米</w:t>
                  </w:r>
                </w:p>
              </w:tc>
              <w:tc>
                <w:tcPr>
                  <w:tcW w:w="1316" w:type="dxa"/>
                  <w:shd w:val="clear" w:color="auto" w:fill="auto"/>
                  <w:vAlign w:val="center"/>
                </w:tcPr>
                <w:p>
                  <w:pPr>
                    <w:jc w:val="center"/>
                    <w:rPr>
                      <w:rFonts w:ascii="宋体" w:hAnsi="宋体" w:cs="宋体"/>
                      <w:szCs w:val="24"/>
                    </w:rPr>
                  </w:pPr>
                  <w:r>
                    <w:rPr>
                      <w:rFonts w:hint="eastAsia"/>
                    </w:rPr>
                    <w:t>200</w:t>
                  </w:r>
                </w:p>
              </w:tc>
              <w:tc>
                <w:tcPr>
                  <w:tcW w:w="2300" w:type="dxa"/>
                  <w:vMerge w:val="continue"/>
                  <w:shd w:val="clear" w:color="auto" w:fill="auto"/>
                  <w:vAlign w:val="center"/>
                </w:tcPr>
                <w:p>
                  <w:pPr>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shd w:val="clear" w:color="auto" w:fill="auto"/>
                  <w:vAlign w:val="center"/>
                </w:tcPr>
                <w:p>
                  <w:pPr>
                    <w:jc w:val="center"/>
                    <w:rPr>
                      <w:rFonts w:eastAsiaTheme="minorEastAsia"/>
                    </w:rPr>
                  </w:pPr>
                  <w:r>
                    <w:rPr>
                      <w:rFonts w:hint="eastAsia" w:eastAsiaTheme="minorEastAsia"/>
                    </w:rPr>
                    <w:t>5</w:t>
                  </w:r>
                </w:p>
              </w:tc>
              <w:tc>
                <w:tcPr>
                  <w:tcW w:w="3810" w:type="dxa"/>
                  <w:shd w:val="clear" w:color="auto" w:fill="auto"/>
                  <w:vAlign w:val="center"/>
                </w:tcPr>
                <w:p>
                  <w:pPr>
                    <w:jc w:val="center"/>
                    <w:rPr>
                      <w:rFonts w:ascii="宋体" w:hAnsi="宋体" w:cs="宋体"/>
                      <w:szCs w:val="24"/>
                    </w:rPr>
                  </w:pPr>
                  <w:r>
                    <w:rPr>
                      <w:rFonts w:hint="eastAsia"/>
                    </w:rPr>
                    <w:t>油炸豌豆</w:t>
                  </w:r>
                </w:p>
              </w:tc>
              <w:tc>
                <w:tcPr>
                  <w:tcW w:w="1316" w:type="dxa"/>
                  <w:shd w:val="clear" w:color="auto" w:fill="auto"/>
                  <w:vAlign w:val="center"/>
                </w:tcPr>
                <w:p>
                  <w:pPr>
                    <w:jc w:val="center"/>
                    <w:rPr>
                      <w:rFonts w:eastAsiaTheme="minorEastAsia"/>
                    </w:rPr>
                  </w:pPr>
                  <w:r>
                    <w:rPr>
                      <w:rFonts w:hint="eastAsia" w:eastAsiaTheme="minorEastAsia"/>
                    </w:rPr>
                    <w:t>200</w:t>
                  </w:r>
                </w:p>
              </w:tc>
              <w:tc>
                <w:tcPr>
                  <w:tcW w:w="2300" w:type="dxa"/>
                  <w:vMerge w:val="continue"/>
                  <w:shd w:val="clear" w:color="auto" w:fill="auto"/>
                  <w:vAlign w:val="center"/>
                </w:tcPr>
                <w:p>
                  <w:pPr>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shd w:val="clear" w:color="auto" w:fill="auto"/>
                  <w:vAlign w:val="center"/>
                </w:tcPr>
                <w:p>
                  <w:pPr>
                    <w:jc w:val="center"/>
                    <w:rPr>
                      <w:rFonts w:eastAsiaTheme="minorEastAsia"/>
                    </w:rPr>
                  </w:pPr>
                  <w:r>
                    <w:rPr>
                      <w:rFonts w:hint="eastAsia" w:eastAsiaTheme="minorEastAsia"/>
                    </w:rPr>
                    <w:t>6</w:t>
                  </w:r>
                </w:p>
              </w:tc>
              <w:tc>
                <w:tcPr>
                  <w:tcW w:w="3810" w:type="dxa"/>
                  <w:shd w:val="clear" w:color="auto" w:fill="auto"/>
                  <w:vAlign w:val="center"/>
                </w:tcPr>
                <w:p>
                  <w:pPr>
                    <w:jc w:val="center"/>
                    <w:rPr>
                      <w:rFonts w:ascii="宋体" w:hAnsi="宋体" w:cs="宋体"/>
                      <w:szCs w:val="24"/>
                    </w:rPr>
                  </w:pPr>
                  <w:r>
                    <w:rPr>
                      <w:rFonts w:hint="eastAsia"/>
                    </w:rPr>
                    <w:t>绿豆花</w:t>
                  </w:r>
                </w:p>
              </w:tc>
              <w:tc>
                <w:tcPr>
                  <w:tcW w:w="1316" w:type="dxa"/>
                  <w:shd w:val="clear" w:color="auto" w:fill="auto"/>
                  <w:vAlign w:val="center"/>
                </w:tcPr>
                <w:p>
                  <w:pPr>
                    <w:jc w:val="center"/>
                    <w:rPr>
                      <w:rFonts w:eastAsiaTheme="minorEastAsia"/>
                    </w:rPr>
                  </w:pPr>
                  <w:r>
                    <w:rPr>
                      <w:rFonts w:hint="eastAsia" w:eastAsiaTheme="minorEastAsia"/>
                    </w:rPr>
                    <w:t>1000</w:t>
                  </w:r>
                </w:p>
              </w:tc>
              <w:tc>
                <w:tcPr>
                  <w:tcW w:w="2300" w:type="dxa"/>
                  <w:vMerge w:val="continue"/>
                  <w:shd w:val="clear" w:color="auto" w:fill="auto"/>
                  <w:vAlign w:val="center"/>
                </w:tcPr>
                <w:p>
                  <w:pPr>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shd w:val="clear" w:color="auto" w:fill="auto"/>
                  <w:vAlign w:val="center"/>
                </w:tcPr>
                <w:p>
                  <w:pPr>
                    <w:jc w:val="center"/>
                    <w:rPr>
                      <w:rFonts w:eastAsiaTheme="minorEastAsia"/>
                    </w:rPr>
                  </w:pPr>
                  <w:r>
                    <w:rPr>
                      <w:rFonts w:hint="eastAsia" w:eastAsiaTheme="minorEastAsia"/>
                    </w:rPr>
                    <w:t>7</w:t>
                  </w:r>
                </w:p>
              </w:tc>
              <w:tc>
                <w:tcPr>
                  <w:tcW w:w="3810" w:type="dxa"/>
                  <w:shd w:val="clear" w:color="auto" w:fill="auto"/>
                  <w:vAlign w:val="center"/>
                </w:tcPr>
                <w:p>
                  <w:pPr>
                    <w:jc w:val="center"/>
                    <w:rPr>
                      <w:rFonts w:ascii="宋体" w:hAnsi="宋体" w:cs="宋体"/>
                      <w:szCs w:val="24"/>
                    </w:rPr>
                  </w:pPr>
                  <w:r>
                    <w:rPr>
                      <w:rFonts w:hint="eastAsia"/>
                    </w:rPr>
                    <w:t>油炸玉米</w:t>
                  </w:r>
                </w:p>
              </w:tc>
              <w:tc>
                <w:tcPr>
                  <w:tcW w:w="1316" w:type="dxa"/>
                  <w:shd w:val="clear" w:color="auto" w:fill="auto"/>
                  <w:vAlign w:val="center"/>
                </w:tcPr>
                <w:p>
                  <w:pPr>
                    <w:jc w:val="center"/>
                    <w:rPr>
                      <w:rFonts w:eastAsiaTheme="minorEastAsia"/>
                    </w:rPr>
                  </w:pPr>
                  <w:r>
                    <w:rPr>
                      <w:rFonts w:hint="eastAsia" w:eastAsiaTheme="minorEastAsia"/>
                    </w:rPr>
                    <w:t>100</w:t>
                  </w:r>
                </w:p>
              </w:tc>
              <w:tc>
                <w:tcPr>
                  <w:tcW w:w="2300" w:type="dxa"/>
                  <w:vMerge w:val="continue"/>
                  <w:shd w:val="clear" w:color="auto" w:fill="auto"/>
                  <w:vAlign w:val="center"/>
                </w:tcPr>
                <w:p>
                  <w:pPr>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shd w:val="clear" w:color="auto" w:fill="auto"/>
                  <w:vAlign w:val="center"/>
                </w:tcPr>
                <w:p>
                  <w:pPr>
                    <w:jc w:val="center"/>
                    <w:rPr>
                      <w:rFonts w:eastAsiaTheme="minorEastAsia"/>
                    </w:rPr>
                  </w:pPr>
                  <w:r>
                    <w:rPr>
                      <w:rFonts w:hint="eastAsia" w:eastAsiaTheme="minorEastAsia"/>
                    </w:rPr>
                    <w:t>8</w:t>
                  </w:r>
                </w:p>
              </w:tc>
              <w:tc>
                <w:tcPr>
                  <w:tcW w:w="3810" w:type="dxa"/>
                  <w:shd w:val="clear" w:color="auto" w:fill="auto"/>
                  <w:vAlign w:val="center"/>
                </w:tcPr>
                <w:p>
                  <w:pPr>
                    <w:jc w:val="center"/>
                    <w:rPr>
                      <w:rFonts w:ascii="宋体" w:hAnsi="宋体" w:cs="宋体"/>
                      <w:szCs w:val="24"/>
                    </w:rPr>
                  </w:pPr>
                  <w:r>
                    <w:rPr>
                      <w:rFonts w:hint="eastAsia"/>
                    </w:rPr>
                    <w:t>炒芝麻</w:t>
                  </w:r>
                </w:p>
              </w:tc>
              <w:tc>
                <w:tcPr>
                  <w:tcW w:w="1316" w:type="dxa"/>
                  <w:shd w:val="clear" w:color="auto" w:fill="auto"/>
                  <w:vAlign w:val="center"/>
                </w:tcPr>
                <w:p>
                  <w:pPr>
                    <w:jc w:val="center"/>
                    <w:rPr>
                      <w:rFonts w:eastAsiaTheme="minorEastAsia"/>
                    </w:rPr>
                  </w:pPr>
                  <w:r>
                    <w:rPr>
                      <w:rFonts w:hint="eastAsia" w:eastAsiaTheme="minorEastAsia"/>
                    </w:rPr>
                    <w:t>500</w:t>
                  </w:r>
                </w:p>
              </w:tc>
              <w:tc>
                <w:tcPr>
                  <w:tcW w:w="2300" w:type="dxa"/>
                  <w:vMerge w:val="continue"/>
                  <w:shd w:val="clear" w:color="auto" w:fill="auto"/>
                  <w:vAlign w:val="center"/>
                </w:tcPr>
                <w:p>
                  <w:pPr>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shd w:val="clear" w:color="auto" w:fill="auto"/>
                  <w:vAlign w:val="center"/>
                </w:tcPr>
                <w:p>
                  <w:pPr>
                    <w:jc w:val="center"/>
                    <w:rPr>
                      <w:rFonts w:eastAsiaTheme="minorEastAsia"/>
                    </w:rPr>
                  </w:pPr>
                  <w:r>
                    <w:rPr>
                      <w:rFonts w:hint="eastAsia" w:eastAsiaTheme="minorEastAsia"/>
                    </w:rPr>
                    <w:t>9</w:t>
                  </w:r>
                </w:p>
              </w:tc>
              <w:tc>
                <w:tcPr>
                  <w:tcW w:w="3810" w:type="dxa"/>
                  <w:shd w:val="clear" w:color="auto" w:fill="auto"/>
                  <w:vAlign w:val="center"/>
                </w:tcPr>
                <w:p>
                  <w:pPr>
                    <w:jc w:val="center"/>
                    <w:rPr>
                      <w:rFonts w:ascii="宋体" w:hAnsi="宋体" w:cs="宋体"/>
                      <w:szCs w:val="24"/>
                    </w:rPr>
                  </w:pPr>
                  <w:r>
                    <w:rPr>
                      <w:rFonts w:hint="eastAsia"/>
                    </w:rPr>
                    <w:t>炒豌豆</w:t>
                  </w:r>
                </w:p>
              </w:tc>
              <w:tc>
                <w:tcPr>
                  <w:tcW w:w="1316" w:type="dxa"/>
                  <w:shd w:val="clear" w:color="auto" w:fill="auto"/>
                  <w:vAlign w:val="center"/>
                </w:tcPr>
                <w:p>
                  <w:pPr>
                    <w:jc w:val="center"/>
                    <w:rPr>
                      <w:rFonts w:eastAsiaTheme="minorEastAsia"/>
                    </w:rPr>
                  </w:pPr>
                  <w:r>
                    <w:rPr>
                      <w:rFonts w:hint="eastAsia" w:eastAsiaTheme="minorEastAsia"/>
                    </w:rPr>
                    <w:t>300</w:t>
                  </w:r>
                </w:p>
              </w:tc>
              <w:tc>
                <w:tcPr>
                  <w:tcW w:w="2300" w:type="dxa"/>
                  <w:vMerge w:val="continue"/>
                  <w:shd w:val="clear" w:color="auto" w:fill="auto"/>
                  <w:vAlign w:val="center"/>
                </w:tcPr>
                <w:p>
                  <w:pPr>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shd w:val="clear" w:color="auto" w:fill="auto"/>
                  <w:vAlign w:val="center"/>
                </w:tcPr>
                <w:p>
                  <w:pPr>
                    <w:jc w:val="center"/>
                    <w:rPr>
                      <w:rFonts w:eastAsiaTheme="minorEastAsia"/>
                    </w:rPr>
                  </w:pPr>
                  <w:r>
                    <w:rPr>
                      <w:rFonts w:hint="eastAsia" w:eastAsiaTheme="minorEastAsia"/>
                    </w:rPr>
                    <w:t>10</w:t>
                  </w:r>
                </w:p>
              </w:tc>
              <w:tc>
                <w:tcPr>
                  <w:tcW w:w="3810" w:type="dxa"/>
                  <w:shd w:val="clear" w:color="auto" w:fill="auto"/>
                  <w:vAlign w:val="center"/>
                </w:tcPr>
                <w:p>
                  <w:pPr>
                    <w:jc w:val="center"/>
                    <w:rPr>
                      <w:rFonts w:ascii="宋体" w:hAnsi="宋体" w:cs="宋体"/>
                      <w:szCs w:val="24"/>
                    </w:rPr>
                  </w:pPr>
                  <w:r>
                    <w:rPr>
                      <w:rFonts w:hint="eastAsia"/>
                    </w:rPr>
                    <w:t>白南瓜子</w:t>
                  </w:r>
                </w:p>
              </w:tc>
              <w:tc>
                <w:tcPr>
                  <w:tcW w:w="1316" w:type="dxa"/>
                  <w:shd w:val="clear" w:color="auto" w:fill="auto"/>
                  <w:vAlign w:val="center"/>
                </w:tcPr>
                <w:p>
                  <w:pPr>
                    <w:jc w:val="center"/>
                    <w:rPr>
                      <w:rFonts w:eastAsiaTheme="minorEastAsia"/>
                    </w:rPr>
                  </w:pPr>
                  <w:r>
                    <w:rPr>
                      <w:rFonts w:hint="eastAsia" w:eastAsiaTheme="minorEastAsia"/>
                    </w:rPr>
                    <w:t>1000</w:t>
                  </w:r>
                </w:p>
              </w:tc>
              <w:tc>
                <w:tcPr>
                  <w:tcW w:w="2300" w:type="dxa"/>
                  <w:vMerge w:val="continue"/>
                  <w:shd w:val="clear" w:color="auto" w:fill="auto"/>
                  <w:vAlign w:val="center"/>
                </w:tcPr>
                <w:p>
                  <w:pPr>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shd w:val="clear" w:color="auto" w:fill="auto"/>
                  <w:vAlign w:val="center"/>
                </w:tcPr>
                <w:p>
                  <w:pPr>
                    <w:jc w:val="center"/>
                    <w:rPr>
                      <w:rFonts w:eastAsiaTheme="minorEastAsia"/>
                    </w:rPr>
                  </w:pPr>
                  <w:r>
                    <w:rPr>
                      <w:rFonts w:hint="eastAsia" w:eastAsiaTheme="minorEastAsia"/>
                    </w:rPr>
                    <w:t>11</w:t>
                  </w:r>
                </w:p>
              </w:tc>
              <w:tc>
                <w:tcPr>
                  <w:tcW w:w="3810" w:type="dxa"/>
                  <w:shd w:val="clear" w:color="auto" w:fill="auto"/>
                  <w:vAlign w:val="center"/>
                </w:tcPr>
                <w:p>
                  <w:pPr>
                    <w:jc w:val="center"/>
                    <w:rPr>
                      <w:rFonts w:ascii="宋体" w:hAnsi="宋体" w:cs="宋体"/>
                      <w:szCs w:val="24"/>
                    </w:rPr>
                  </w:pPr>
                  <w:r>
                    <w:rPr>
                      <w:rFonts w:hint="eastAsia"/>
                    </w:rPr>
                    <w:t>炒花生米</w:t>
                  </w:r>
                </w:p>
              </w:tc>
              <w:tc>
                <w:tcPr>
                  <w:tcW w:w="1316" w:type="dxa"/>
                  <w:shd w:val="clear" w:color="auto" w:fill="auto"/>
                  <w:vAlign w:val="center"/>
                </w:tcPr>
                <w:p>
                  <w:pPr>
                    <w:jc w:val="center"/>
                    <w:rPr>
                      <w:rFonts w:ascii="宋体" w:hAnsi="宋体" w:cs="宋体"/>
                      <w:szCs w:val="24"/>
                    </w:rPr>
                  </w:pPr>
                  <w:r>
                    <w:rPr>
                      <w:rFonts w:hint="eastAsia"/>
                    </w:rPr>
                    <w:t>2000</w:t>
                  </w:r>
                </w:p>
              </w:tc>
              <w:tc>
                <w:tcPr>
                  <w:tcW w:w="2300" w:type="dxa"/>
                  <w:vMerge w:val="continue"/>
                  <w:shd w:val="clear" w:color="auto" w:fill="auto"/>
                  <w:vAlign w:val="center"/>
                </w:tcPr>
                <w:p>
                  <w:pPr>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shd w:val="clear" w:color="auto" w:fill="auto"/>
                  <w:vAlign w:val="center"/>
                </w:tcPr>
                <w:p>
                  <w:pPr>
                    <w:jc w:val="center"/>
                    <w:rPr>
                      <w:rFonts w:eastAsiaTheme="minorEastAsia"/>
                    </w:rPr>
                  </w:pPr>
                  <w:r>
                    <w:rPr>
                      <w:rFonts w:hint="eastAsia" w:eastAsiaTheme="minorEastAsia"/>
                    </w:rPr>
                    <w:t>12</w:t>
                  </w:r>
                </w:p>
              </w:tc>
              <w:tc>
                <w:tcPr>
                  <w:tcW w:w="3810" w:type="dxa"/>
                  <w:shd w:val="clear" w:color="auto" w:fill="auto"/>
                  <w:vAlign w:val="center"/>
                </w:tcPr>
                <w:p>
                  <w:pPr>
                    <w:jc w:val="center"/>
                    <w:rPr>
                      <w:rFonts w:ascii="宋体" w:hAnsi="宋体" w:cs="宋体"/>
                      <w:szCs w:val="24"/>
                    </w:rPr>
                  </w:pPr>
                  <w:r>
                    <w:rPr>
                      <w:rFonts w:hint="eastAsia"/>
                    </w:rPr>
                    <w:t>炒阴米</w:t>
                  </w:r>
                </w:p>
              </w:tc>
              <w:tc>
                <w:tcPr>
                  <w:tcW w:w="1316" w:type="dxa"/>
                  <w:shd w:val="clear" w:color="auto" w:fill="auto"/>
                  <w:vAlign w:val="center"/>
                </w:tcPr>
                <w:p>
                  <w:pPr>
                    <w:jc w:val="center"/>
                    <w:rPr>
                      <w:rFonts w:ascii="宋体" w:hAnsi="宋体" w:cs="宋体"/>
                      <w:szCs w:val="24"/>
                    </w:rPr>
                  </w:pPr>
                  <w:r>
                    <w:rPr>
                      <w:rFonts w:hint="eastAsia"/>
                    </w:rPr>
                    <w:t>3000</w:t>
                  </w:r>
                </w:p>
              </w:tc>
              <w:tc>
                <w:tcPr>
                  <w:tcW w:w="2300" w:type="dxa"/>
                  <w:vMerge w:val="continue"/>
                  <w:shd w:val="clear" w:color="auto" w:fill="auto"/>
                  <w:vAlign w:val="center"/>
                </w:tcPr>
                <w:p>
                  <w:pPr>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shd w:val="clear" w:color="auto" w:fill="auto"/>
                  <w:vAlign w:val="center"/>
                </w:tcPr>
                <w:p>
                  <w:pPr>
                    <w:jc w:val="center"/>
                    <w:rPr>
                      <w:rFonts w:eastAsiaTheme="minorEastAsia"/>
                    </w:rPr>
                  </w:pPr>
                  <w:r>
                    <w:rPr>
                      <w:rFonts w:hint="eastAsia" w:eastAsiaTheme="minorEastAsia"/>
                    </w:rPr>
                    <w:t>13</w:t>
                  </w:r>
                </w:p>
              </w:tc>
              <w:tc>
                <w:tcPr>
                  <w:tcW w:w="3810" w:type="dxa"/>
                  <w:shd w:val="clear" w:color="auto" w:fill="auto"/>
                  <w:vAlign w:val="center"/>
                </w:tcPr>
                <w:p>
                  <w:pPr>
                    <w:jc w:val="center"/>
                    <w:rPr>
                      <w:rFonts w:ascii="宋体" w:hAnsi="宋体" w:cs="宋体"/>
                      <w:szCs w:val="24"/>
                    </w:rPr>
                  </w:pPr>
                  <w:r>
                    <w:rPr>
                      <w:rFonts w:hint="eastAsia"/>
                    </w:rPr>
                    <w:t>葵瓜子</w:t>
                  </w:r>
                </w:p>
              </w:tc>
              <w:tc>
                <w:tcPr>
                  <w:tcW w:w="1316" w:type="dxa"/>
                  <w:shd w:val="clear" w:color="auto" w:fill="auto"/>
                  <w:vAlign w:val="center"/>
                </w:tcPr>
                <w:p>
                  <w:pPr>
                    <w:jc w:val="center"/>
                    <w:rPr>
                      <w:rFonts w:ascii="宋体" w:hAnsi="宋体" w:cs="宋体"/>
                      <w:szCs w:val="24"/>
                    </w:rPr>
                  </w:pPr>
                  <w:r>
                    <w:rPr>
                      <w:rFonts w:hint="eastAsia"/>
                    </w:rPr>
                    <w:t>500</w:t>
                  </w:r>
                </w:p>
              </w:tc>
              <w:tc>
                <w:tcPr>
                  <w:tcW w:w="2300" w:type="dxa"/>
                  <w:vMerge w:val="continue"/>
                  <w:shd w:val="clear" w:color="auto" w:fill="auto"/>
                  <w:vAlign w:val="center"/>
                </w:tcPr>
                <w:p>
                  <w:pPr>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shd w:val="clear" w:color="auto" w:fill="auto"/>
                  <w:vAlign w:val="center"/>
                </w:tcPr>
                <w:p>
                  <w:pPr>
                    <w:jc w:val="center"/>
                    <w:rPr>
                      <w:rFonts w:eastAsiaTheme="minorEastAsia"/>
                    </w:rPr>
                  </w:pPr>
                  <w:r>
                    <w:rPr>
                      <w:rFonts w:hint="eastAsia" w:eastAsiaTheme="minorEastAsia"/>
                    </w:rPr>
                    <w:t>14</w:t>
                  </w:r>
                </w:p>
              </w:tc>
              <w:tc>
                <w:tcPr>
                  <w:tcW w:w="3810" w:type="dxa"/>
                  <w:shd w:val="clear" w:color="auto" w:fill="auto"/>
                  <w:vAlign w:val="center"/>
                </w:tcPr>
                <w:p>
                  <w:pPr>
                    <w:jc w:val="center"/>
                    <w:rPr>
                      <w:rFonts w:ascii="宋体" w:hAnsi="宋体" w:cs="宋体"/>
                      <w:szCs w:val="24"/>
                    </w:rPr>
                  </w:pPr>
                  <w:r>
                    <w:rPr>
                      <w:rFonts w:hint="eastAsia"/>
                    </w:rPr>
                    <w:t>炒壳花生</w:t>
                  </w:r>
                </w:p>
              </w:tc>
              <w:tc>
                <w:tcPr>
                  <w:tcW w:w="1316" w:type="dxa"/>
                  <w:shd w:val="clear" w:color="auto" w:fill="auto"/>
                  <w:vAlign w:val="center"/>
                </w:tcPr>
                <w:p>
                  <w:pPr>
                    <w:jc w:val="center"/>
                    <w:rPr>
                      <w:rFonts w:eastAsiaTheme="minorEastAsia"/>
                    </w:rPr>
                  </w:pPr>
                  <w:r>
                    <w:rPr>
                      <w:rFonts w:hint="eastAsia" w:eastAsiaTheme="minorEastAsia"/>
                    </w:rPr>
                    <w:t>500</w:t>
                  </w:r>
                </w:p>
              </w:tc>
              <w:tc>
                <w:tcPr>
                  <w:tcW w:w="2300" w:type="dxa"/>
                  <w:vMerge w:val="continue"/>
                  <w:shd w:val="clear" w:color="auto" w:fill="auto"/>
                  <w:vAlign w:val="center"/>
                </w:tcPr>
                <w:p>
                  <w:pPr>
                    <w:jc w:val="center"/>
                    <w:rPr>
                      <w:rFonts w:eastAsiaTheme="minorEastAsia"/>
                    </w:rPr>
                  </w:pPr>
                </w:p>
              </w:tc>
            </w:tr>
          </w:tbl>
          <w:p>
            <w:pPr>
              <w:adjustRightInd w:val="0"/>
              <w:snapToGrid w:val="0"/>
              <w:spacing w:before="163" w:beforeLines="50" w:line="360" w:lineRule="auto"/>
              <w:rPr>
                <w:b/>
                <w:bCs/>
              </w:rPr>
            </w:pPr>
            <w:r>
              <w:rPr>
                <w:rFonts w:hint="eastAsia"/>
                <w:b/>
                <w:bCs/>
              </w:rPr>
              <w:t>4、主要生产设备</w:t>
            </w:r>
          </w:p>
          <w:p>
            <w:pPr>
              <w:snapToGrid w:val="0"/>
              <w:spacing w:line="360" w:lineRule="auto"/>
              <w:ind w:firstLine="420"/>
            </w:pPr>
            <w:r>
              <w:t>主要设备见</w:t>
            </w:r>
            <w:r>
              <w:rPr>
                <w:rFonts w:hint="eastAsia"/>
              </w:rPr>
              <w:t>下表</w:t>
            </w:r>
            <w:r>
              <w:t>。</w:t>
            </w:r>
          </w:p>
          <w:p>
            <w:pPr>
              <w:pStyle w:val="17"/>
              <w:spacing w:beforeLines="0" w:line="240" w:lineRule="auto"/>
              <w:ind w:firstLine="0" w:firstLineChars="0"/>
              <w:jc w:val="center"/>
              <w:rPr>
                <w:b/>
                <w:bCs/>
                <w:sz w:val="21"/>
                <w:szCs w:val="21"/>
              </w:rPr>
            </w:pPr>
            <w:r>
              <w:rPr>
                <w:b/>
                <w:bCs/>
                <w:sz w:val="21"/>
                <w:szCs w:val="21"/>
              </w:rPr>
              <w:t>表2-</w:t>
            </w:r>
            <w:r>
              <w:rPr>
                <w:rFonts w:hint="eastAsia"/>
                <w:b/>
                <w:bCs/>
                <w:sz w:val="21"/>
                <w:szCs w:val="21"/>
              </w:rPr>
              <w:t xml:space="preserve">3 </w:t>
            </w:r>
            <w:r>
              <w:rPr>
                <w:b/>
                <w:bCs/>
                <w:sz w:val="21"/>
                <w:szCs w:val="21"/>
              </w:rPr>
              <w:t>项目主要设备一览表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4982"/>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shd w:val="clear" w:color="auto" w:fill="auto"/>
                  <w:vAlign w:val="center"/>
                </w:tcPr>
                <w:p>
                  <w:pPr>
                    <w:jc w:val="center"/>
                    <w:rPr>
                      <w:b/>
                      <w:bCs/>
                    </w:rPr>
                  </w:pPr>
                  <w:r>
                    <w:rPr>
                      <w:rFonts w:hint="eastAsia"/>
                      <w:b/>
                      <w:bCs/>
                    </w:rPr>
                    <w:t>序号</w:t>
                  </w:r>
                </w:p>
              </w:tc>
              <w:tc>
                <w:tcPr>
                  <w:tcW w:w="3000" w:type="pct"/>
                  <w:shd w:val="clear" w:color="auto" w:fill="auto"/>
                  <w:vAlign w:val="center"/>
                </w:tcPr>
                <w:p>
                  <w:pPr>
                    <w:spacing w:line="300" w:lineRule="auto"/>
                    <w:jc w:val="center"/>
                    <w:rPr>
                      <w:b/>
                      <w:bCs/>
                    </w:rPr>
                  </w:pPr>
                  <w:r>
                    <w:rPr>
                      <w:rFonts w:hint="eastAsia"/>
                      <w:b/>
                      <w:bCs/>
                    </w:rPr>
                    <w:t>设备名称</w:t>
                  </w:r>
                </w:p>
              </w:tc>
              <w:tc>
                <w:tcPr>
                  <w:tcW w:w="1285" w:type="pct"/>
                  <w:shd w:val="clear" w:color="auto" w:fill="auto"/>
                  <w:vAlign w:val="center"/>
                </w:tcPr>
                <w:p>
                  <w:pPr>
                    <w:jc w:val="center"/>
                    <w:rPr>
                      <w:b/>
                      <w:bCs/>
                    </w:rPr>
                  </w:pPr>
                  <w:r>
                    <w:rPr>
                      <w:b/>
                      <w:bCs/>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shd w:val="clear" w:color="auto" w:fill="auto"/>
                  <w:vAlign w:val="center"/>
                </w:tcPr>
                <w:p>
                  <w:pPr>
                    <w:jc w:val="center"/>
                  </w:pPr>
                  <w:r>
                    <w:t>1</w:t>
                  </w:r>
                </w:p>
              </w:tc>
              <w:tc>
                <w:tcPr>
                  <w:tcW w:w="3000" w:type="pct"/>
                  <w:shd w:val="clear" w:color="auto" w:fill="auto"/>
                  <w:vAlign w:val="center"/>
                </w:tcPr>
                <w:p>
                  <w:pPr>
                    <w:jc w:val="center"/>
                    <w:rPr>
                      <w:rFonts w:ascii="宋体" w:hAnsi="宋体" w:cs="宋体"/>
                      <w:sz w:val="24"/>
                      <w:szCs w:val="24"/>
                    </w:rPr>
                  </w:pPr>
                  <w:r>
                    <w:rPr>
                      <w:rFonts w:hint="eastAsia"/>
                    </w:rPr>
                    <w:t>油炸香米机</w:t>
                  </w:r>
                </w:p>
              </w:tc>
              <w:tc>
                <w:tcPr>
                  <w:tcW w:w="1285" w:type="pct"/>
                  <w:shd w:val="clear" w:color="auto" w:fill="auto"/>
                  <w:vAlign w:val="center"/>
                </w:tcPr>
                <w:p>
                  <w:pPr>
                    <w:jc w:val="center"/>
                    <w:rPr>
                      <w:rFonts w:ascii="宋体" w:hAnsi="宋体" w:cs="宋体"/>
                      <w:sz w:val="24"/>
                      <w:szCs w:val="24"/>
                    </w:rP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shd w:val="clear" w:color="auto" w:fill="auto"/>
                  <w:vAlign w:val="center"/>
                </w:tcPr>
                <w:p>
                  <w:pPr>
                    <w:jc w:val="center"/>
                  </w:pPr>
                  <w:r>
                    <w:t>2</w:t>
                  </w:r>
                </w:p>
              </w:tc>
              <w:tc>
                <w:tcPr>
                  <w:tcW w:w="3000" w:type="pct"/>
                  <w:shd w:val="clear" w:color="auto" w:fill="auto"/>
                  <w:vAlign w:val="center"/>
                </w:tcPr>
                <w:p>
                  <w:pPr>
                    <w:jc w:val="center"/>
                    <w:rPr>
                      <w:rFonts w:ascii="宋体" w:hAnsi="宋体" w:cs="宋体"/>
                      <w:sz w:val="24"/>
                      <w:szCs w:val="24"/>
                    </w:rPr>
                  </w:pPr>
                  <w:r>
                    <w:rPr>
                      <w:rFonts w:hint="eastAsia"/>
                    </w:rPr>
                    <w:t>油炸花生、玉米、豆类机</w:t>
                  </w:r>
                </w:p>
              </w:tc>
              <w:tc>
                <w:tcPr>
                  <w:tcW w:w="1285" w:type="pct"/>
                  <w:shd w:val="clear" w:color="auto" w:fill="auto"/>
                  <w:vAlign w:val="center"/>
                </w:tcPr>
                <w:p>
                  <w:pPr>
                    <w:jc w:val="center"/>
                    <w:rPr>
                      <w:rFonts w:ascii="宋体" w:hAnsi="宋体" w:cs="宋体"/>
                      <w:sz w:val="24"/>
                      <w:szCs w:val="24"/>
                    </w:rP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shd w:val="clear" w:color="auto" w:fill="auto"/>
                  <w:vAlign w:val="center"/>
                </w:tcPr>
                <w:p>
                  <w:pPr>
                    <w:jc w:val="center"/>
                  </w:pPr>
                  <w:r>
                    <w:rPr>
                      <w:rFonts w:hint="eastAsia"/>
                    </w:rPr>
                    <w:t>3</w:t>
                  </w:r>
                </w:p>
              </w:tc>
              <w:tc>
                <w:tcPr>
                  <w:tcW w:w="3000" w:type="pct"/>
                  <w:shd w:val="clear" w:color="auto" w:fill="auto"/>
                  <w:vAlign w:val="center"/>
                </w:tcPr>
                <w:p>
                  <w:pPr>
                    <w:pStyle w:val="30"/>
                    <w:spacing w:line="300" w:lineRule="auto"/>
                    <w:rPr>
                      <w:b w:val="0"/>
                      <w:szCs w:val="21"/>
                    </w:rPr>
                  </w:pPr>
                  <w:r>
                    <w:rPr>
                      <w:b w:val="0"/>
                      <w:szCs w:val="21"/>
                    </w:rPr>
                    <w:t>炒制设备</w:t>
                  </w:r>
                </w:p>
              </w:tc>
              <w:tc>
                <w:tcPr>
                  <w:tcW w:w="1285" w:type="pct"/>
                  <w:shd w:val="clear" w:color="auto" w:fill="auto"/>
                  <w:vAlign w:val="center"/>
                </w:tcPr>
                <w:p>
                  <w:pPr>
                    <w:pStyle w:val="30"/>
                    <w:spacing w:line="240" w:lineRule="auto"/>
                    <w:rPr>
                      <w:b w:val="0"/>
                      <w:szCs w:val="21"/>
                    </w:rPr>
                  </w:pPr>
                  <w:r>
                    <w:rPr>
                      <w:rFonts w:hint="eastAsia"/>
                      <w:b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shd w:val="clear" w:color="auto" w:fill="auto"/>
                  <w:vAlign w:val="center"/>
                </w:tcPr>
                <w:p>
                  <w:pPr>
                    <w:jc w:val="center"/>
                  </w:pPr>
                  <w:r>
                    <w:rPr>
                      <w:rFonts w:hint="eastAsia"/>
                    </w:rPr>
                    <w:t>4</w:t>
                  </w:r>
                </w:p>
              </w:tc>
              <w:tc>
                <w:tcPr>
                  <w:tcW w:w="3000" w:type="pct"/>
                  <w:shd w:val="clear" w:color="auto" w:fill="auto"/>
                  <w:vAlign w:val="center"/>
                </w:tcPr>
                <w:p>
                  <w:pPr>
                    <w:jc w:val="center"/>
                    <w:rPr>
                      <w:rFonts w:ascii="宋体" w:hAnsi="宋体" w:cs="宋体"/>
                      <w:sz w:val="24"/>
                      <w:szCs w:val="24"/>
                    </w:rPr>
                  </w:pPr>
                  <w:r>
                    <w:rPr>
                      <w:rFonts w:hint="eastAsia"/>
                    </w:rPr>
                    <w:t>色选机</w:t>
                  </w:r>
                </w:p>
              </w:tc>
              <w:tc>
                <w:tcPr>
                  <w:tcW w:w="1285" w:type="pct"/>
                  <w:shd w:val="clear" w:color="auto" w:fill="auto"/>
                  <w:vAlign w:val="center"/>
                </w:tcPr>
                <w:p>
                  <w:pPr>
                    <w:jc w:val="center"/>
                    <w:rPr>
                      <w:rFonts w:ascii="宋体" w:hAnsi="宋体" w:cs="宋体"/>
                      <w:sz w:val="24"/>
                      <w:szCs w:val="24"/>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shd w:val="clear" w:color="auto" w:fill="auto"/>
                  <w:vAlign w:val="center"/>
                </w:tcPr>
                <w:p>
                  <w:pPr>
                    <w:jc w:val="center"/>
                  </w:pPr>
                  <w:r>
                    <w:rPr>
                      <w:rFonts w:hint="eastAsia"/>
                    </w:rPr>
                    <w:t>5</w:t>
                  </w:r>
                </w:p>
              </w:tc>
              <w:tc>
                <w:tcPr>
                  <w:tcW w:w="3000" w:type="pct"/>
                  <w:shd w:val="clear" w:color="auto" w:fill="auto"/>
                  <w:vAlign w:val="center"/>
                </w:tcPr>
                <w:p>
                  <w:pPr>
                    <w:jc w:val="center"/>
                    <w:rPr>
                      <w:rFonts w:ascii="宋体" w:hAnsi="宋体" w:cs="宋体"/>
                      <w:sz w:val="24"/>
                      <w:szCs w:val="24"/>
                    </w:rPr>
                  </w:pPr>
                  <w:r>
                    <w:rPr>
                      <w:rFonts w:hint="eastAsia"/>
                    </w:rPr>
                    <w:t>风选机</w:t>
                  </w:r>
                </w:p>
              </w:tc>
              <w:tc>
                <w:tcPr>
                  <w:tcW w:w="1285" w:type="pct"/>
                  <w:shd w:val="clear" w:color="auto" w:fill="auto"/>
                  <w:vAlign w:val="center"/>
                </w:tcPr>
                <w:p>
                  <w:pPr>
                    <w:jc w:val="center"/>
                    <w:rPr>
                      <w:rFonts w:ascii="宋体" w:hAnsi="宋体" w:cs="宋体"/>
                      <w:sz w:val="24"/>
                      <w:szCs w:val="24"/>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shd w:val="clear" w:color="auto" w:fill="auto"/>
                  <w:vAlign w:val="center"/>
                </w:tcPr>
                <w:p>
                  <w:pPr>
                    <w:jc w:val="center"/>
                  </w:pPr>
                  <w:r>
                    <w:rPr>
                      <w:rFonts w:hint="eastAsia"/>
                    </w:rPr>
                    <w:t>6</w:t>
                  </w:r>
                </w:p>
              </w:tc>
              <w:tc>
                <w:tcPr>
                  <w:tcW w:w="3000" w:type="pct"/>
                  <w:shd w:val="clear" w:color="auto" w:fill="auto"/>
                  <w:vAlign w:val="center"/>
                </w:tcPr>
                <w:p>
                  <w:pPr>
                    <w:jc w:val="center"/>
                    <w:rPr>
                      <w:rFonts w:ascii="宋体" w:hAnsi="宋体" w:cs="宋体"/>
                      <w:sz w:val="24"/>
                      <w:szCs w:val="24"/>
                    </w:rPr>
                  </w:pPr>
                  <w:r>
                    <w:rPr>
                      <w:rFonts w:hint="eastAsia"/>
                    </w:rPr>
                    <w:t>提升机</w:t>
                  </w:r>
                </w:p>
              </w:tc>
              <w:tc>
                <w:tcPr>
                  <w:tcW w:w="1285" w:type="pct"/>
                  <w:shd w:val="clear" w:color="auto" w:fill="auto"/>
                  <w:vAlign w:val="center"/>
                </w:tcPr>
                <w:p>
                  <w:pPr>
                    <w:jc w:val="center"/>
                    <w:rPr>
                      <w:rFonts w:ascii="宋体" w:hAnsi="宋体" w:cs="宋体"/>
                      <w:sz w:val="24"/>
                      <w:szCs w:val="24"/>
                    </w:rPr>
                  </w:pPr>
                  <w:r>
                    <w:rPr>
                      <w:rFonts w:hint="eastAsi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shd w:val="clear" w:color="auto" w:fill="auto"/>
                  <w:vAlign w:val="center"/>
                </w:tcPr>
                <w:p>
                  <w:pPr>
                    <w:jc w:val="center"/>
                  </w:pPr>
                  <w:r>
                    <w:rPr>
                      <w:rFonts w:hint="eastAsia"/>
                    </w:rPr>
                    <w:t>7</w:t>
                  </w:r>
                </w:p>
              </w:tc>
              <w:tc>
                <w:tcPr>
                  <w:tcW w:w="3000" w:type="pct"/>
                  <w:shd w:val="clear" w:color="auto" w:fill="auto"/>
                  <w:vAlign w:val="center"/>
                </w:tcPr>
                <w:p>
                  <w:pPr>
                    <w:jc w:val="center"/>
                    <w:rPr>
                      <w:rFonts w:ascii="宋体" w:hAnsi="宋体" w:cs="宋体"/>
                      <w:sz w:val="24"/>
                      <w:szCs w:val="24"/>
                    </w:rPr>
                  </w:pPr>
                  <w:r>
                    <w:rPr>
                      <w:rFonts w:hint="eastAsia"/>
                    </w:rPr>
                    <w:t>磨粉机</w:t>
                  </w:r>
                </w:p>
              </w:tc>
              <w:tc>
                <w:tcPr>
                  <w:tcW w:w="1285" w:type="pct"/>
                  <w:shd w:val="clear" w:color="auto" w:fill="auto"/>
                  <w:vAlign w:val="center"/>
                </w:tcPr>
                <w:p>
                  <w:pPr>
                    <w:jc w:val="center"/>
                    <w:rPr>
                      <w:rFonts w:ascii="宋体" w:hAnsi="宋体" w:cs="宋体"/>
                      <w:sz w:val="24"/>
                      <w:szCs w:val="24"/>
                    </w:rP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shd w:val="clear" w:color="auto" w:fill="auto"/>
                  <w:vAlign w:val="center"/>
                </w:tcPr>
                <w:p>
                  <w:pPr>
                    <w:jc w:val="center"/>
                  </w:pPr>
                  <w:r>
                    <w:rPr>
                      <w:rFonts w:hint="eastAsia"/>
                    </w:rPr>
                    <w:t>8</w:t>
                  </w:r>
                </w:p>
              </w:tc>
              <w:tc>
                <w:tcPr>
                  <w:tcW w:w="3000" w:type="pct"/>
                  <w:shd w:val="clear" w:color="auto" w:fill="auto"/>
                  <w:vAlign w:val="center"/>
                </w:tcPr>
                <w:p>
                  <w:pPr>
                    <w:jc w:val="center"/>
                    <w:rPr>
                      <w:rFonts w:ascii="宋体" w:hAnsi="宋体" w:cs="宋体"/>
                      <w:sz w:val="24"/>
                      <w:szCs w:val="24"/>
                    </w:rPr>
                  </w:pPr>
                  <w:r>
                    <w:rPr>
                      <w:rFonts w:hint="eastAsia"/>
                    </w:rPr>
                    <w:t>花生米脱皮机</w:t>
                  </w:r>
                </w:p>
              </w:tc>
              <w:tc>
                <w:tcPr>
                  <w:tcW w:w="1285" w:type="pct"/>
                  <w:shd w:val="clear" w:color="auto" w:fill="auto"/>
                  <w:vAlign w:val="center"/>
                </w:tcPr>
                <w:p>
                  <w:pPr>
                    <w:jc w:val="center"/>
                    <w:rPr>
                      <w:rFonts w:ascii="宋体" w:hAnsi="宋体" w:cs="宋体"/>
                      <w:sz w:val="24"/>
                      <w:szCs w:val="24"/>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shd w:val="clear" w:color="auto" w:fill="auto"/>
                  <w:vAlign w:val="center"/>
                </w:tcPr>
                <w:p>
                  <w:pPr>
                    <w:jc w:val="center"/>
                  </w:pPr>
                  <w:r>
                    <w:rPr>
                      <w:rFonts w:hint="eastAsia"/>
                    </w:rPr>
                    <w:t>9</w:t>
                  </w:r>
                </w:p>
              </w:tc>
              <w:tc>
                <w:tcPr>
                  <w:tcW w:w="3000" w:type="pct"/>
                  <w:shd w:val="clear" w:color="auto" w:fill="auto"/>
                  <w:vAlign w:val="center"/>
                </w:tcPr>
                <w:p>
                  <w:pPr>
                    <w:jc w:val="center"/>
                    <w:rPr>
                      <w:rFonts w:ascii="宋体" w:hAnsi="宋体" w:cs="宋体"/>
                      <w:sz w:val="24"/>
                      <w:szCs w:val="24"/>
                    </w:rPr>
                  </w:pPr>
                  <w:r>
                    <w:rPr>
                      <w:rFonts w:hint="eastAsia"/>
                    </w:rPr>
                    <w:t>包装机</w:t>
                  </w:r>
                </w:p>
              </w:tc>
              <w:tc>
                <w:tcPr>
                  <w:tcW w:w="1285" w:type="pct"/>
                  <w:shd w:val="clear" w:color="auto" w:fill="auto"/>
                  <w:vAlign w:val="center"/>
                </w:tcPr>
                <w:p>
                  <w:pPr>
                    <w:jc w:val="center"/>
                    <w:rPr>
                      <w:rFonts w:ascii="宋体" w:hAnsi="宋体" w:cs="宋体"/>
                      <w:sz w:val="24"/>
                      <w:szCs w:val="24"/>
                    </w:rPr>
                  </w:pPr>
                  <w:r>
                    <w:rPr>
                      <w:rFonts w:hint="eastAsia"/>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shd w:val="clear" w:color="auto" w:fill="auto"/>
                  <w:vAlign w:val="center"/>
                </w:tcPr>
                <w:p>
                  <w:pPr>
                    <w:jc w:val="center"/>
                  </w:pPr>
                  <w:r>
                    <w:rPr>
                      <w:rFonts w:hint="eastAsia"/>
                    </w:rPr>
                    <w:t>10</w:t>
                  </w:r>
                </w:p>
              </w:tc>
              <w:tc>
                <w:tcPr>
                  <w:tcW w:w="3000" w:type="pct"/>
                  <w:shd w:val="clear" w:color="auto" w:fill="auto"/>
                  <w:vAlign w:val="center"/>
                </w:tcPr>
                <w:p>
                  <w:pPr>
                    <w:jc w:val="center"/>
                    <w:rPr>
                      <w:rFonts w:ascii="宋体" w:hAnsi="宋体" w:cs="宋体"/>
                      <w:sz w:val="24"/>
                      <w:szCs w:val="24"/>
                    </w:rPr>
                  </w:pPr>
                  <w:r>
                    <w:rPr>
                      <w:rFonts w:hint="eastAsia"/>
                    </w:rPr>
                    <w:t>空压机</w:t>
                  </w:r>
                </w:p>
              </w:tc>
              <w:tc>
                <w:tcPr>
                  <w:tcW w:w="1285" w:type="pct"/>
                  <w:shd w:val="clear" w:color="auto" w:fill="auto"/>
                  <w:vAlign w:val="center"/>
                </w:tcPr>
                <w:p>
                  <w:pPr>
                    <w:jc w:val="center"/>
                    <w:rPr>
                      <w:rFonts w:ascii="宋体" w:hAnsi="宋体" w:cs="宋体"/>
                      <w:sz w:val="24"/>
                      <w:szCs w:val="24"/>
                    </w:rPr>
                  </w:pPr>
                  <w:r>
                    <w:rPr>
                      <w:rFonts w:hint="eastAsia"/>
                    </w:rPr>
                    <w:t>2</w:t>
                  </w:r>
                </w:p>
              </w:tc>
            </w:tr>
          </w:tbl>
          <w:p>
            <w:pPr>
              <w:adjustRightInd w:val="0"/>
              <w:snapToGrid w:val="0"/>
              <w:spacing w:before="163" w:beforeLines="50" w:line="360" w:lineRule="auto"/>
              <w:rPr>
                <w:b/>
                <w:bCs/>
              </w:rPr>
            </w:pPr>
            <w:r>
              <w:rPr>
                <w:rFonts w:hint="eastAsia"/>
                <w:b/>
                <w:bCs/>
              </w:rPr>
              <w:t>5、主要原辅材料及能源消耗情况</w:t>
            </w:r>
          </w:p>
          <w:p>
            <w:pPr>
              <w:snapToGrid w:val="0"/>
              <w:spacing w:line="360" w:lineRule="auto"/>
              <w:ind w:firstLine="420"/>
            </w:pPr>
            <w:r>
              <w:t>项目主要原辅材料及能源消耗</w:t>
            </w:r>
            <w:r>
              <w:rPr>
                <w:rFonts w:hint="eastAsia"/>
              </w:rPr>
              <w:t>情况</w:t>
            </w:r>
            <w:r>
              <w:t>详见下表。</w:t>
            </w:r>
          </w:p>
          <w:p>
            <w:pPr>
              <w:pStyle w:val="17"/>
              <w:spacing w:beforeLines="0"/>
              <w:ind w:firstLine="0" w:firstLineChars="0"/>
              <w:jc w:val="center"/>
              <w:rPr>
                <w:b/>
                <w:bCs/>
                <w:sz w:val="21"/>
                <w:szCs w:val="21"/>
              </w:rPr>
            </w:pPr>
            <w:r>
              <w:rPr>
                <w:b/>
                <w:bCs/>
                <w:sz w:val="21"/>
                <w:szCs w:val="21"/>
              </w:rPr>
              <w:t>表2-</w:t>
            </w:r>
            <w:r>
              <w:rPr>
                <w:rFonts w:hint="eastAsia"/>
                <w:b/>
                <w:bCs/>
                <w:sz w:val="21"/>
                <w:szCs w:val="21"/>
              </w:rPr>
              <w:t>4</w:t>
            </w:r>
            <w:r>
              <w:rPr>
                <w:b/>
                <w:bCs/>
                <w:sz w:val="21"/>
                <w:szCs w:val="21"/>
              </w:rPr>
              <w:t>主要原辅材料及能源消耗</w:t>
            </w:r>
            <w:r>
              <w:rPr>
                <w:rFonts w:hint="eastAsia"/>
                <w:b/>
                <w:bCs/>
                <w:sz w:val="21"/>
                <w:szCs w:val="21"/>
              </w:rPr>
              <w:t>情况</w:t>
            </w:r>
            <w:r>
              <w:rPr>
                <w:b/>
                <w:bCs/>
                <w:sz w:val="21"/>
                <w:szCs w:val="21"/>
              </w:rPr>
              <w:t>表</w:t>
            </w:r>
          </w:p>
          <w:tbl>
            <w:tblPr>
              <w:tblStyle w:val="18"/>
              <w:tblW w:w="4998" w:type="pct"/>
              <w:jc w:val="center"/>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9"/>
              <w:gridCol w:w="1676"/>
              <w:gridCol w:w="1797"/>
              <w:gridCol w:w="1843"/>
              <w:gridCol w:w="2121"/>
            </w:tblGrid>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1" w:hRule="atLeast"/>
                <w:tblHeader/>
                <w:jc w:val="center"/>
              </w:trPr>
              <w:tc>
                <w:tcPr>
                  <w:tcW w:w="518" w:type="pct"/>
                  <w:vAlign w:val="center"/>
                </w:tcPr>
                <w:p>
                  <w:pPr>
                    <w:spacing w:line="312" w:lineRule="auto"/>
                    <w:jc w:val="center"/>
                    <w:rPr>
                      <w:b/>
                      <w:spacing w:val="-20"/>
                    </w:rPr>
                  </w:pPr>
                  <w:r>
                    <w:rPr>
                      <w:b/>
                      <w:spacing w:val="-20"/>
                    </w:rPr>
                    <w:t>序号</w:t>
                  </w:r>
                </w:p>
              </w:tc>
              <w:tc>
                <w:tcPr>
                  <w:tcW w:w="1010" w:type="pct"/>
                  <w:vAlign w:val="center"/>
                </w:tcPr>
                <w:p>
                  <w:pPr>
                    <w:spacing w:line="312" w:lineRule="auto"/>
                    <w:jc w:val="center"/>
                    <w:rPr>
                      <w:b/>
                    </w:rPr>
                  </w:pPr>
                  <w:r>
                    <w:rPr>
                      <w:b/>
                    </w:rPr>
                    <w:t>材料名称</w:t>
                  </w:r>
                </w:p>
              </w:tc>
              <w:tc>
                <w:tcPr>
                  <w:tcW w:w="1083" w:type="pct"/>
                  <w:vAlign w:val="center"/>
                </w:tcPr>
                <w:p>
                  <w:pPr>
                    <w:spacing w:line="312" w:lineRule="auto"/>
                    <w:jc w:val="center"/>
                    <w:rPr>
                      <w:b/>
                    </w:rPr>
                  </w:pPr>
                  <w:r>
                    <w:rPr>
                      <w:b/>
                    </w:rPr>
                    <w:t>年使用量（</w:t>
                  </w:r>
                  <w:r>
                    <w:rPr>
                      <w:rFonts w:hint="eastAsia"/>
                      <w:b/>
                    </w:rPr>
                    <w:t>t）</w:t>
                  </w:r>
                </w:p>
              </w:tc>
              <w:tc>
                <w:tcPr>
                  <w:tcW w:w="1111" w:type="pct"/>
                  <w:vAlign w:val="center"/>
                </w:tcPr>
                <w:p>
                  <w:pPr>
                    <w:spacing w:line="312" w:lineRule="auto"/>
                    <w:jc w:val="center"/>
                    <w:rPr>
                      <w:b/>
                    </w:rPr>
                  </w:pPr>
                  <w:r>
                    <w:rPr>
                      <w:b/>
                    </w:rPr>
                    <w:t>最大储存量（</w:t>
                  </w:r>
                  <w:r>
                    <w:rPr>
                      <w:rFonts w:hint="eastAsia"/>
                      <w:b/>
                    </w:rPr>
                    <w:t>t）</w:t>
                  </w:r>
                </w:p>
              </w:tc>
              <w:tc>
                <w:tcPr>
                  <w:tcW w:w="1278" w:type="pct"/>
                  <w:vAlign w:val="center"/>
                </w:tcPr>
                <w:p>
                  <w:pPr>
                    <w:spacing w:line="312" w:lineRule="auto"/>
                    <w:jc w:val="center"/>
                    <w:rPr>
                      <w:b/>
                    </w:rPr>
                  </w:pPr>
                  <w:r>
                    <w:rPr>
                      <w:b/>
                    </w:rPr>
                    <w:t>储存地点</w:t>
                  </w: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eastAsiaTheme="minorEastAsia"/>
                    </w:rPr>
                    <w:t>1</w:t>
                  </w:r>
                </w:p>
              </w:tc>
              <w:tc>
                <w:tcPr>
                  <w:tcW w:w="1010" w:type="pct"/>
                  <w:vAlign w:val="center"/>
                </w:tcPr>
                <w:p>
                  <w:pPr>
                    <w:jc w:val="center"/>
                    <w:rPr>
                      <w:rFonts w:ascii="宋体" w:hAnsi="宋体" w:cs="宋体"/>
                    </w:rPr>
                  </w:pPr>
                  <w:r>
                    <w:rPr>
                      <w:rFonts w:hint="eastAsia"/>
                    </w:rPr>
                    <w:t>豌豆</w:t>
                  </w:r>
                </w:p>
              </w:tc>
              <w:tc>
                <w:tcPr>
                  <w:tcW w:w="1083" w:type="pct"/>
                  <w:vAlign w:val="center"/>
                </w:tcPr>
                <w:p>
                  <w:pPr>
                    <w:jc w:val="center"/>
                    <w:rPr>
                      <w:rFonts w:ascii="宋体" w:hAnsi="宋体" w:cs="宋体"/>
                      <w:sz w:val="22"/>
                    </w:rPr>
                  </w:pPr>
                  <w:r>
                    <w:rPr>
                      <w:rFonts w:hint="eastAsia"/>
                      <w:sz w:val="22"/>
                      <w:szCs w:val="22"/>
                    </w:rPr>
                    <w:t>500</w:t>
                  </w:r>
                </w:p>
              </w:tc>
              <w:tc>
                <w:tcPr>
                  <w:tcW w:w="1111" w:type="pct"/>
                  <w:vAlign w:val="center"/>
                </w:tcPr>
                <w:p>
                  <w:pPr>
                    <w:jc w:val="center"/>
                    <w:rPr>
                      <w:rFonts w:ascii="宋体" w:hAnsi="宋体" w:cs="宋体"/>
                      <w:sz w:val="22"/>
                    </w:rPr>
                  </w:pPr>
                  <w:r>
                    <w:rPr>
                      <w:rFonts w:hint="eastAsia"/>
                      <w:sz w:val="22"/>
                      <w:szCs w:val="22"/>
                    </w:rPr>
                    <w:t>200</w:t>
                  </w:r>
                </w:p>
              </w:tc>
              <w:tc>
                <w:tcPr>
                  <w:tcW w:w="1278" w:type="pct"/>
                  <w:vMerge w:val="restart"/>
                  <w:vAlign w:val="center"/>
                </w:tcPr>
                <w:p>
                  <w:pPr>
                    <w:spacing w:line="312" w:lineRule="auto"/>
                    <w:jc w:val="center"/>
                  </w:pPr>
                  <w:r>
                    <w:rPr>
                      <w:rFonts w:hint="eastAsia"/>
                    </w:rPr>
                    <w:t>原材料仓库</w:t>
                  </w: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hint="eastAsia" w:eastAsiaTheme="minorEastAsia"/>
                    </w:rPr>
                    <w:t>2</w:t>
                  </w:r>
                </w:p>
              </w:tc>
              <w:tc>
                <w:tcPr>
                  <w:tcW w:w="1010" w:type="pct"/>
                  <w:vAlign w:val="center"/>
                </w:tcPr>
                <w:p>
                  <w:pPr>
                    <w:jc w:val="center"/>
                    <w:rPr>
                      <w:rFonts w:ascii="宋体" w:hAnsi="宋体" w:cs="宋体"/>
                    </w:rPr>
                  </w:pPr>
                  <w:r>
                    <w:rPr>
                      <w:rFonts w:hint="eastAsia"/>
                    </w:rPr>
                    <w:t>花生米</w:t>
                  </w:r>
                </w:p>
              </w:tc>
              <w:tc>
                <w:tcPr>
                  <w:tcW w:w="1083" w:type="pct"/>
                  <w:vAlign w:val="center"/>
                </w:tcPr>
                <w:p>
                  <w:pPr>
                    <w:jc w:val="center"/>
                    <w:rPr>
                      <w:rFonts w:ascii="宋体" w:hAnsi="宋体" w:cs="宋体"/>
                      <w:sz w:val="22"/>
                    </w:rPr>
                  </w:pPr>
                  <w:r>
                    <w:rPr>
                      <w:rFonts w:hint="eastAsia"/>
                      <w:sz w:val="22"/>
                      <w:szCs w:val="22"/>
                    </w:rPr>
                    <w:t>4000</w:t>
                  </w:r>
                </w:p>
              </w:tc>
              <w:tc>
                <w:tcPr>
                  <w:tcW w:w="1111" w:type="pct"/>
                  <w:vAlign w:val="center"/>
                </w:tcPr>
                <w:p>
                  <w:pPr>
                    <w:jc w:val="center"/>
                    <w:rPr>
                      <w:rFonts w:ascii="宋体" w:hAnsi="宋体" w:cs="宋体"/>
                      <w:sz w:val="22"/>
                    </w:rPr>
                  </w:pPr>
                  <w:r>
                    <w:rPr>
                      <w:rFonts w:hint="eastAsia"/>
                      <w:sz w:val="22"/>
                      <w:szCs w:val="22"/>
                    </w:rPr>
                    <w:t>1000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hint="eastAsia" w:eastAsiaTheme="minorEastAsia"/>
                    </w:rPr>
                    <w:t>3</w:t>
                  </w:r>
                </w:p>
              </w:tc>
              <w:tc>
                <w:tcPr>
                  <w:tcW w:w="1010" w:type="pct"/>
                  <w:vAlign w:val="center"/>
                </w:tcPr>
                <w:p>
                  <w:pPr>
                    <w:jc w:val="center"/>
                    <w:rPr>
                      <w:rFonts w:ascii="宋体" w:hAnsi="宋体" w:cs="宋体"/>
                    </w:rPr>
                  </w:pPr>
                  <w:r>
                    <w:rPr>
                      <w:rFonts w:hint="eastAsia"/>
                    </w:rPr>
                    <w:t>葵瓜子</w:t>
                  </w:r>
                </w:p>
              </w:tc>
              <w:tc>
                <w:tcPr>
                  <w:tcW w:w="1083" w:type="pct"/>
                  <w:vAlign w:val="center"/>
                </w:tcPr>
                <w:p>
                  <w:pPr>
                    <w:jc w:val="center"/>
                    <w:rPr>
                      <w:rFonts w:ascii="宋体" w:hAnsi="宋体" w:cs="宋体"/>
                      <w:sz w:val="22"/>
                    </w:rPr>
                  </w:pPr>
                  <w:r>
                    <w:rPr>
                      <w:rFonts w:hint="eastAsia"/>
                      <w:sz w:val="22"/>
                      <w:szCs w:val="22"/>
                    </w:rPr>
                    <w:t>1000</w:t>
                  </w:r>
                </w:p>
              </w:tc>
              <w:tc>
                <w:tcPr>
                  <w:tcW w:w="1111" w:type="pct"/>
                  <w:vAlign w:val="center"/>
                </w:tcPr>
                <w:p>
                  <w:pPr>
                    <w:jc w:val="center"/>
                    <w:rPr>
                      <w:rFonts w:ascii="宋体" w:hAnsi="宋体" w:cs="宋体"/>
                      <w:sz w:val="22"/>
                    </w:rPr>
                  </w:pPr>
                  <w:r>
                    <w:rPr>
                      <w:rFonts w:hint="eastAsia"/>
                      <w:sz w:val="22"/>
                      <w:szCs w:val="22"/>
                    </w:rPr>
                    <w:t>200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hint="eastAsia" w:eastAsiaTheme="minorEastAsia"/>
                    </w:rPr>
                    <w:t>4</w:t>
                  </w:r>
                </w:p>
              </w:tc>
              <w:tc>
                <w:tcPr>
                  <w:tcW w:w="1010" w:type="pct"/>
                  <w:vAlign w:val="center"/>
                </w:tcPr>
                <w:p>
                  <w:pPr>
                    <w:jc w:val="center"/>
                    <w:rPr>
                      <w:rFonts w:ascii="宋体" w:hAnsi="宋体" w:cs="宋体"/>
                    </w:rPr>
                  </w:pPr>
                  <w:r>
                    <w:rPr>
                      <w:rFonts w:hint="eastAsia"/>
                    </w:rPr>
                    <w:t>大米</w:t>
                  </w:r>
                </w:p>
              </w:tc>
              <w:tc>
                <w:tcPr>
                  <w:tcW w:w="1083" w:type="pct"/>
                  <w:vAlign w:val="center"/>
                </w:tcPr>
                <w:p>
                  <w:pPr>
                    <w:jc w:val="center"/>
                    <w:rPr>
                      <w:rFonts w:ascii="宋体" w:hAnsi="宋体" w:cs="宋体"/>
                      <w:sz w:val="22"/>
                    </w:rPr>
                  </w:pPr>
                  <w:r>
                    <w:rPr>
                      <w:rFonts w:hint="eastAsia"/>
                      <w:sz w:val="22"/>
                      <w:szCs w:val="22"/>
                    </w:rPr>
                    <w:t>5000</w:t>
                  </w:r>
                </w:p>
              </w:tc>
              <w:tc>
                <w:tcPr>
                  <w:tcW w:w="1111" w:type="pct"/>
                  <w:vAlign w:val="center"/>
                </w:tcPr>
                <w:p>
                  <w:pPr>
                    <w:jc w:val="center"/>
                    <w:rPr>
                      <w:rFonts w:ascii="宋体" w:hAnsi="宋体" w:cs="宋体"/>
                      <w:sz w:val="22"/>
                    </w:rPr>
                  </w:pPr>
                  <w:r>
                    <w:rPr>
                      <w:rFonts w:hint="eastAsia"/>
                      <w:sz w:val="22"/>
                      <w:szCs w:val="22"/>
                    </w:rPr>
                    <w:t>1000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hint="eastAsia" w:eastAsiaTheme="minorEastAsia"/>
                    </w:rPr>
                    <w:t>5</w:t>
                  </w:r>
                </w:p>
              </w:tc>
              <w:tc>
                <w:tcPr>
                  <w:tcW w:w="1010" w:type="pct"/>
                  <w:vAlign w:val="center"/>
                </w:tcPr>
                <w:p>
                  <w:pPr>
                    <w:jc w:val="center"/>
                    <w:rPr>
                      <w:rFonts w:ascii="宋体" w:hAnsi="宋体" w:cs="宋体"/>
                    </w:rPr>
                  </w:pPr>
                  <w:r>
                    <w:rPr>
                      <w:rFonts w:hint="eastAsia"/>
                    </w:rPr>
                    <w:t>阴米</w:t>
                  </w:r>
                </w:p>
              </w:tc>
              <w:tc>
                <w:tcPr>
                  <w:tcW w:w="1083" w:type="pct"/>
                  <w:vAlign w:val="center"/>
                </w:tcPr>
                <w:p>
                  <w:pPr>
                    <w:jc w:val="center"/>
                    <w:rPr>
                      <w:rFonts w:ascii="宋体" w:hAnsi="宋体" w:cs="宋体"/>
                      <w:sz w:val="22"/>
                    </w:rPr>
                  </w:pPr>
                  <w:r>
                    <w:rPr>
                      <w:rFonts w:hint="eastAsia"/>
                      <w:sz w:val="22"/>
                      <w:szCs w:val="22"/>
                    </w:rPr>
                    <w:t>5000</w:t>
                  </w:r>
                </w:p>
              </w:tc>
              <w:tc>
                <w:tcPr>
                  <w:tcW w:w="1111" w:type="pct"/>
                  <w:vAlign w:val="center"/>
                </w:tcPr>
                <w:p>
                  <w:pPr>
                    <w:jc w:val="center"/>
                    <w:rPr>
                      <w:rFonts w:ascii="宋体" w:hAnsi="宋体" w:cs="宋体"/>
                      <w:sz w:val="22"/>
                    </w:rPr>
                  </w:pPr>
                  <w:r>
                    <w:rPr>
                      <w:rFonts w:hint="eastAsia"/>
                      <w:sz w:val="22"/>
                      <w:szCs w:val="22"/>
                    </w:rPr>
                    <w:t>500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hint="eastAsia" w:eastAsiaTheme="minorEastAsia"/>
                    </w:rPr>
                    <w:t>6</w:t>
                  </w:r>
                </w:p>
              </w:tc>
              <w:tc>
                <w:tcPr>
                  <w:tcW w:w="1010" w:type="pct"/>
                  <w:vAlign w:val="center"/>
                </w:tcPr>
                <w:p>
                  <w:pPr>
                    <w:jc w:val="center"/>
                    <w:rPr>
                      <w:rFonts w:ascii="宋体" w:hAnsi="宋体" w:cs="宋体"/>
                    </w:rPr>
                  </w:pPr>
                  <w:r>
                    <w:rPr>
                      <w:rFonts w:hint="eastAsia"/>
                    </w:rPr>
                    <w:t>玉米片</w:t>
                  </w:r>
                </w:p>
              </w:tc>
              <w:tc>
                <w:tcPr>
                  <w:tcW w:w="1083" w:type="pct"/>
                  <w:vAlign w:val="center"/>
                </w:tcPr>
                <w:p>
                  <w:pPr>
                    <w:jc w:val="center"/>
                    <w:rPr>
                      <w:rFonts w:ascii="宋体" w:hAnsi="宋体" w:cs="宋体"/>
                      <w:sz w:val="22"/>
                    </w:rPr>
                  </w:pPr>
                  <w:r>
                    <w:rPr>
                      <w:rFonts w:hint="eastAsia"/>
                      <w:sz w:val="22"/>
                      <w:szCs w:val="22"/>
                    </w:rPr>
                    <w:t>100</w:t>
                  </w:r>
                </w:p>
              </w:tc>
              <w:tc>
                <w:tcPr>
                  <w:tcW w:w="1111" w:type="pct"/>
                  <w:vAlign w:val="center"/>
                </w:tcPr>
                <w:p>
                  <w:pPr>
                    <w:jc w:val="center"/>
                    <w:rPr>
                      <w:rFonts w:ascii="宋体" w:hAnsi="宋体" w:cs="宋体"/>
                      <w:sz w:val="22"/>
                    </w:rPr>
                  </w:pPr>
                  <w:r>
                    <w:rPr>
                      <w:rFonts w:hint="eastAsia"/>
                      <w:sz w:val="22"/>
                      <w:szCs w:val="22"/>
                    </w:rPr>
                    <w:t>30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hint="eastAsia" w:eastAsiaTheme="minorEastAsia"/>
                    </w:rPr>
                    <w:t>7</w:t>
                  </w:r>
                </w:p>
              </w:tc>
              <w:tc>
                <w:tcPr>
                  <w:tcW w:w="1010" w:type="pct"/>
                  <w:vAlign w:val="center"/>
                </w:tcPr>
                <w:p>
                  <w:pPr>
                    <w:jc w:val="center"/>
                    <w:rPr>
                      <w:rFonts w:ascii="宋体" w:hAnsi="宋体" w:cs="宋体"/>
                    </w:rPr>
                  </w:pPr>
                  <w:r>
                    <w:rPr>
                      <w:rFonts w:hint="eastAsia"/>
                    </w:rPr>
                    <w:t>白南瓜子</w:t>
                  </w:r>
                </w:p>
              </w:tc>
              <w:tc>
                <w:tcPr>
                  <w:tcW w:w="1083" w:type="pct"/>
                  <w:vAlign w:val="center"/>
                </w:tcPr>
                <w:p>
                  <w:pPr>
                    <w:jc w:val="center"/>
                    <w:rPr>
                      <w:rFonts w:ascii="宋体" w:hAnsi="宋体" w:cs="宋体"/>
                      <w:sz w:val="22"/>
                    </w:rPr>
                  </w:pPr>
                  <w:r>
                    <w:rPr>
                      <w:rFonts w:hint="eastAsia"/>
                      <w:sz w:val="22"/>
                      <w:szCs w:val="22"/>
                    </w:rPr>
                    <w:t>1000</w:t>
                  </w:r>
                </w:p>
              </w:tc>
              <w:tc>
                <w:tcPr>
                  <w:tcW w:w="1111" w:type="pct"/>
                  <w:vAlign w:val="center"/>
                </w:tcPr>
                <w:p>
                  <w:pPr>
                    <w:jc w:val="center"/>
                    <w:rPr>
                      <w:rFonts w:ascii="宋体" w:hAnsi="宋体" w:cs="宋体"/>
                      <w:sz w:val="22"/>
                    </w:rPr>
                  </w:pPr>
                  <w:r>
                    <w:rPr>
                      <w:rFonts w:hint="eastAsia"/>
                      <w:sz w:val="22"/>
                      <w:szCs w:val="22"/>
                    </w:rPr>
                    <w:t>200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hint="eastAsia" w:eastAsiaTheme="minorEastAsia"/>
                    </w:rPr>
                    <w:t>8</w:t>
                  </w:r>
                </w:p>
              </w:tc>
              <w:tc>
                <w:tcPr>
                  <w:tcW w:w="1010" w:type="pct"/>
                  <w:vAlign w:val="center"/>
                </w:tcPr>
                <w:p>
                  <w:pPr>
                    <w:jc w:val="center"/>
                    <w:rPr>
                      <w:rFonts w:ascii="宋体" w:hAnsi="宋体" w:cs="宋体"/>
                    </w:rPr>
                  </w:pPr>
                  <w:r>
                    <w:rPr>
                      <w:rFonts w:hint="eastAsia"/>
                    </w:rPr>
                    <w:t>绿豆</w:t>
                  </w:r>
                </w:p>
              </w:tc>
              <w:tc>
                <w:tcPr>
                  <w:tcW w:w="1083" w:type="pct"/>
                  <w:vAlign w:val="center"/>
                </w:tcPr>
                <w:p>
                  <w:pPr>
                    <w:jc w:val="center"/>
                    <w:rPr>
                      <w:rFonts w:ascii="宋体" w:hAnsi="宋体" w:cs="宋体"/>
                      <w:sz w:val="22"/>
                    </w:rPr>
                  </w:pPr>
                  <w:r>
                    <w:rPr>
                      <w:rFonts w:hint="eastAsia"/>
                      <w:sz w:val="22"/>
                      <w:szCs w:val="22"/>
                    </w:rPr>
                    <w:t>1000</w:t>
                  </w:r>
                </w:p>
              </w:tc>
              <w:tc>
                <w:tcPr>
                  <w:tcW w:w="1111" w:type="pct"/>
                  <w:vAlign w:val="center"/>
                </w:tcPr>
                <w:p>
                  <w:pPr>
                    <w:jc w:val="center"/>
                    <w:rPr>
                      <w:rFonts w:ascii="宋体" w:hAnsi="宋体" w:cs="宋体"/>
                      <w:sz w:val="22"/>
                    </w:rPr>
                  </w:pPr>
                  <w:r>
                    <w:rPr>
                      <w:rFonts w:hint="eastAsia"/>
                      <w:sz w:val="22"/>
                      <w:szCs w:val="22"/>
                    </w:rPr>
                    <w:t>100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hint="eastAsia" w:eastAsiaTheme="minorEastAsia"/>
                    </w:rPr>
                    <w:t>9</w:t>
                  </w:r>
                </w:p>
              </w:tc>
              <w:tc>
                <w:tcPr>
                  <w:tcW w:w="1010" w:type="pct"/>
                  <w:vAlign w:val="center"/>
                </w:tcPr>
                <w:p>
                  <w:pPr>
                    <w:jc w:val="center"/>
                    <w:rPr>
                      <w:rFonts w:ascii="宋体" w:hAnsi="宋体" w:cs="宋体"/>
                    </w:rPr>
                  </w:pPr>
                  <w:r>
                    <w:rPr>
                      <w:rFonts w:hint="eastAsia"/>
                    </w:rPr>
                    <w:t>玉米</w:t>
                  </w:r>
                </w:p>
              </w:tc>
              <w:tc>
                <w:tcPr>
                  <w:tcW w:w="1083" w:type="pct"/>
                  <w:vAlign w:val="center"/>
                </w:tcPr>
                <w:p>
                  <w:pPr>
                    <w:jc w:val="center"/>
                    <w:rPr>
                      <w:rFonts w:ascii="宋体" w:hAnsi="宋体" w:cs="宋体"/>
                      <w:sz w:val="22"/>
                    </w:rPr>
                  </w:pPr>
                  <w:r>
                    <w:rPr>
                      <w:rFonts w:hint="eastAsia"/>
                      <w:sz w:val="22"/>
                      <w:szCs w:val="22"/>
                    </w:rPr>
                    <w:t>500</w:t>
                  </w:r>
                </w:p>
              </w:tc>
              <w:tc>
                <w:tcPr>
                  <w:tcW w:w="1111" w:type="pct"/>
                  <w:vAlign w:val="center"/>
                </w:tcPr>
                <w:p>
                  <w:pPr>
                    <w:jc w:val="center"/>
                    <w:rPr>
                      <w:rFonts w:ascii="宋体" w:hAnsi="宋体" w:cs="宋体"/>
                      <w:sz w:val="22"/>
                    </w:rPr>
                  </w:pPr>
                  <w:r>
                    <w:rPr>
                      <w:rFonts w:hint="eastAsia"/>
                      <w:sz w:val="22"/>
                      <w:szCs w:val="22"/>
                    </w:rPr>
                    <w:t>50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hint="eastAsia" w:eastAsiaTheme="minorEastAsia"/>
                    </w:rPr>
                    <w:t>10</w:t>
                  </w:r>
                </w:p>
              </w:tc>
              <w:tc>
                <w:tcPr>
                  <w:tcW w:w="1010" w:type="pct"/>
                  <w:vAlign w:val="center"/>
                </w:tcPr>
                <w:p>
                  <w:pPr>
                    <w:jc w:val="center"/>
                    <w:rPr>
                      <w:rFonts w:ascii="宋体" w:hAnsi="宋体" w:cs="宋体"/>
                    </w:rPr>
                  </w:pPr>
                  <w:r>
                    <w:rPr>
                      <w:rFonts w:hint="eastAsia"/>
                    </w:rPr>
                    <w:t>茶叶</w:t>
                  </w:r>
                </w:p>
              </w:tc>
              <w:tc>
                <w:tcPr>
                  <w:tcW w:w="1083" w:type="pct"/>
                  <w:vAlign w:val="center"/>
                </w:tcPr>
                <w:p>
                  <w:pPr>
                    <w:jc w:val="center"/>
                    <w:rPr>
                      <w:rFonts w:ascii="宋体" w:hAnsi="宋体" w:cs="宋体"/>
                      <w:sz w:val="22"/>
                    </w:rPr>
                  </w:pPr>
                  <w:r>
                    <w:rPr>
                      <w:rFonts w:hint="eastAsia"/>
                      <w:sz w:val="22"/>
                      <w:szCs w:val="22"/>
                    </w:rPr>
                    <w:t>100</w:t>
                  </w:r>
                </w:p>
              </w:tc>
              <w:tc>
                <w:tcPr>
                  <w:tcW w:w="1111" w:type="pct"/>
                  <w:vAlign w:val="center"/>
                </w:tcPr>
                <w:p>
                  <w:pPr>
                    <w:jc w:val="center"/>
                    <w:rPr>
                      <w:rFonts w:ascii="宋体" w:hAnsi="宋体" w:cs="宋体"/>
                      <w:sz w:val="22"/>
                    </w:rPr>
                  </w:pPr>
                  <w:r>
                    <w:rPr>
                      <w:rFonts w:hint="eastAsia"/>
                      <w:sz w:val="22"/>
                      <w:szCs w:val="22"/>
                    </w:rPr>
                    <w:t>50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hint="eastAsia" w:eastAsiaTheme="minorEastAsia"/>
                    </w:rPr>
                    <w:t>11</w:t>
                  </w:r>
                </w:p>
              </w:tc>
              <w:tc>
                <w:tcPr>
                  <w:tcW w:w="1010" w:type="pct"/>
                  <w:vAlign w:val="center"/>
                </w:tcPr>
                <w:p>
                  <w:pPr>
                    <w:jc w:val="center"/>
                    <w:rPr>
                      <w:rFonts w:ascii="宋体" w:hAnsi="宋体" w:cs="宋体"/>
                    </w:rPr>
                  </w:pPr>
                  <w:r>
                    <w:rPr>
                      <w:rFonts w:hint="eastAsia"/>
                    </w:rPr>
                    <w:t>芝麻</w:t>
                  </w:r>
                </w:p>
              </w:tc>
              <w:tc>
                <w:tcPr>
                  <w:tcW w:w="1083" w:type="pct"/>
                  <w:vAlign w:val="center"/>
                </w:tcPr>
                <w:p>
                  <w:pPr>
                    <w:jc w:val="center"/>
                    <w:rPr>
                      <w:rFonts w:ascii="宋体" w:hAnsi="宋体" w:cs="宋体"/>
                      <w:sz w:val="22"/>
                    </w:rPr>
                  </w:pPr>
                  <w:r>
                    <w:rPr>
                      <w:rFonts w:hint="eastAsia"/>
                      <w:sz w:val="22"/>
                      <w:szCs w:val="22"/>
                    </w:rPr>
                    <w:t>1000</w:t>
                  </w:r>
                </w:p>
              </w:tc>
              <w:tc>
                <w:tcPr>
                  <w:tcW w:w="1111" w:type="pct"/>
                  <w:vAlign w:val="center"/>
                </w:tcPr>
                <w:p>
                  <w:pPr>
                    <w:jc w:val="center"/>
                    <w:rPr>
                      <w:rFonts w:ascii="宋体" w:hAnsi="宋体" w:cs="宋体"/>
                      <w:sz w:val="22"/>
                    </w:rPr>
                  </w:pPr>
                  <w:r>
                    <w:rPr>
                      <w:rFonts w:hint="eastAsia"/>
                      <w:sz w:val="22"/>
                      <w:szCs w:val="22"/>
                    </w:rPr>
                    <w:t>200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hint="eastAsia" w:eastAsiaTheme="minorEastAsia"/>
                    </w:rPr>
                    <w:t>12</w:t>
                  </w:r>
                </w:p>
              </w:tc>
              <w:tc>
                <w:tcPr>
                  <w:tcW w:w="1010" w:type="pct"/>
                  <w:vAlign w:val="center"/>
                </w:tcPr>
                <w:p>
                  <w:pPr>
                    <w:jc w:val="center"/>
                    <w:rPr>
                      <w:rFonts w:ascii="宋体" w:hAnsi="宋体" w:cs="宋体"/>
                    </w:rPr>
                  </w:pPr>
                  <w:r>
                    <w:rPr>
                      <w:rFonts w:hint="eastAsia"/>
                    </w:rPr>
                    <w:t>白糖</w:t>
                  </w:r>
                </w:p>
              </w:tc>
              <w:tc>
                <w:tcPr>
                  <w:tcW w:w="1083" w:type="pct"/>
                  <w:vAlign w:val="center"/>
                </w:tcPr>
                <w:p>
                  <w:pPr>
                    <w:jc w:val="center"/>
                    <w:rPr>
                      <w:rFonts w:ascii="宋体" w:hAnsi="宋体" w:cs="宋体"/>
                      <w:sz w:val="22"/>
                    </w:rPr>
                  </w:pPr>
                  <w:r>
                    <w:rPr>
                      <w:rFonts w:hint="eastAsia"/>
                      <w:sz w:val="22"/>
                      <w:szCs w:val="22"/>
                    </w:rPr>
                    <w:t>1000</w:t>
                  </w:r>
                </w:p>
              </w:tc>
              <w:tc>
                <w:tcPr>
                  <w:tcW w:w="1111" w:type="pct"/>
                  <w:vAlign w:val="center"/>
                </w:tcPr>
                <w:p>
                  <w:pPr>
                    <w:jc w:val="center"/>
                    <w:rPr>
                      <w:rFonts w:ascii="宋体" w:hAnsi="宋体" w:cs="宋体"/>
                      <w:sz w:val="22"/>
                    </w:rPr>
                  </w:pPr>
                  <w:r>
                    <w:rPr>
                      <w:rFonts w:hint="eastAsia"/>
                      <w:sz w:val="22"/>
                      <w:szCs w:val="22"/>
                    </w:rPr>
                    <w:t>200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hint="eastAsia" w:eastAsiaTheme="minorEastAsia"/>
                    </w:rPr>
                    <w:t>13</w:t>
                  </w:r>
                </w:p>
              </w:tc>
              <w:tc>
                <w:tcPr>
                  <w:tcW w:w="1010" w:type="pct"/>
                  <w:vAlign w:val="center"/>
                </w:tcPr>
                <w:p>
                  <w:pPr>
                    <w:jc w:val="center"/>
                    <w:rPr>
                      <w:rFonts w:ascii="宋体" w:hAnsi="宋体" w:cs="宋体"/>
                    </w:rPr>
                  </w:pPr>
                  <w:r>
                    <w:rPr>
                      <w:rFonts w:hint="eastAsia"/>
                    </w:rPr>
                    <w:t>花生</w:t>
                  </w:r>
                </w:p>
              </w:tc>
              <w:tc>
                <w:tcPr>
                  <w:tcW w:w="1083" w:type="pct"/>
                  <w:vAlign w:val="center"/>
                </w:tcPr>
                <w:p>
                  <w:pPr>
                    <w:jc w:val="center"/>
                    <w:rPr>
                      <w:rFonts w:ascii="宋体" w:hAnsi="宋体" w:cs="宋体"/>
                      <w:sz w:val="22"/>
                    </w:rPr>
                  </w:pPr>
                  <w:r>
                    <w:rPr>
                      <w:rFonts w:hint="eastAsia"/>
                      <w:sz w:val="22"/>
                      <w:szCs w:val="22"/>
                    </w:rPr>
                    <w:t>500</w:t>
                  </w:r>
                </w:p>
              </w:tc>
              <w:tc>
                <w:tcPr>
                  <w:tcW w:w="1111" w:type="pct"/>
                  <w:vAlign w:val="center"/>
                </w:tcPr>
                <w:p>
                  <w:pPr>
                    <w:jc w:val="center"/>
                    <w:rPr>
                      <w:rFonts w:ascii="宋体" w:hAnsi="宋体" w:cs="宋体"/>
                      <w:sz w:val="22"/>
                    </w:rPr>
                  </w:pPr>
                  <w:r>
                    <w:rPr>
                      <w:rFonts w:hint="eastAsia"/>
                      <w:sz w:val="22"/>
                      <w:szCs w:val="22"/>
                    </w:rPr>
                    <w:t>150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hint="eastAsia" w:eastAsiaTheme="minorEastAsia"/>
                    </w:rPr>
                    <w:t>14</w:t>
                  </w:r>
                </w:p>
              </w:tc>
              <w:tc>
                <w:tcPr>
                  <w:tcW w:w="1010" w:type="pct"/>
                  <w:vAlign w:val="center"/>
                </w:tcPr>
                <w:p>
                  <w:pPr>
                    <w:jc w:val="center"/>
                    <w:rPr>
                      <w:rFonts w:ascii="宋体" w:hAnsi="宋体" w:cs="宋体"/>
                    </w:rPr>
                  </w:pPr>
                  <w:r>
                    <w:rPr>
                      <w:rFonts w:hint="eastAsia"/>
                    </w:rPr>
                    <w:t>干姜丝/片</w:t>
                  </w:r>
                </w:p>
              </w:tc>
              <w:tc>
                <w:tcPr>
                  <w:tcW w:w="1083" w:type="pct"/>
                  <w:vAlign w:val="center"/>
                </w:tcPr>
                <w:p>
                  <w:pPr>
                    <w:jc w:val="center"/>
                    <w:rPr>
                      <w:rFonts w:ascii="宋体" w:hAnsi="宋体" w:cs="宋体"/>
                      <w:sz w:val="22"/>
                    </w:rPr>
                  </w:pPr>
                  <w:r>
                    <w:rPr>
                      <w:rFonts w:hint="eastAsia"/>
                      <w:sz w:val="22"/>
                      <w:szCs w:val="22"/>
                    </w:rPr>
                    <w:t>100</w:t>
                  </w:r>
                </w:p>
              </w:tc>
              <w:tc>
                <w:tcPr>
                  <w:tcW w:w="1111" w:type="pct"/>
                  <w:vAlign w:val="center"/>
                </w:tcPr>
                <w:p>
                  <w:pPr>
                    <w:jc w:val="center"/>
                    <w:rPr>
                      <w:rFonts w:ascii="宋体" w:hAnsi="宋体" w:cs="宋体"/>
                      <w:sz w:val="22"/>
                    </w:rPr>
                  </w:pPr>
                  <w:r>
                    <w:rPr>
                      <w:rFonts w:hint="eastAsia"/>
                      <w:sz w:val="22"/>
                      <w:szCs w:val="22"/>
                    </w:rPr>
                    <w:t>50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jc w:val="center"/>
                    <w:rPr>
                      <w:rFonts w:eastAsiaTheme="minorEastAsia"/>
                    </w:rPr>
                  </w:pPr>
                  <w:r>
                    <w:rPr>
                      <w:rFonts w:hint="eastAsia" w:eastAsiaTheme="minorEastAsia"/>
                    </w:rPr>
                    <w:t>15</w:t>
                  </w:r>
                </w:p>
              </w:tc>
              <w:tc>
                <w:tcPr>
                  <w:tcW w:w="1010" w:type="pct"/>
                  <w:vAlign w:val="center"/>
                </w:tcPr>
                <w:p>
                  <w:pPr>
                    <w:jc w:val="center"/>
                    <w:rPr>
                      <w:rFonts w:ascii="宋体" w:hAnsi="宋体" w:cs="宋体"/>
                    </w:rPr>
                  </w:pPr>
                  <w:r>
                    <w:rPr>
                      <w:rFonts w:hint="eastAsia"/>
                    </w:rPr>
                    <w:t>盐</w:t>
                  </w:r>
                </w:p>
              </w:tc>
              <w:tc>
                <w:tcPr>
                  <w:tcW w:w="1083" w:type="pct"/>
                  <w:vAlign w:val="center"/>
                </w:tcPr>
                <w:p>
                  <w:pPr>
                    <w:jc w:val="center"/>
                    <w:rPr>
                      <w:rFonts w:ascii="宋体" w:hAnsi="宋体" w:cs="宋体"/>
                      <w:sz w:val="22"/>
                    </w:rPr>
                  </w:pPr>
                  <w:r>
                    <w:rPr>
                      <w:rFonts w:hint="eastAsia"/>
                      <w:sz w:val="22"/>
                      <w:szCs w:val="22"/>
                    </w:rPr>
                    <w:t>300</w:t>
                  </w:r>
                </w:p>
              </w:tc>
              <w:tc>
                <w:tcPr>
                  <w:tcW w:w="1111" w:type="pct"/>
                  <w:vAlign w:val="center"/>
                </w:tcPr>
                <w:p>
                  <w:pPr>
                    <w:jc w:val="center"/>
                    <w:rPr>
                      <w:rFonts w:ascii="宋体" w:hAnsi="宋体" w:cs="宋体"/>
                      <w:sz w:val="22"/>
                    </w:rPr>
                  </w:pPr>
                  <w:r>
                    <w:rPr>
                      <w:rFonts w:hint="eastAsia"/>
                      <w:sz w:val="22"/>
                      <w:szCs w:val="22"/>
                    </w:rPr>
                    <w:t>70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spacing w:line="312" w:lineRule="auto"/>
                    <w:jc w:val="center"/>
                  </w:pPr>
                  <w:r>
                    <w:rPr>
                      <w:rFonts w:hint="eastAsia"/>
                    </w:rPr>
                    <w:t>16</w:t>
                  </w:r>
                </w:p>
              </w:tc>
              <w:tc>
                <w:tcPr>
                  <w:tcW w:w="1010" w:type="pct"/>
                  <w:vAlign w:val="center"/>
                </w:tcPr>
                <w:p>
                  <w:pPr>
                    <w:jc w:val="center"/>
                    <w:rPr>
                      <w:rFonts w:ascii="宋体" w:hAnsi="宋体" w:cs="宋体"/>
                    </w:rPr>
                  </w:pPr>
                  <w:r>
                    <w:rPr>
                      <w:rFonts w:hint="eastAsia"/>
                    </w:rPr>
                    <w:t>油</w:t>
                  </w:r>
                </w:p>
              </w:tc>
              <w:tc>
                <w:tcPr>
                  <w:tcW w:w="1083" w:type="pct"/>
                  <w:vAlign w:val="center"/>
                </w:tcPr>
                <w:p>
                  <w:pPr>
                    <w:jc w:val="center"/>
                    <w:rPr>
                      <w:rFonts w:ascii="宋体" w:hAnsi="宋体" w:cs="宋体"/>
                      <w:sz w:val="22"/>
                    </w:rPr>
                  </w:pPr>
                  <w:r>
                    <w:rPr>
                      <w:rFonts w:hint="eastAsia"/>
                      <w:sz w:val="22"/>
                      <w:szCs w:val="22"/>
                    </w:rPr>
                    <w:t>300</w:t>
                  </w:r>
                </w:p>
              </w:tc>
              <w:tc>
                <w:tcPr>
                  <w:tcW w:w="1111" w:type="pct"/>
                  <w:vAlign w:val="center"/>
                </w:tcPr>
                <w:p>
                  <w:pPr>
                    <w:jc w:val="center"/>
                    <w:rPr>
                      <w:rFonts w:ascii="宋体" w:hAnsi="宋体" w:cs="宋体"/>
                      <w:sz w:val="22"/>
                    </w:rPr>
                  </w:pPr>
                  <w:r>
                    <w:rPr>
                      <w:rFonts w:hint="eastAsia"/>
                      <w:sz w:val="22"/>
                      <w:szCs w:val="22"/>
                    </w:rPr>
                    <w:t>30</w:t>
                  </w:r>
                </w:p>
              </w:tc>
              <w:tc>
                <w:tcPr>
                  <w:tcW w:w="1278" w:type="pct"/>
                  <w:vMerge w:val="continue"/>
                  <w:vAlign w:val="center"/>
                </w:tcPr>
                <w:p>
                  <w:pPr>
                    <w:spacing w:line="312" w:lineRule="auto"/>
                    <w:jc w:val="cente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spacing w:line="312" w:lineRule="auto"/>
                    <w:jc w:val="center"/>
                  </w:pPr>
                  <w:r>
                    <w:rPr>
                      <w:rFonts w:hint="eastAsia"/>
                    </w:rPr>
                    <w:t>17</w:t>
                  </w:r>
                </w:p>
              </w:tc>
              <w:tc>
                <w:tcPr>
                  <w:tcW w:w="1010" w:type="pct"/>
                  <w:vAlign w:val="center"/>
                </w:tcPr>
                <w:p>
                  <w:pPr>
                    <w:jc w:val="center"/>
                  </w:pPr>
                  <w:r>
                    <w:rPr>
                      <w:rFonts w:hint="eastAsia"/>
                    </w:rPr>
                    <w:t>水</w:t>
                  </w:r>
                </w:p>
              </w:tc>
              <w:tc>
                <w:tcPr>
                  <w:tcW w:w="3472" w:type="pct"/>
                  <w:gridSpan w:val="3"/>
                  <w:vAlign w:val="center"/>
                </w:tcPr>
                <w:p>
                  <w:pPr>
                    <w:spacing w:line="312" w:lineRule="auto"/>
                    <w:jc w:val="center"/>
                  </w:pPr>
                  <w:r>
                    <w:rPr>
                      <w:rFonts w:hint="eastAsia"/>
                    </w:rPr>
                    <w:t>12900m</w:t>
                  </w:r>
                  <w:r>
                    <w:rPr>
                      <w:rFonts w:hint="eastAsia"/>
                      <w:vertAlign w:val="superscript"/>
                    </w:rPr>
                    <w:t>3</w:t>
                  </w:r>
                  <w:r>
                    <w:rPr>
                      <w:rFonts w:hint="eastAsia"/>
                    </w:rPr>
                    <w:t>/a</w:t>
                  </w: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518" w:type="pct"/>
                  <w:vAlign w:val="center"/>
                </w:tcPr>
                <w:p>
                  <w:pPr>
                    <w:spacing w:line="312" w:lineRule="auto"/>
                    <w:jc w:val="center"/>
                  </w:pPr>
                  <w:r>
                    <w:rPr>
                      <w:rFonts w:hint="eastAsia"/>
                    </w:rPr>
                    <w:t>18</w:t>
                  </w:r>
                </w:p>
              </w:tc>
              <w:tc>
                <w:tcPr>
                  <w:tcW w:w="1010" w:type="pct"/>
                  <w:vAlign w:val="center"/>
                </w:tcPr>
                <w:p>
                  <w:pPr>
                    <w:jc w:val="center"/>
                  </w:pPr>
                  <w:r>
                    <w:rPr>
                      <w:rFonts w:hint="eastAsia"/>
                    </w:rPr>
                    <w:t>天然气</w:t>
                  </w:r>
                </w:p>
              </w:tc>
              <w:tc>
                <w:tcPr>
                  <w:tcW w:w="3472" w:type="pct"/>
                  <w:gridSpan w:val="3"/>
                  <w:vAlign w:val="center"/>
                </w:tcPr>
                <w:p>
                  <w:pPr>
                    <w:spacing w:line="312" w:lineRule="auto"/>
                    <w:jc w:val="center"/>
                  </w:pPr>
                </w:p>
              </w:tc>
            </w:tr>
          </w:tbl>
          <w:p>
            <w:pPr>
              <w:adjustRightInd w:val="0"/>
              <w:snapToGrid w:val="0"/>
              <w:spacing w:before="163" w:beforeLines="50" w:line="360" w:lineRule="auto"/>
              <w:rPr>
                <w:b/>
                <w:bCs/>
              </w:rPr>
            </w:pPr>
            <w:r>
              <w:rPr>
                <w:rFonts w:hint="eastAsia"/>
                <w:b/>
                <w:bCs/>
              </w:rPr>
              <w:t>6、项目平面布置</w:t>
            </w:r>
          </w:p>
          <w:p>
            <w:pPr>
              <w:snapToGrid w:val="0"/>
              <w:spacing w:line="360" w:lineRule="auto"/>
              <w:ind w:firstLine="420"/>
            </w:pPr>
            <w:r>
              <w:rPr>
                <w:rFonts w:hint="eastAsia"/>
              </w:rPr>
              <w:t>项目主出入口位于厂区北侧，北侧从西往东依次是1#配套用房、分包车间、2#配套用房；南侧从西往东依次是原材料仓库、生产车间、成品仓库，东南角为生产区出入口，靠近成品仓库，方便成品及原料的运输。</w:t>
            </w:r>
          </w:p>
          <w:p>
            <w:pPr>
              <w:autoSpaceDE w:val="0"/>
              <w:autoSpaceDN w:val="0"/>
              <w:adjustRightInd w:val="0"/>
              <w:snapToGrid w:val="0"/>
              <w:spacing w:line="360" w:lineRule="auto"/>
              <w:rPr>
                <w:b/>
                <w:kern w:val="0"/>
              </w:rPr>
            </w:pPr>
            <w:r>
              <w:rPr>
                <w:rFonts w:hint="eastAsia"/>
                <w:b/>
                <w:kern w:val="0"/>
              </w:rPr>
              <w:t>7、水平衡分析</w:t>
            </w:r>
          </w:p>
          <w:p>
            <w:pPr>
              <w:snapToGrid w:val="0"/>
              <w:spacing w:line="360" w:lineRule="auto"/>
              <w:ind w:firstLine="420"/>
            </w:pPr>
            <w:r>
              <w:rPr>
                <w:rFonts w:hint="eastAsia"/>
              </w:rPr>
              <w:t>项目用水包括原料清洗用水、喷淋装置用水、员工办公生活用水。</w:t>
            </w:r>
          </w:p>
          <w:p>
            <w:pPr>
              <w:snapToGrid w:val="0"/>
              <w:spacing w:line="360" w:lineRule="auto"/>
              <w:ind w:firstLine="420"/>
            </w:pPr>
            <w:r>
              <w:rPr>
                <w:rFonts w:hint="eastAsia"/>
              </w:rPr>
              <w:t>根据企业设计资料，项目原料清洗用水量按50 m</w:t>
            </w:r>
            <w:r>
              <w:rPr>
                <w:rFonts w:hint="eastAsia"/>
                <w:vertAlign w:val="superscript"/>
              </w:rPr>
              <w:t>3</w:t>
            </w:r>
            <w:r>
              <w:rPr>
                <w:rFonts w:hint="eastAsia"/>
              </w:rPr>
              <w:t>/d计算，年工作天数200天计，则原料清洗用水量约10000m</w:t>
            </w:r>
            <w:r>
              <w:rPr>
                <w:rFonts w:hint="eastAsia"/>
                <w:vertAlign w:val="superscript"/>
              </w:rPr>
              <w:t>3</w:t>
            </w:r>
            <w:r>
              <w:rPr>
                <w:rFonts w:hint="eastAsia"/>
              </w:rPr>
              <w:t>/a。产污系数按0.9计，则清洗废水产生量为9000m</w:t>
            </w:r>
            <w:r>
              <w:rPr>
                <w:rFonts w:hint="eastAsia"/>
                <w:vertAlign w:val="superscript"/>
              </w:rPr>
              <w:t>3</w:t>
            </w:r>
            <w:r>
              <w:rPr>
                <w:rFonts w:hint="eastAsia"/>
              </w:rPr>
              <w:t>/a。原料清洗废水经沉淀处理后与生活污水一并经化粪池预处理后纳入园区污水管网。</w:t>
            </w:r>
          </w:p>
          <w:p>
            <w:pPr>
              <w:snapToGrid w:val="0"/>
              <w:spacing w:line="360" w:lineRule="auto"/>
              <w:ind w:firstLine="420"/>
            </w:pPr>
            <w:r>
              <w:rPr>
                <w:rFonts w:hint="eastAsia"/>
              </w:rPr>
              <w:t>炒制过程产生的粉尘废气采用喷淋装置处理，根据建设单位设计资料，该部分喷淋用水补充量按10m</w:t>
            </w:r>
            <w:r>
              <w:rPr>
                <w:rFonts w:hint="eastAsia"/>
                <w:vertAlign w:val="superscript"/>
              </w:rPr>
              <w:t>3</w:t>
            </w:r>
            <w:r>
              <w:rPr>
                <w:rFonts w:hint="eastAsia"/>
              </w:rPr>
              <w:t>/d计算，即2000m</w:t>
            </w:r>
            <w:r>
              <w:rPr>
                <w:rFonts w:hint="eastAsia"/>
                <w:vertAlign w:val="superscript"/>
              </w:rPr>
              <w:t>3</w:t>
            </w:r>
            <w:r>
              <w:rPr>
                <w:rFonts w:hint="eastAsia"/>
              </w:rPr>
              <w:t>/a，该部分废水经隔油处理后与生活污水一并经化粪池预处理最后纳入园区污水管网。</w:t>
            </w:r>
          </w:p>
          <w:p>
            <w:pPr>
              <w:snapToGrid w:val="0"/>
              <w:spacing w:line="360" w:lineRule="auto"/>
              <w:ind w:firstLine="420"/>
            </w:pPr>
            <w:r>
              <w:rPr>
                <w:rFonts w:hint="eastAsia"/>
              </w:rPr>
              <w:t>建设项目劳动定员30人，员工用水定额按150L/d·人计算，年工作天数200天，则生活用水量约900m</w:t>
            </w:r>
            <w:r>
              <w:rPr>
                <w:rFonts w:hint="eastAsia"/>
                <w:vertAlign w:val="superscript"/>
              </w:rPr>
              <w:t>3</w:t>
            </w:r>
            <w:r>
              <w:rPr>
                <w:rFonts w:hint="eastAsia"/>
              </w:rPr>
              <w:t>/a。产污系数按0.8计，则生活污水产生量为720m</w:t>
            </w:r>
            <w:r>
              <w:rPr>
                <w:rFonts w:hint="eastAsia"/>
                <w:vertAlign w:val="superscript"/>
              </w:rPr>
              <w:t>3</w:t>
            </w:r>
            <w:r>
              <w:rPr>
                <w:rFonts w:hint="eastAsia"/>
              </w:rPr>
              <w:t>/a。生活污水经化粪池预处理后纳入园区污水管网。</w:t>
            </w:r>
          </w:p>
          <w:p>
            <w:pPr>
              <w:pStyle w:val="2"/>
              <w:jc w:val="center"/>
            </w:pPr>
            <w:r>
              <w:object>
                <v:shape id="_x0000_i1025" o:spt="75" type="#_x0000_t75" style="height:367.5pt;width:278.2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adjustRightInd w:val="0"/>
              <w:snapToGrid w:val="0"/>
              <w:spacing w:before="163" w:beforeLines="50" w:line="360" w:lineRule="auto"/>
              <w:jc w:val="left"/>
              <w:rPr>
                <w:b/>
                <w:kern w:val="0"/>
              </w:rPr>
            </w:pPr>
            <w:r>
              <w:rPr>
                <w:rFonts w:hint="eastAsia"/>
                <w:b/>
                <w:kern w:val="0"/>
              </w:rPr>
              <w:t>8、劳动定员及工作制度</w:t>
            </w:r>
          </w:p>
          <w:p>
            <w:pPr>
              <w:snapToGrid w:val="0"/>
              <w:spacing w:line="360" w:lineRule="auto"/>
              <w:ind w:firstLine="420"/>
              <w:rPr>
                <w:bCs/>
                <w:color w:val="FF0000"/>
              </w:rPr>
            </w:pPr>
            <w:r>
              <w:rPr>
                <w:rFonts w:hint="eastAsia"/>
                <w:bCs/>
              </w:rPr>
              <w:t>劳动定员30人，不设食堂，年工作200天。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4" w:hRule="atLeast"/>
        </w:trPr>
        <w:tc>
          <w:tcPr>
            <w:tcW w:w="809" w:type="dxa"/>
            <w:vAlign w:val="center"/>
          </w:tcPr>
          <w:p>
            <w:pPr>
              <w:spacing w:line="360" w:lineRule="auto"/>
              <w:jc w:val="center"/>
              <w:rPr>
                <w:rFonts w:cs="宋体"/>
                <w:color w:val="FF0000"/>
              </w:rPr>
            </w:pPr>
          </w:p>
          <w:p>
            <w:pPr>
              <w:spacing w:line="360" w:lineRule="auto"/>
              <w:jc w:val="center"/>
              <w:rPr>
                <w:rFonts w:cs="宋体"/>
                <w:color w:val="FF0000"/>
              </w:rPr>
            </w:pPr>
          </w:p>
          <w:p>
            <w:pPr>
              <w:spacing w:line="360" w:lineRule="auto"/>
              <w:jc w:val="center"/>
              <w:rPr>
                <w:rFonts w:cs="宋体"/>
              </w:rPr>
            </w:pPr>
            <w:r>
              <w:rPr>
                <w:rFonts w:hint="eastAsia" w:cs="宋体"/>
              </w:rPr>
              <w:t>工艺</w:t>
            </w:r>
          </w:p>
          <w:p>
            <w:pPr>
              <w:spacing w:line="360" w:lineRule="auto"/>
              <w:jc w:val="center"/>
              <w:rPr>
                <w:rFonts w:cs="宋体"/>
              </w:rPr>
            </w:pPr>
            <w:r>
              <w:rPr>
                <w:rFonts w:hint="eastAsia" w:cs="宋体"/>
              </w:rPr>
              <w:t>流程</w:t>
            </w:r>
          </w:p>
          <w:p>
            <w:pPr>
              <w:spacing w:line="360" w:lineRule="auto"/>
              <w:jc w:val="center"/>
              <w:rPr>
                <w:rFonts w:cs="宋体"/>
              </w:rPr>
            </w:pPr>
            <w:r>
              <w:rPr>
                <w:rFonts w:hint="eastAsia" w:cs="宋体"/>
              </w:rPr>
              <w:t>和产</w:t>
            </w:r>
          </w:p>
          <w:p>
            <w:pPr>
              <w:spacing w:line="360" w:lineRule="auto"/>
              <w:jc w:val="center"/>
              <w:rPr>
                <w:rFonts w:cs="宋体"/>
              </w:rPr>
            </w:pPr>
            <w:r>
              <w:rPr>
                <w:rFonts w:hint="eastAsia" w:cs="宋体"/>
              </w:rPr>
              <w:t>排污</w:t>
            </w:r>
          </w:p>
          <w:p>
            <w:pPr>
              <w:spacing w:line="360" w:lineRule="auto"/>
              <w:jc w:val="center"/>
              <w:rPr>
                <w:rFonts w:cs="宋体"/>
                <w:color w:val="FF0000"/>
              </w:rPr>
            </w:pPr>
            <w:r>
              <w:rPr>
                <w:rFonts w:hint="eastAsia" w:cs="宋体"/>
              </w:rPr>
              <w:t>环节</w:t>
            </w:r>
          </w:p>
        </w:tc>
        <w:tc>
          <w:tcPr>
            <w:tcW w:w="8137" w:type="dxa"/>
          </w:tcPr>
          <w:p>
            <w:pPr>
              <w:adjustRightInd w:val="0"/>
              <w:snapToGrid w:val="0"/>
              <w:spacing w:before="163" w:beforeLines="50"/>
              <w:rPr>
                <w:b/>
                <w:bCs/>
              </w:rPr>
            </w:pPr>
            <w:r>
              <w:rPr>
                <w:rFonts w:hint="eastAsia"/>
                <w:b/>
                <w:bCs/>
              </w:rPr>
              <w:t>1、工艺流程图</w:t>
            </w:r>
          </w:p>
          <w:p>
            <w:pPr>
              <w:snapToGrid w:val="0"/>
              <w:ind w:firstLine="480"/>
              <w:rPr>
                <w:color w:val="FF0000"/>
              </w:rPr>
            </w:pPr>
            <w:r>
              <w:rPr>
                <w:color w:val="FF0000"/>
              </w:rPr>
              <mc:AlternateContent>
                <mc:Choice Requires="wpc">
                  <w:drawing>
                    <wp:inline distT="0" distB="0" distL="0" distR="0">
                      <wp:extent cx="5248275" cy="4255770"/>
                      <wp:effectExtent l="0" t="0" r="0" b="1905"/>
                      <wp:docPr id="37" name="画布 12"/>
                      <wp:cNvGraphicFramePr/>
                      <a:graphic xmlns:a="http://schemas.openxmlformats.org/drawingml/2006/main">
                        <a:graphicData uri="http://schemas.microsoft.com/office/word/2010/wordprocessingCanvas">
                          <wpc:wpc>
                            <wpc:bg>
                              <a:noFill/>
                            </wpc:bg>
                            <wpc:whole/>
                            <wps:wsp>
                              <wps:cNvPr id="18" name="Text Box 4"/>
                              <wps:cNvSpPr txBox="1">
                                <a:spLocks noChangeArrowheads="1"/>
                              </wps:cNvSpPr>
                              <wps:spPr bwMode="auto">
                                <a:xfrm>
                                  <a:off x="1798320" y="314960"/>
                                  <a:ext cx="1678305" cy="305435"/>
                                </a:xfrm>
                                <a:prstGeom prst="rect">
                                  <a:avLst/>
                                </a:prstGeom>
                                <a:solidFill>
                                  <a:srgbClr val="FFFFFF"/>
                                </a:solidFill>
                                <a:ln w="9525">
                                  <a:solidFill>
                                    <a:srgbClr val="000000"/>
                                  </a:solidFill>
                                  <a:miter lim="800000"/>
                                </a:ln>
                              </wps:spPr>
                              <wps:txbx>
                                <w:txbxContent>
                                  <w:p>
                                    <w:pPr>
                                      <w:jc w:val="center"/>
                                      <w:rPr>
                                        <w:szCs w:val="24"/>
                                      </w:rPr>
                                    </w:pPr>
                                    <w:r>
                                      <w:rPr>
                                        <w:rFonts w:hint="eastAsia"/>
                                        <w:szCs w:val="24"/>
                                      </w:rPr>
                                      <w:t>色选、风选</w:t>
                                    </w:r>
                                  </w:p>
                                </w:txbxContent>
                              </wps:txbx>
                              <wps:bodyPr rot="0" vert="horz" wrap="square" lIns="91440" tIns="45720" rIns="91440" bIns="45720" anchor="t" anchorCtr="0" upright="1">
                                <a:noAutofit/>
                              </wps:bodyPr>
                            </wps:wsp>
                            <wps:wsp>
                              <wps:cNvPr id="19" name="Text Box 4"/>
                              <wps:cNvSpPr txBox="1">
                                <a:spLocks noChangeArrowheads="1"/>
                              </wps:cNvSpPr>
                              <wps:spPr bwMode="auto">
                                <a:xfrm>
                                  <a:off x="1779270" y="949960"/>
                                  <a:ext cx="1678305" cy="305435"/>
                                </a:xfrm>
                                <a:prstGeom prst="rect">
                                  <a:avLst/>
                                </a:prstGeom>
                                <a:solidFill>
                                  <a:srgbClr val="FFFFFF"/>
                                </a:solidFill>
                                <a:ln w="9525">
                                  <a:solidFill>
                                    <a:srgbClr val="000000"/>
                                  </a:solidFill>
                                  <a:miter lim="800000"/>
                                </a:ln>
                              </wps:spPr>
                              <wps:txbx>
                                <w:txbxContent>
                                  <w:p>
                                    <w:pPr>
                                      <w:jc w:val="center"/>
                                      <w:rPr>
                                        <w:szCs w:val="24"/>
                                      </w:rPr>
                                    </w:pPr>
                                    <w:r>
                                      <w:rPr>
                                        <w:rFonts w:hint="eastAsia"/>
                                        <w:szCs w:val="24"/>
                                      </w:rPr>
                                      <w:t>浸泡、清洗</w:t>
                                    </w:r>
                                  </w:p>
                                </w:txbxContent>
                              </wps:txbx>
                              <wps:bodyPr rot="0" vert="horz" wrap="square" lIns="91440" tIns="45720" rIns="91440" bIns="45720" anchor="t" anchorCtr="0" upright="1">
                                <a:noAutofit/>
                              </wps:bodyPr>
                            </wps:wsp>
                            <wps:wsp>
                              <wps:cNvPr id="20" name="Text Box 68"/>
                              <wps:cNvSpPr txBox="1">
                                <a:spLocks noChangeArrowheads="1"/>
                              </wps:cNvSpPr>
                              <wps:spPr bwMode="auto">
                                <a:xfrm>
                                  <a:off x="3571875" y="932180"/>
                                  <a:ext cx="1325880" cy="292100"/>
                                </a:xfrm>
                                <a:prstGeom prst="rect">
                                  <a:avLst/>
                                </a:prstGeom>
                                <a:solidFill>
                                  <a:srgbClr val="FFFFFF">
                                    <a:alpha val="0"/>
                                  </a:srgbClr>
                                </a:solidFill>
                                <a:ln>
                                  <a:noFill/>
                                </a:ln>
                              </wps:spPr>
                              <wps:txbx>
                                <w:txbxContent>
                                  <w:p>
                                    <w:pPr>
                                      <w:rPr>
                                        <w:szCs w:val="24"/>
                                      </w:rPr>
                                    </w:pPr>
                                    <w:r>
                                      <w:rPr>
                                        <w:rFonts w:hint="eastAsia"/>
                                        <w:szCs w:val="24"/>
                                      </w:rPr>
                                      <w:t>W1</w:t>
                                    </w:r>
                                  </w:p>
                                </w:txbxContent>
                              </wps:txbx>
                              <wps:bodyPr rot="0" vert="horz" wrap="square" lIns="91440" tIns="45720" rIns="91440" bIns="45720" anchor="t" anchorCtr="0" upright="1">
                                <a:noAutofit/>
                              </wps:bodyPr>
                            </wps:wsp>
                            <wps:wsp>
                              <wps:cNvPr id="21" name="Line 28"/>
                              <wps:cNvCnPr>
                                <a:cxnSpLocks noChangeShapeType="1"/>
                              </wps:cNvCnPr>
                              <wps:spPr bwMode="auto">
                                <a:xfrm>
                                  <a:off x="2638425" y="1255395"/>
                                  <a:ext cx="1270" cy="332740"/>
                                </a:xfrm>
                                <a:prstGeom prst="line">
                                  <a:avLst/>
                                </a:prstGeom>
                                <a:noFill/>
                                <a:ln w="9525">
                                  <a:solidFill>
                                    <a:srgbClr val="000000"/>
                                  </a:solidFill>
                                  <a:round/>
                                  <a:tailEnd type="triangle" w="med" len="med"/>
                                </a:ln>
                              </wps:spPr>
                              <wps:bodyPr/>
                            </wps:wsp>
                            <wps:wsp>
                              <wps:cNvPr id="22" name="Line 28"/>
                              <wps:cNvCnPr/>
                              <wps:spPr bwMode="auto">
                                <a:xfrm>
                                  <a:off x="2637155" y="617220"/>
                                  <a:ext cx="1270" cy="332740"/>
                                </a:xfrm>
                                <a:prstGeom prst="line">
                                  <a:avLst/>
                                </a:prstGeom>
                                <a:noFill/>
                                <a:ln w="9525">
                                  <a:solidFill>
                                    <a:srgbClr val="000000"/>
                                  </a:solidFill>
                                  <a:round/>
                                  <a:tailEnd type="triangle" w="med" len="med"/>
                                </a:ln>
                              </wps:spPr>
                              <wps:bodyPr/>
                            </wps:wsp>
                            <wps:wsp>
                              <wps:cNvPr id="23" name="Text Box 4"/>
                              <wps:cNvSpPr txBox="1">
                                <a:spLocks noChangeArrowheads="1"/>
                              </wps:cNvSpPr>
                              <wps:spPr bwMode="auto">
                                <a:xfrm>
                                  <a:off x="1779270" y="1588135"/>
                                  <a:ext cx="1678305" cy="305435"/>
                                </a:xfrm>
                                <a:prstGeom prst="rect">
                                  <a:avLst/>
                                </a:prstGeom>
                                <a:solidFill>
                                  <a:srgbClr val="FFFFFF"/>
                                </a:solidFill>
                                <a:ln w="9525">
                                  <a:solidFill>
                                    <a:srgbClr val="000000"/>
                                  </a:solidFill>
                                  <a:miter lim="800000"/>
                                </a:ln>
                              </wps:spPr>
                              <wps:txbx>
                                <w:txbxContent>
                                  <w:p>
                                    <w:pPr>
                                      <w:jc w:val="center"/>
                                      <w:rPr>
                                        <w:szCs w:val="24"/>
                                      </w:rPr>
                                    </w:pPr>
                                    <w:r>
                                      <w:rPr>
                                        <w:rFonts w:hint="eastAsia"/>
                                        <w:szCs w:val="24"/>
                                      </w:rPr>
                                      <w:t>油炸</w:t>
                                    </w:r>
                                  </w:p>
                                </w:txbxContent>
                              </wps:txbx>
                              <wps:bodyPr rot="0" vert="horz" wrap="square" lIns="91440" tIns="45720" rIns="91440" bIns="45720" anchor="t" anchorCtr="0" upright="1">
                                <a:noAutofit/>
                              </wps:bodyPr>
                            </wps:wsp>
                            <wps:wsp>
                              <wps:cNvPr id="24" name="Text Box 68"/>
                              <wps:cNvSpPr txBox="1">
                                <a:spLocks noChangeArrowheads="1"/>
                              </wps:cNvSpPr>
                              <wps:spPr bwMode="auto">
                                <a:xfrm>
                                  <a:off x="3571875" y="1601470"/>
                                  <a:ext cx="1325880" cy="292100"/>
                                </a:xfrm>
                                <a:prstGeom prst="rect">
                                  <a:avLst/>
                                </a:prstGeom>
                                <a:solidFill>
                                  <a:srgbClr val="FFFFFF">
                                    <a:alpha val="0"/>
                                  </a:srgbClr>
                                </a:solidFill>
                                <a:ln>
                                  <a:noFill/>
                                </a:ln>
                              </wps:spPr>
                              <wps:txbx>
                                <w:txbxContent>
                                  <w:p>
                                    <w:pPr>
                                      <w:rPr>
                                        <w:szCs w:val="24"/>
                                      </w:rPr>
                                    </w:pPr>
                                    <w:r>
                                      <w:rPr>
                                        <w:rFonts w:hint="eastAsia"/>
                                        <w:szCs w:val="24"/>
                                      </w:rPr>
                                      <w:t>G1</w:t>
                                    </w:r>
                                  </w:p>
                                </w:txbxContent>
                              </wps:txbx>
                              <wps:bodyPr rot="0" vert="horz" wrap="square" lIns="91440" tIns="45720" rIns="91440" bIns="45720" anchor="t" anchorCtr="0" upright="1">
                                <a:noAutofit/>
                              </wps:bodyPr>
                            </wps:wsp>
                            <wps:wsp>
                              <wps:cNvPr id="25" name="Line 28"/>
                              <wps:cNvCnPr/>
                              <wps:spPr bwMode="auto">
                                <a:xfrm>
                                  <a:off x="2639695" y="1893570"/>
                                  <a:ext cx="1270" cy="332740"/>
                                </a:xfrm>
                                <a:prstGeom prst="line">
                                  <a:avLst/>
                                </a:prstGeom>
                                <a:noFill/>
                                <a:ln w="9525">
                                  <a:solidFill>
                                    <a:srgbClr val="000000"/>
                                  </a:solidFill>
                                  <a:round/>
                                  <a:tailEnd type="triangle" w="med" len="med"/>
                                </a:ln>
                              </wps:spPr>
                              <wps:bodyPr/>
                            </wps:wsp>
                            <wps:wsp>
                              <wps:cNvPr id="26" name="Text Box 4"/>
                              <wps:cNvSpPr txBox="1">
                                <a:spLocks noChangeArrowheads="1"/>
                              </wps:cNvSpPr>
                              <wps:spPr bwMode="auto">
                                <a:xfrm>
                                  <a:off x="1779270" y="2226310"/>
                                  <a:ext cx="1678305" cy="305435"/>
                                </a:xfrm>
                                <a:prstGeom prst="rect">
                                  <a:avLst/>
                                </a:prstGeom>
                                <a:solidFill>
                                  <a:srgbClr val="FFFFFF"/>
                                </a:solidFill>
                                <a:ln w="9525">
                                  <a:solidFill>
                                    <a:srgbClr val="000000"/>
                                  </a:solidFill>
                                  <a:miter lim="800000"/>
                                </a:ln>
                              </wps:spPr>
                              <wps:txbx>
                                <w:txbxContent>
                                  <w:p>
                                    <w:pPr>
                                      <w:jc w:val="center"/>
                                      <w:rPr>
                                        <w:szCs w:val="24"/>
                                      </w:rPr>
                                    </w:pPr>
                                    <w:r>
                                      <w:rPr>
                                        <w:rFonts w:hint="eastAsia"/>
                                        <w:szCs w:val="24"/>
                                      </w:rPr>
                                      <w:t>脱油</w:t>
                                    </w:r>
                                  </w:p>
                                </w:txbxContent>
                              </wps:txbx>
                              <wps:bodyPr rot="0" vert="horz" wrap="square" lIns="91440" tIns="45720" rIns="91440" bIns="45720" anchor="t" anchorCtr="0" upright="1">
                                <a:noAutofit/>
                              </wps:bodyPr>
                            </wps:wsp>
                            <wps:wsp>
                              <wps:cNvPr id="27" name="Line 28"/>
                              <wps:cNvCnPr/>
                              <wps:spPr bwMode="auto">
                                <a:xfrm>
                                  <a:off x="1077595" y="436880"/>
                                  <a:ext cx="701675" cy="0"/>
                                </a:xfrm>
                                <a:prstGeom prst="line">
                                  <a:avLst/>
                                </a:prstGeom>
                                <a:noFill/>
                                <a:ln w="9525">
                                  <a:solidFill>
                                    <a:srgbClr val="000000"/>
                                  </a:solidFill>
                                  <a:round/>
                                  <a:tailEnd type="triangle" w="med" len="med"/>
                                </a:ln>
                              </wps:spPr>
                              <wps:bodyPr/>
                            </wps:wsp>
                            <wps:wsp>
                              <wps:cNvPr id="29" name="Line 28"/>
                              <wps:cNvCnPr/>
                              <wps:spPr bwMode="auto">
                                <a:xfrm>
                                  <a:off x="2635885" y="2531745"/>
                                  <a:ext cx="1270" cy="332740"/>
                                </a:xfrm>
                                <a:prstGeom prst="line">
                                  <a:avLst/>
                                </a:prstGeom>
                                <a:noFill/>
                                <a:ln w="9525">
                                  <a:solidFill>
                                    <a:srgbClr val="000000"/>
                                  </a:solidFill>
                                  <a:round/>
                                  <a:tailEnd type="triangle" w="med" len="med"/>
                                </a:ln>
                              </wps:spPr>
                              <wps:bodyPr/>
                            </wps:wsp>
                            <wps:wsp>
                              <wps:cNvPr id="30" name="Text Box 4"/>
                              <wps:cNvSpPr txBox="1">
                                <a:spLocks noChangeArrowheads="1"/>
                              </wps:cNvSpPr>
                              <wps:spPr bwMode="auto">
                                <a:xfrm>
                                  <a:off x="1779270" y="2864485"/>
                                  <a:ext cx="1678305" cy="305435"/>
                                </a:xfrm>
                                <a:prstGeom prst="rect">
                                  <a:avLst/>
                                </a:prstGeom>
                                <a:solidFill>
                                  <a:srgbClr val="FFFFFF"/>
                                </a:solidFill>
                                <a:ln w="9525">
                                  <a:solidFill>
                                    <a:srgbClr val="000000"/>
                                  </a:solidFill>
                                  <a:miter lim="800000"/>
                                </a:ln>
                              </wps:spPr>
                              <wps:txbx>
                                <w:txbxContent>
                                  <w:p>
                                    <w:pPr>
                                      <w:jc w:val="center"/>
                                      <w:rPr>
                                        <w:szCs w:val="24"/>
                                      </w:rPr>
                                    </w:pPr>
                                    <w:r>
                                      <w:rPr>
                                        <w:rFonts w:hint="eastAsia"/>
                                        <w:szCs w:val="24"/>
                                      </w:rPr>
                                      <w:t>冷却、检测</w:t>
                                    </w:r>
                                  </w:p>
                                </w:txbxContent>
                              </wps:txbx>
                              <wps:bodyPr rot="0" vert="horz" wrap="square" lIns="91440" tIns="45720" rIns="91440" bIns="45720" anchor="t" anchorCtr="0" upright="1">
                                <a:noAutofit/>
                              </wps:bodyPr>
                            </wps:wsp>
                            <wps:wsp>
                              <wps:cNvPr id="31" name="Text Box 68"/>
                              <wps:cNvSpPr txBox="1">
                                <a:spLocks noChangeArrowheads="1"/>
                              </wps:cNvSpPr>
                              <wps:spPr bwMode="auto">
                                <a:xfrm>
                                  <a:off x="19050" y="167640"/>
                                  <a:ext cx="1278890" cy="764540"/>
                                </a:xfrm>
                                <a:prstGeom prst="rect">
                                  <a:avLst/>
                                </a:prstGeom>
                                <a:solidFill>
                                  <a:srgbClr val="FFFFFF">
                                    <a:alpha val="0"/>
                                  </a:srgbClr>
                                </a:solidFill>
                                <a:ln>
                                  <a:noFill/>
                                </a:ln>
                              </wps:spPr>
                              <wps:txbx>
                                <w:txbxContent>
                                  <w:p>
                                    <w:pPr>
                                      <w:rPr>
                                        <w:szCs w:val="24"/>
                                      </w:rPr>
                                    </w:pPr>
                                    <w:r>
                                      <w:rPr>
                                        <w:rFonts w:hint="eastAsia"/>
                                        <w:szCs w:val="24"/>
                                      </w:rPr>
                                      <w:t>原料（大米、玉米、豌豆、绿豆、花生米等）</w:t>
                                    </w:r>
                                  </w:p>
                                </w:txbxContent>
                              </wps:txbx>
                              <wps:bodyPr rot="0" vert="horz" wrap="square" lIns="91440" tIns="45720" rIns="91440" bIns="45720" anchor="t" anchorCtr="0" upright="1">
                                <a:noAutofit/>
                              </wps:bodyPr>
                            </wps:wsp>
                            <wps:wsp>
                              <wps:cNvPr id="32" name="Line 28"/>
                              <wps:cNvCnPr/>
                              <wps:spPr bwMode="auto">
                                <a:xfrm>
                                  <a:off x="2634615" y="3169920"/>
                                  <a:ext cx="1270" cy="332740"/>
                                </a:xfrm>
                                <a:prstGeom prst="line">
                                  <a:avLst/>
                                </a:prstGeom>
                                <a:noFill/>
                                <a:ln w="9525">
                                  <a:solidFill>
                                    <a:srgbClr val="000000"/>
                                  </a:solidFill>
                                  <a:round/>
                                  <a:tailEnd type="triangle" w="med" len="med"/>
                                </a:ln>
                              </wps:spPr>
                              <wps:bodyPr/>
                            </wps:wsp>
                            <wps:wsp>
                              <wps:cNvPr id="33" name="Text Box 4"/>
                              <wps:cNvSpPr txBox="1">
                                <a:spLocks noChangeArrowheads="1"/>
                              </wps:cNvSpPr>
                              <wps:spPr bwMode="auto">
                                <a:xfrm>
                                  <a:off x="1779270" y="3502660"/>
                                  <a:ext cx="1678305" cy="305435"/>
                                </a:xfrm>
                                <a:prstGeom prst="rect">
                                  <a:avLst/>
                                </a:prstGeom>
                                <a:solidFill>
                                  <a:srgbClr val="FFFFFF"/>
                                </a:solidFill>
                                <a:ln w="9525">
                                  <a:solidFill>
                                    <a:srgbClr val="000000"/>
                                  </a:solidFill>
                                  <a:miter lim="800000"/>
                                </a:ln>
                              </wps:spPr>
                              <wps:txbx>
                                <w:txbxContent>
                                  <w:p>
                                    <w:pPr>
                                      <w:jc w:val="center"/>
                                      <w:rPr>
                                        <w:szCs w:val="24"/>
                                      </w:rPr>
                                    </w:pPr>
                                    <w:r>
                                      <w:rPr>
                                        <w:rFonts w:hint="eastAsia"/>
                                        <w:szCs w:val="24"/>
                                      </w:rPr>
                                      <w:t>包装</w:t>
                                    </w:r>
                                  </w:p>
                                </w:txbxContent>
                              </wps:txbx>
                              <wps:bodyPr rot="0" vert="horz" wrap="square" lIns="91440" tIns="45720" rIns="91440" bIns="45720" anchor="t" anchorCtr="0" upright="1">
                                <a:noAutofit/>
                              </wps:bodyPr>
                            </wps:wsp>
                            <wps:wsp>
                              <wps:cNvPr id="34" name="Line 28"/>
                              <wps:cNvCnPr/>
                              <wps:spPr bwMode="auto">
                                <a:xfrm>
                                  <a:off x="1077595" y="1082040"/>
                                  <a:ext cx="701675" cy="635"/>
                                </a:xfrm>
                                <a:prstGeom prst="line">
                                  <a:avLst/>
                                </a:prstGeom>
                                <a:noFill/>
                                <a:ln w="9525">
                                  <a:solidFill>
                                    <a:srgbClr val="000000"/>
                                  </a:solidFill>
                                  <a:round/>
                                  <a:tailEnd type="triangle" w="med" len="med"/>
                                </a:ln>
                              </wps:spPr>
                              <wps:bodyPr/>
                            </wps:wsp>
                            <wps:wsp>
                              <wps:cNvPr id="35" name="Text Box 68"/>
                              <wps:cNvSpPr txBox="1">
                                <a:spLocks noChangeArrowheads="1"/>
                              </wps:cNvSpPr>
                              <wps:spPr bwMode="auto">
                                <a:xfrm>
                                  <a:off x="696595" y="932180"/>
                                  <a:ext cx="687705" cy="292100"/>
                                </a:xfrm>
                                <a:prstGeom prst="rect">
                                  <a:avLst/>
                                </a:prstGeom>
                                <a:solidFill>
                                  <a:srgbClr val="FFFFFF">
                                    <a:alpha val="0"/>
                                  </a:srgbClr>
                                </a:solidFill>
                                <a:ln>
                                  <a:noFill/>
                                </a:ln>
                              </wps:spPr>
                              <wps:txbx>
                                <w:txbxContent>
                                  <w:p>
                                    <w:pPr>
                                      <w:rPr>
                                        <w:szCs w:val="24"/>
                                      </w:rPr>
                                    </w:pPr>
                                    <w:r>
                                      <w:rPr>
                                        <w:rFonts w:hint="eastAsia"/>
                                        <w:szCs w:val="24"/>
                                      </w:rPr>
                                      <w:t>水</w:t>
                                    </w:r>
                                  </w:p>
                                </w:txbxContent>
                              </wps:txbx>
                              <wps:bodyPr rot="0" vert="horz" wrap="square" lIns="91440" tIns="45720" rIns="91440" bIns="45720" anchor="t" anchorCtr="0" upright="1">
                                <a:noAutofit/>
                              </wps:bodyPr>
                            </wps:wsp>
                            <wps:wsp>
                              <wps:cNvPr id="36" name="Text Box 68"/>
                              <wps:cNvSpPr txBox="1">
                                <a:spLocks noChangeArrowheads="1"/>
                              </wps:cNvSpPr>
                              <wps:spPr bwMode="auto">
                                <a:xfrm>
                                  <a:off x="3571875" y="314960"/>
                                  <a:ext cx="1325880" cy="292100"/>
                                </a:xfrm>
                                <a:prstGeom prst="rect">
                                  <a:avLst/>
                                </a:prstGeom>
                                <a:solidFill>
                                  <a:srgbClr val="FFFFFF">
                                    <a:alpha val="0"/>
                                  </a:srgbClr>
                                </a:solidFill>
                                <a:ln>
                                  <a:noFill/>
                                </a:ln>
                              </wps:spPr>
                              <wps:txbx>
                                <w:txbxContent>
                                  <w:p>
                                    <w:pPr>
                                      <w:rPr>
                                        <w:szCs w:val="24"/>
                                      </w:rPr>
                                    </w:pPr>
                                    <w:r>
                                      <w:rPr>
                                        <w:rFonts w:hint="eastAsia"/>
                                        <w:szCs w:val="24"/>
                                      </w:rPr>
                                      <w:t>S1</w:t>
                                    </w:r>
                                  </w:p>
                                </w:txbxContent>
                              </wps:txbx>
                              <wps:bodyPr rot="0" vert="horz" wrap="square" lIns="91440" tIns="45720" rIns="91440" bIns="45720" anchor="t" anchorCtr="0" upright="1">
                                <a:noAutofit/>
                              </wps:bodyPr>
                            </wps:wsp>
                          </wpc:wpc>
                        </a:graphicData>
                      </a:graphic>
                    </wp:inline>
                  </w:drawing>
                </mc:Choice>
                <mc:Fallback>
                  <w:pict>
                    <v:group id="画布 12" o:spid="_x0000_s1026" o:spt="203" style="height:335.1pt;width:413.25pt;" coordsize="5248275,4255770" editas="canvas" o:gfxdata="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NxZjO/XAAAABQEAAA8AAAAAAAAAAQAgAAAA&#10;IgAAAGRycy9kb3ducmV2LnhtbFBLAQIUABQAAAAIAIdO4kDoSgY6KgUAAL4sAAAOAAAAAAAAAAEA&#10;IAAAACYBAABkcnMvZTJvRG9jLnhtbFBLBQYAAAAABgAGAFkBAADCCAAAAAA=&#10;">
                      <o:lock v:ext="edit" aspectratio="f"/>
                      <v:shape id="画布 12" o:spid="_x0000_s1026" style="position:absolute;left:0;top:0;height:4255770;width:5248275;" filled="f" stroked="f" coordsize="21600,21600" o:gfxdata="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3FmM79cAAAAFAQAADwAAAAAAAAABACAAAAAiAAAAZHJzL2Rvd25yZXYu&#10;eG1sUEsBAhQAFAAAAAgAh07iQGEhLZ3hBAAAFiwAAA4AAAAAAAAAAQAgAAAAJgEAAGRycy9lMm9E&#10;b2MueG1sUEsFBgAAAAAGAAYAWQEAAHkIAAAAAA==&#10;">
                        <v:fill on="f" focussize="0,0"/>
                        <v:stroke on="f"/>
                        <v:imagedata o:title=""/>
                        <o:lock v:ext="edit" aspectratio="f"/>
                      </v:shape>
                      <v:shape id="Text Box 4" o:spid="_x0000_s1026" o:spt="202" type="#_x0000_t202" style="position:absolute;left:1798320;top:314960;height:305435;width:1678305;" fillcolor="#FFFFFF" filled="t" stroked="t" coordsize="21600,21600" o:gfxdata="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O1qZDWAAAABQEAAA8AAAAAAAAAAQAgAAAAIgAAAGRycy9kb3du&#10;cmV2LnhtbFBLAQIUABQAAAAIAIdO4kCy3D39OgIAAJIEAAAOAAAAAAAAAAEAIAAAACUBAABkcnMv&#10;ZTJvRG9jLnhtbFBLBQYAAAAABgAGAFkBAADRBQAAAAA=&#10;">
                        <v:fill on="t" focussize="0,0"/>
                        <v:stroke color="#000000" miterlimit="8" joinstyle="miter"/>
                        <v:imagedata o:title=""/>
                        <o:lock v:ext="edit" aspectratio="f"/>
                        <v:textbox>
                          <w:txbxContent>
                            <w:p>
                              <w:pPr>
                                <w:jc w:val="center"/>
                                <w:rPr>
                                  <w:szCs w:val="24"/>
                                </w:rPr>
                              </w:pPr>
                              <w:r>
                                <w:rPr>
                                  <w:rFonts w:hint="eastAsia"/>
                                  <w:szCs w:val="24"/>
                                </w:rPr>
                                <w:t>色选、风选</w:t>
                              </w:r>
                            </w:p>
                          </w:txbxContent>
                        </v:textbox>
                      </v:shape>
                      <v:shape id="Text Box 4" o:spid="_x0000_s1026" o:spt="202" type="#_x0000_t202" style="position:absolute;left:1779270;top:949960;height:305435;width:1678305;" fillcolor="#FFFFFF" filled="t" stroked="t" coordsize="21600,21600" o:gfxdata="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O1qZDWAAAABQEAAA8AAAAAAAAAAQAgAAAAIgAAAGRycy9kb3du&#10;cmV2LnhtbFBLAQIUABQAAAAIAIdO4kAQOT6kOgIAAJIEAAAOAAAAAAAAAAEAIAAAACUBAABkcnMv&#10;ZTJvRG9jLnhtbFBLBQYAAAAABgAGAFkBAADRBQAAAAA=&#10;">
                        <v:fill on="t" focussize="0,0"/>
                        <v:stroke color="#000000" miterlimit="8" joinstyle="miter"/>
                        <v:imagedata o:title=""/>
                        <o:lock v:ext="edit" aspectratio="f"/>
                        <v:textbox>
                          <w:txbxContent>
                            <w:p>
                              <w:pPr>
                                <w:jc w:val="center"/>
                                <w:rPr>
                                  <w:szCs w:val="24"/>
                                </w:rPr>
                              </w:pPr>
                              <w:r>
                                <w:rPr>
                                  <w:rFonts w:hint="eastAsia"/>
                                  <w:szCs w:val="24"/>
                                </w:rPr>
                                <w:t>浸泡、清洗</w:t>
                              </w:r>
                            </w:p>
                          </w:txbxContent>
                        </v:textbox>
                      </v:shape>
                      <v:shape id="Text Box 68" o:spid="_x0000_s1026" o:spt="202" type="#_x0000_t202" style="position:absolute;left:3571875;top:932180;height:292100;width:1325880;" fillcolor="#FFFFFF" filled="t" stroked="f" coordsize="21600,21600" o:gfxdata="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m/EK1QAAAAUBAAAPAAAAAAAAAAEAIAAAACIAAABkcnMvZG93bnJldi54bWxQ&#10;SwECFAAUAAAACACHTuJAJGB+aTMCAABnBAAADgAAAAAAAAABACAAAAAkAQAAZHJzL2Uyb0RvYy54&#10;bWxQSwUGAAAAAAYABgBZAQAAyQUAAAAA&#10;">
                        <v:fill on="t" opacity="0f" focussize="0,0"/>
                        <v:stroke on="f"/>
                        <v:imagedata o:title=""/>
                        <o:lock v:ext="edit" aspectratio="f"/>
                        <v:textbox>
                          <w:txbxContent>
                            <w:p>
                              <w:pPr>
                                <w:rPr>
                                  <w:szCs w:val="24"/>
                                </w:rPr>
                              </w:pPr>
                              <w:r>
                                <w:rPr>
                                  <w:rFonts w:hint="eastAsia"/>
                                  <w:szCs w:val="24"/>
                                </w:rPr>
                                <w:t>W1</w:t>
                              </w:r>
                            </w:p>
                          </w:txbxContent>
                        </v:textbox>
                      </v:shape>
                      <v:line id="Line 28" o:spid="_x0000_s1026" o:spt="20" style="position:absolute;left:2638425;top:1255395;height:332740;width:1270;" filled="f" stroked="t" coordsize="21600,21600" o:gfxdata="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EpEfDXAAAABQEAAA8AAAAAAAAAAQAgAAAAIgAAAGRycy9kb3ducmV2LnhtbFBLAQIU&#10;ABQAAAAIAIdO4kAveMOV9AEAAN0DAAAOAAAAAAAAAAEAIAAAACYBAABkcnMvZTJvRG9jLnhtbFBL&#10;BQYAAAAABgAGAFkBAACMBQAAAAA=&#10;">
                        <v:fill on="f" focussize="0,0"/>
                        <v:stroke color="#000000" joinstyle="round" endarrow="block"/>
                        <v:imagedata o:title=""/>
                        <o:lock v:ext="edit" aspectratio="f"/>
                      </v:line>
                      <v:line id="Line 28" o:spid="_x0000_s1026" o:spt="20" style="position:absolute;left:2637155;top:617220;height:332740;width:1270;" filled="f" stroked="t" coordsize="21600,21600" o:gfxdata="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KRHw1wAAAAUBAAAPAAAAAAAA&#10;AAEAIAAAACIAAABkcnMvZG93bnJldi54bWxQSwECFAAUAAAACACHTuJAE+LmldoBAACqAwAADgAA&#10;AAAAAAABACAAAAAmAQAAZHJzL2Uyb0RvYy54bWxQSwUGAAAAAAYABgBZAQAAcgUAAAAA&#10;">
                        <v:fill on="f" focussize="0,0"/>
                        <v:stroke color="#000000" joinstyle="round" endarrow="block"/>
                        <v:imagedata o:title=""/>
                        <o:lock v:ext="edit" aspectratio="f"/>
                      </v:line>
                      <v:shape id="Text Box 4" o:spid="_x0000_s1026" o:spt="202" type="#_x0000_t202" style="position:absolute;left:1779270;top:1588135;height:305435;width:1678305;" fillcolor="#FFFFFF" filled="t" stroked="t" coordsize="21600,21600" o:gfxdata="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DtamQ1gAAAAUBAAAPAAAAAAAAAAEAIAAAACIAAABkcnMvZG93&#10;bnJldi54bWxQSwECFAAUAAAACACHTuJADJDGHjsCAACTBAAADgAAAAAAAAABACAAAAAlAQAAZHJz&#10;L2Uyb0RvYy54bWxQSwUGAAAAAAYABgBZAQAA0gUAAAAA&#10;">
                        <v:fill on="t" focussize="0,0"/>
                        <v:stroke color="#000000" miterlimit="8" joinstyle="miter"/>
                        <v:imagedata o:title=""/>
                        <o:lock v:ext="edit" aspectratio="f"/>
                        <v:textbox>
                          <w:txbxContent>
                            <w:p>
                              <w:pPr>
                                <w:jc w:val="center"/>
                                <w:rPr>
                                  <w:szCs w:val="24"/>
                                </w:rPr>
                              </w:pPr>
                              <w:r>
                                <w:rPr>
                                  <w:rFonts w:hint="eastAsia"/>
                                  <w:szCs w:val="24"/>
                                </w:rPr>
                                <w:t>油炸</w:t>
                              </w:r>
                            </w:p>
                          </w:txbxContent>
                        </v:textbox>
                      </v:shape>
                      <v:shape id="Text Box 68" o:spid="_x0000_s1026" o:spt="202" type="#_x0000_t202" style="position:absolute;left:3571875;top:1601470;height:292100;width:1325880;" fillcolor="#FFFFFF" filled="t" stroked="f" coordsize="21600,21600" o:gfxdata="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ZvxCtUAAAAFAQAADwAAAAAAAAABACAAAAAiAAAAZHJzL2Rvd25yZXYueG1s&#10;UEsBAhQAFAAAAAgAh07iQC+zCtE0AgAAaAQAAA4AAAAAAAAAAQAgAAAAJAEAAGRycy9lMm9Eb2Mu&#10;eG1sUEsFBgAAAAAGAAYAWQEAAMoFAAAAAA==&#10;">
                        <v:fill on="t" opacity="0f" focussize="0,0"/>
                        <v:stroke on="f"/>
                        <v:imagedata o:title=""/>
                        <o:lock v:ext="edit" aspectratio="f"/>
                        <v:textbox>
                          <w:txbxContent>
                            <w:p>
                              <w:pPr>
                                <w:rPr>
                                  <w:szCs w:val="24"/>
                                </w:rPr>
                              </w:pPr>
                              <w:r>
                                <w:rPr>
                                  <w:rFonts w:hint="eastAsia"/>
                                  <w:szCs w:val="24"/>
                                </w:rPr>
                                <w:t>G1</w:t>
                              </w:r>
                            </w:p>
                          </w:txbxContent>
                        </v:textbox>
                      </v:shape>
                      <v:line id="Line 28" o:spid="_x0000_s1026" o:spt="20" style="position:absolute;left:2639695;top:1893570;height:332740;width:1270;" filled="f" stroked="t" coordsize="21600,21600" o:gfxdata="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EpEfDXAAAABQEAAA8AAAAAAAAA&#10;AQAgAAAAIgAAAGRycy9kb3ducmV2LnhtbFBLAQIUABQAAAAIAIdO4kDNxk9r2QEAAKsDAAAOAAAA&#10;AAAAAAEAIAAAACYBAABkcnMvZTJvRG9jLnhtbFBLBQYAAAAABgAGAFkBAABxBQAAAAA=&#10;">
                        <v:fill on="f" focussize="0,0"/>
                        <v:stroke color="#000000" joinstyle="round" endarrow="block"/>
                        <v:imagedata o:title=""/>
                        <o:lock v:ext="edit" aspectratio="f"/>
                      </v:line>
                      <v:shape id="Text Box 4" o:spid="_x0000_s1026" o:spt="202" type="#_x0000_t202" style="position:absolute;left:1779270;top:2226310;height:305435;width:1678305;" fillcolor="#FFFFFF" filled="t" stroked="t" coordsize="21600,21600" o:gfxdata="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DtamQ1gAAAAUBAAAPAAAAAAAAAAEAIAAAACIAAABkcnMvZG93&#10;bnJldi54bWxQSwECFAAUAAAACACHTuJAxgKBfzsCAACTBAAADgAAAAAAAAABACAAAAAlAQAAZHJz&#10;L2Uyb0RvYy54bWxQSwUGAAAAAAYABgBZAQAA0gUAAAAA&#10;">
                        <v:fill on="t" focussize="0,0"/>
                        <v:stroke color="#000000" miterlimit="8" joinstyle="miter"/>
                        <v:imagedata o:title=""/>
                        <o:lock v:ext="edit" aspectratio="f"/>
                        <v:textbox>
                          <w:txbxContent>
                            <w:p>
                              <w:pPr>
                                <w:jc w:val="center"/>
                                <w:rPr>
                                  <w:szCs w:val="24"/>
                                </w:rPr>
                              </w:pPr>
                              <w:r>
                                <w:rPr>
                                  <w:rFonts w:hint="eastAsia"/>
                                  <w:szCs w:val="24"/>
                                </w:rPr>
                                <w:t>脱油</w:t>
                              </w:r>
                            </w:p>
                          </w:txbxContent>
                        </v:textbox>
                      </v:shape>
                      <v:line id="Line 28" o:spid="_x0000_s1026" o:spt="20" style="position:absolute;left:1077595;top:436880;height:0;width:701675;" filled="f" stroked="t" coordsize="21600,21600" o:gfxdata="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SkR8NcAAAAFAQAADwAAAAAAAAAB&#10;ACAAAAAiAAAAZHJzL2Rvd25yZXYueG1sUEsBAhQAFAAAAAgAh07iQEslebXYAQAApwMAAA4AAAAA&#10;AAAAAQAgAAAAJgEAAGRycy9lMm9Eb2MueG1sUEsFBgAAAAAGAAYAWQEAAHAFAAAAAA==&#10;">
                        <v:fill on="f" focussize="0,0"/>
                        <v:stroke color="#000000" joinstyle="round" endarrow="block"/>
                        <v:imagedata o:title=""/>
                        <o:lock v:ext="edit" aspectratio="f"/>
                      </v:line>
                      <v:line id="Line 28" o:spid="_x0000_s1026" o:spt="20" style="position:absolute;left:2635885;top:2531745;height:332740;width:1270;" filled="f" stroked="t" coordsize="21600,21600" o:gfxdata="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EpEfDXAAAABQEAAA8AAAAA&#10;AAAAAQAgAAAAIgAAAGRycy9kb3ducmV2LnhtbFBLAQIUABQAAAAIAIdO4kCb9rCE3AEAAKsDAAAO&#10;AAAAAAAAAAEAIAAAACYBAABkcnMvZTJvRG9jLnhtbFBLBQYAAAAABgAGAFkBAAB0BQAAAAA=&#10;">
                        <v:fill on="f" focussize="0,0"/>
                        <v:stroke color="#000000" joinstyle="round" endarrow="block"/>
                        <v:imagedata o:title=""/>
                        <o:lock v:ext="edit" aspectratio="f"/>
                      </v:line>
                      <v:shape id="Text Box 4" o:spid="_x0000_s1026" o:spt="202" type="#_x0000_t202" style="position:absolute;left:1779270;top:2864485;height:305435;width:1678305;" fillcolor="#FFFFFF" filled="t" stroked="t" coordsize="21600,21600" o:gfxdata="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7WpkNYAAAAFAQAADwAAAAAAAAABACAAAAAiAAAAZHJzL2Rv&#10;d25yZXYueG1sUEsBAhQAFAAAAAgAh07iQGEzAEE8AgAAkwQAAA4AAAAAAAAAAQAgAAAAJQEAAGRy&#10;cy9lMm9Eb2MueG1sUEsFBgAAAAAGAAYAWQEAANMFAAAAAA==&#10;">
                        <v:fill on="t" focussize="0,0"/>
                        <v:stroke color="#000000" miterlimit="8" joinstyle="miter"/>
                        <v:imagedata o:title=""/>
                        <o:lock v:ext="edit" aspectratio="f"/>
                        <v:textbox>
                          <w:txbxContent>
                            <w:p>
                              <w:pPr>
                                <w:jc w:val="center"/>
                                <w:rPr>
                                  <w:szCs w:val="24"/>
                                </w:rPr>
                              </w:pPr>
                              <w:r>
                                <w:rPr>
                                  <w:rFonts w:hint="eastAsia"/>
                                  <w:szCs w:val="24"/>
                                </w:rPr>
                                <w:t>冷却、检测</w:t>
                              </w:r>
                            </w:p>
                          </w:txbxContent>
                        </v:textbox>
                      </v:shape>
                      <v:shape id="Text Box 68" o:spid="_x0000_s1026" o:spt="202" type="#_x0000_t202" style="position:absolute;left:19050;top:167640;height:764540;width:1278890;" fillcolor="#FFFFFF" filled="t" stroked="f" coordsize="21600,21600" o:gfxdata="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ZvxCtUAAAAFAQAADwAAAAAAAAABACAAAAAiAAAAZHJzL2Rvd25yZXYueG1sUEsBAhQA&#10;FAAAAAgAh07iQHHSAWcuAgAAZQQAAA4AAAAAAAAAAQAgAAAAJAEAAGRycy9lMm9Eb2MueG1sUEsF&#10;BgAAAAAGAAYAWQEAAMQFAAAAAA==&#10;">
                        <v:fill on="t" opacity="0f" focussize="0,0"/>
                        <v:stroke on="f"/>
                        <v:imagedata o:title=""/>
                        <o:lock v:ext="edit" aspectratio="f"/>
                        <v:textbox>
                          <w:txbxContent>
                            <w:p>
                              <w:pPr>
                                <w:rPr>
                                  <w:szCs w:val="24"/>
                                </w:rPr>
                              </w:pPr>
                              <w:r>
                                <w:rPr>
                                  <w:rFonts w:hint="eastAsia"/>
                                  <w:szCs w:val="24"/>
                                </w:rPr>
                                <w:t>原料（大米、玉米、豌豆、绿豆、花生米等）</w:t>
                              </w:r>
                            </w:p>
                          </w:txbxContent>
                        </v:textbox>
                      </v:shape>
                      <v:line id="Line 28" o:spid="_x0000_s1026" o:spt="20" style="position:absolute;left:2634615;top:3169920;height:332740;width:1270;" filled="f" stroked="t" coordsize="21600,21600" o:gfxdata="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KRHw1wAAAAUBAAAPAAAAAAAA&#10;AAEAIAAAACIAAABkcnMvZG93bnJldi54bWxQSwECFAAUAAAACACHTuJAzOKbGdoBAACrAwAADgAA&#10;AAAAAAABACAAAAAmAQAAZHJzL2Uyb0RvYy54bWxQSwUGAAAAAAYABgBZAQAAcgUAAAAA&#10;">
                        <v:fill on="f" focussize="0,0"/>
                        <v:stroke color="#000000" joinstyle="round" endarrow="block"/>
                        <v:imagedata o:title=""/>
                        <o:lock v:ext="edit" aspectratio="f"/>
                      </v:line>
                      <v:shape id="Text Box 4" o:spid="_x0000_s1026" o:spt="202" type="#_x0000_t202" style="position:absolute;left:1779270;top:3502660;height:305435;width:1678305;" fillcolor="#FFFFFF" filled="t" stroked="t" coordsize="21600,21600" o:gfxdata="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7WpkNYAAAAFAQAADwAAAAAAAAABACAAAAAiAAAAZHJzL2Rv&#10;d25yZXYueG1sUEsBAhQAFAAAAAgAh07iQNJZLAI8AgAAkwQAAA4AAAAAAAAAAQAgAAAAJQEAAGRy&#10;cy9lMm9Eb2MueG1sUEsFBgAAAAAGAAYAWQEAANMFAAAAAA==&#10;">
                        <v:fill on="t" focussize="0,0"/>
                        <v:stroke color="#000000" miterlimit="8" joinstyle="miter"/>
                        <v:imagedata o:title=""/>
                        <o:lock v:ext="edit" aspectratio="f"/>
                        <v:textbox>
                          <w:txbxContent>
                            <w:p>
                              <w:pPr>
                                <w:jc w:val="center"/>
                                <w:rPr>
                                  <w:szCs w:val="24"/>
                                </w:rPr>
                              </w:pPr>
                              <w:r>
                                <w:rPr>
                                  <w:rFonts w:hint="eastAsia"/>
                                  <w:szCs w:val="24"/>
                                </w:rPr>
                                <w:t>包装</w:t>
                              </w:r>
                            </w:p>
                          </w:txbxContent>
                        </v:textbox>
                      </v:shape>
                      <v:line id="Line 28" o:spid="_x0000_s1026" o:spt="20" style="position:absolute;left:1077595;top:1082040;height:635;width:701675;" filled="f" stroked="t" coordsize="21600,21600" o:gfxdata="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EpEfDXAAAABQEAAA8AAAAAAAAA&#10;AQAgAAAAIgAAAGRycy9kb3ducmV2LnhtbFBLAQIUABQAAAAIAIdO4kBdO+8g2QEAAKoDAAAOAAAA&#10;AAAAAAEAIAAAACYBAABkcnMvZTJvRG9jLnhtbFBLBQYAAAAABgAGAFkBAABxBQAAAAA=&#10;">
                        <v:fill on="f" focussize="0,0"/>
                        <v:stroke color="#000000" joinstyle="round" endarrow="block"/>
                        <v:imagedata o:title=""/>
                        <o:lock v:ext="edit" aspectratio="f"/>
                      </v:line>
                      <v:shape id="Text Box 68" o:spid="_x0000_s1026" o:spt="202" type="#_x0000_t202" style="position:absolute;left:696595;top:932180;height:292100;width:687705;" fillcolor="#FFFFFF" filled="t" stroked="f" coordsize="21600,21600" o:gfxdata="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ZvxCtUAAAAFAQAADwAAAAAAAAABACAAAAAiAAAAZHJzL2Rvd25yZXYueG1sUEsB&#10;AhQAFAAAAAgAh07iQDx2Rs0xAgAAZQQAAA4AAAAAAAAAAQAgAAAAJAEAAGRycy9lMm9Eb2MueG1s&#10;UEsFBgAAAAAGAAYAWQEAAMcFAAAAAA==&#10;">
                        <v:fill on="t" opacity="0f" focussize="0,0"/>
                        <v:stroke on="f"/>
                        <v:imagedata o:title=""/>
                        <o:lock v:ext="edit" aspectratio="f"/>
                        <v:textbox>
                          <w:txbxContent>
                            <w:p>
                              <w:pPr>
                                <w:rPr>
                                  <w:szCs w:val="24"/>
                                </w:rPr>
                              </w:pPr>
                              <w:r>
                                <w:rPr>
                                  <w:rFonts w:hint="eastAsia"/>
                                  <w:szCs w:val="24"/>
                                </w:rPr>
                                <w:t>水</w:t>
                              </w:r>
                            </w:p>
                          </w:txbxContent>
                        </v:textbox>
                      </v:shape>
                      <v:shape id="Text Box 68" o:spid="_x0000_s1026" o:spt="202" type="#_x0000_t202" style="position:absolute;left:3571875;top:314960;height:292100;width:1325880;" fillcolor="#FFFFFF" filled="t" stroked="f" coordsize="21600,21600" o:gfxdata="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m/EK1QAAAAUBAAAPAAAAAAAAAAEAIAAAACIAAABkcnMvZG93bnJldi54bWxQ&#10;SwECFAAUAAAACACHTuJA09p/SjMCAABnBAAADgAAAAAAAAABACAAAAAkAQAAZHJzL2Uyb0RvYy54&#10;bWxQSwUGAAAAAAYABgBZAQAAyQUAAAAA&#10;">
                        <v:fill on="t" opacity="0f" focussize="0,0"/>
                        <v:stroke on="f"/>
                        <v:imagedata o:title=""/>
                        <o:lock v:ext="edit" aspectratio="f"/>
                        <v:textbox>
                          <w:txbxContent>
                            <w:p>
                              <w:pPr>
                                <w:rPr>
                                  <w:szCs w:val="24"/>
                                </w:rPr>
                              </w:pPr>
                              <w:r>
                                <w:rPr>
                                  <w:rFonts w:hint="eastAsia"/>
                                  <w:szCs w:val="24"/>
                                </w:rPr>
                                <w:t>S1</w:t>
                              </w:r>
                            </w:p>
                          </w:txbxContent>
                        </v:textbox>
                      </v:shape>
                      <w10:wrap type="none"/>
                      <w10:anchorlock/>
                    </v:group>
                  </w:pict>
                </mc:Fallback>
              </mc:AlternateContent>
            </w:r>
          </w:p>
          <w:p>
            <w:pPr>
              <w:snapToGrid w:val="0"/>
              <w:spacing w:before="163" w:beforeLines="50" w:after="163" w:afterLines="50"/>
              <w:jc w:val="center"/>
              <w:rPr>
                <w:b/>
              </w:rPr>
            </w:pPr>
            <w:r>
              <w:rPr>
                <w:rFonts w:hint="eastAsia"/>
                <w:b/>
              </w:rPr>
              <w:t>图2-1 油炸香米、油炸玉米、油炸豆类（豌豆、绿豆）、油炸花生米等油炸类工艺流程图</w:t>
            </w:r>
          </w:p>
          <w:p>
            <w:pPr>
              <w:pStyle w:val="2"/>
            </w:pPr>
            <w:r>
              <w:rPr>
                <w:color w:val="FF0000"/>
              </w:rPr>
              <mc:AlternateContent>
                <mc:Choice Requires="wpc">
                  <w:drawing>
                    <wp:inline distT="0" distB="0" distL="0" distR="0">
                      <wp:extent cx="5248275" cy="3427095"/>
                      <wp:effectExtent l="0" t="0" r="0" b="1905"/>
                      <wp:docPr id="28" name="画布 12"/>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1798320" y="314960"/>
                                  <a:ext cx="1678305" cy="305435"/>
                                </a:xfrm>
                                <a:prstGeom prst="rect">
                                  <a:avLst/>
                                </a:prstGeom>
                                <a:solidFill>
                                  <a:srgbClr val="FFFFFF"/>
                                </a:solidFill>
                                <a:ln w="9525">
                                  <a:solidFill>
                                    <a:srgbClr val="000000"/>
                                  </a:solidFill>
                                  <a:miter lim="800000"/>
                                </a:ln>
                              </wps:spPr>
                              <wps:txbx>
                                <w:txbxContent>
                                  <w:p>
                                    <w:pPr>
                                      <w:jc w:val="center"/>
                                      <w:rPr>
                                        <w:szCs w:val="24"/>
                                      </w:rPr>
                                    </w:pPr>
                                    <w:r>
                                      <w:rPr>
                                        <w:rFonts w:hint="eastAsia"/>
                                        <w:szCs w:val="24"/>
                                      </w:rPr>
                                      <w:t>色选、风选</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779270" y="949960"/>
                                  <a:ext cx="1678305" cy="305435"/>
                                </a:xfrm>
                                <a:prstGeom prst="rect">
                                  <a:avLst/>
                                </a:prstGeom>
                                <a:solidFill>
                                  <a:srgbClr val="FFFFFF"/>
                                </a:solidFill>
                                <a:ln w="9525">
                                  <a:solidFill>
                                    <a:srgbClr val="000000"/>
                                  </a:solidFill>
                                  <a:miter lim="800000"/>
                                </a:ln>
                              </wps:spPr>
                              <wps:txbx>
                                <w:txbxContent>
                                  <w:p>
                                    <w:pPr>
                                      <w:jc w:val="center"/>
                                      <w:rPr>
                                        <w:szCs w:val="24"/>
                                      </w:rPr>
                                    </w:pPr>
                                    <w:r>
                                      <w:rPr>
                                        <w:rFonts w:hint="eastAsia"/>
                                        <w:szCs w:val="24"/>
                                      </w:rPr>
                                      <w:t>浸泡、清洗</w:t>
                                    </w:r>
                                  </w:p>
                                </w:txbxContent>
                              </wps:txbx>
                              <wps:bodyPr rot="0" vert="horz" wrap="square" lIns="91440" tIns="45720" rIns="91440" bIns="45720" anchor="t" anchorCtr="0" upright="1">
                                <a:noAutofit/>
                              </wps:bodyPr>
                            </wps:wsp>
                            <wps:wsp>
                              <wps:cNvPr id="4" name="Text Box 68"/>
                              <wps:cNvSpPr txBox="1">
                                <a:spLocks noChangeArrowheads="1"/>
                              </wps:cNvSpPr>
                              <wps:spPr bwMode="auto">
                                <a:xfrm>
                                  <a:off x="3571875" y="932180"/>
                                  <a:ext cx="1325880" cy="292100"/>
                                </a:xfrm>
                                <a:prstGeom prst="rect">
                                  <a:avLst/>
                                </a:prstGeom>
                                <a:solidFill>
                                  <a:srgbClr val="FFFFFF">
                                    <a:alpha val="0"/>
                                  </a:srgbClr>
                                </a:solidFill>
                                <a:ln>
                                  <a:noFill/>
                                </a:ln>
                              </wps:spPr>
                              <wps:txbx>
                                <w:txbxContent>
                                  <w:p>
                                    <w:pPr>
                                      <w:rPr>
                                        <w:szCs w:val="24"/>
                                      </w:rPr>
                                    </w:pPr>
                                    <w:r>
                                      <w:rPr>
                                        <w:rFonts w:hint="eastAsia"/>
                                        <w:szCs w:val="24"/>
                                      </w:rPr>
                                      <w:t>W1</w:t>
                                    </w:r>
                                  </w:p>
                                </w:txbxContent>
                              </wps:txbx>
                              <wps:bodyPr rot="0" vert="horz" wrap="square" lIns="91440" tIns="45720" rIns="91440" bIns="45720" anchor="t" anchorCtr="0" upright="1">
                                <a:noAutofit/>
                              </wps:bodyPr>
                            </wps:wsp>
                            <wps:wsp>
                              <wps:cNvPr id="5" name="Line 28"/>
                              <wps:cNvCnPr>
                                <a:cxnSpLocks noChangeShapeType="1"/>
                              </wps:cNvCnPr>
                              <wps:spPr bwMode="auto">
                                <a:xfrm>
                                  <a:off x="2638425" y="1255395"/>
                                  <a:ext cx="1270" cy="332740"/>
                                </a:xfrm>
                                <a:prstGeom prst="line">
                                  <a:avLst/>
                                </a:prstGeom>
                                <a:noFill/>
                                <a:ln w="9525">
                                  <a:solidFill>
                                    <a:srgbClr val="000000"/>
                                  </a:solidFill>
                                  <a:round/>
                                  <a:tailEnd type="triangle" w="med" len="med"/>
                                </a:ln>
                              </wps:spPr>
                              <wps:bodyPr/>
                            </wps:wsp>
                            <wps:wsp>
                              <wps:cNvPr id="6" name="Line 28"/>
                              <wps:cNvCnPr/>
                              <wps:spPr bwMode="auto">
                                <a:xfrm>
                                  <a:off x="2637155" y="617220"/>
                                  <a:ext cx="1270" cy="332740"/>
                                </a:xfrm>
                                <a:prstGeom prst="line">
                                  <a:avLst/>
                                </a:prstGeom>
                                <a:noFill/>
                                <a:ln w="9525">
                                  <a:solidFill>
                                    <a:srgbClr val="000000"/>
                                  </a:solidFill>
                                  <a:round/>
                                  <a:tailEnd type="triangle" w="med" len="med"/>
                                </a:ln>
                              </wps:spPr>
                              <wps:bodyPr/>
                            </wps:wsp>
                            <wps:wsp>
                              <wps:cNvPr id="7" name="Text Box 4"/>
                              <wps:cNvSpPr txBox="1">
                                <a:spLocks noChangeArrowheads="1"/>
                              </wps:cNvSpPr>
                              <wps:spPr bwMode="auto">
                                <a:xfrm>
                                  <a:off x="1779270" y="1588135"/>
                                  <a:ext cx="1678305" cy="305435"/>
                                </a:xfrm>
                                <a:prstGeom prst="rect">
                                  <a:avLst/>
                                </a:prstGeom>
                                <a:solidFill>
                                  <a:srgbClr val="FFFFFF"/>
                                </a:solidFill>
                                <a:ln w="9525">
                                  <a:solidFill>
                                    <a:srgbClr val="000000"/>
                                  </a:solidFill>
                                  <a:miter lim="800000"/>
                                </a:ln>
                              </wps:spPr>
                              <wps:txbx>
                                <w:txbxContent>
                                  <w:p>
                                    <w:pPr>
                                      <w:jc w:val="center"/>
                                      <w:rPr>
                                        <w:szCs w:val="24"/>
                                      </w:rPr>
                                    </w:pPr>
                                    <w:r>
                                      <w:rPr>
                                        <w:rFonts w:hint="eastAsia"/>
                                        <w:szCs w:val="24"/>
                                      </w:rPr>
                                      <w:t>炒制</w:t>
                                    </w:r>
                                  </w:p>
                                </w:txbxContent>
                              </wps:txbx>
                              <wps:bodyPr rot="0" vert="horz" wrap="square" lIns="91440" tIns="45720" rIns="91440" bIns="45720" anchor="t" anchorCtr="0" upright="1">
                                <a:noAutofit/>
                              </wps:bodyPr>
                            </wps:wsp>
                            <wps:wsp>
                              <wps:cNvPr id="8" name="Text Box 68"/>
                              <wps:cNvSpPr txBox="1">
                                <a:spLocks noChangeArrowheads="1"/>
                              </wps:cNvSpPr>
                              <wps:spPr bwMode="auto">
                                <a:xfrm>
                                  <a:off x="3571875" y="1601470"/>
                                  <a:ext cx="1325880" cy="292100"/>
                                </a:xfrm>
                                <a:prstGeom prst="rect">
                                  <a:avLst/>
                                </a:prstGeom>
                                <a:solidFill>
                                  <a:srgbClr val="FFFFFF">
                                    <a:alpha val="0"/>
                                  </a:srgbClr>
                                </a:solidFill>
                                <a:ln>
                                  <a:noFill/>
                                </a:ln>
                              </wps:spPr>
                              <wps:txbx>
                                <w:txbxContent>
                                  <w:p>
                                    <w:pPr>
                                      <w:rPr>
                                        <w:szCs w:val="24"/>
                                      </w:rPr>
                                    </w:pPr>
                                    <w:r>
                                      <w:rPr>
                                        <w:rFonts w:hint="eastAsia"/>
                                        <w:szCs w:val="24"/>
                                      </w:rPr>
                                      <w:t>G2</w:t>
                                    </w:r>
                                  </w:p>
                                </w:txbxContent>
                              </wps:txbx>
                              <wps:bodyPr rot="0" vert="horz" wrap="square" lIns="91440" tIns="45720" rIns="91440" bIns="45720" anchor="t" anchorCtr="0" upright="1">
                                <a:noAutofit/>
                              </wps:bodyPr>
                            </wps:wsp>
                            <wps:wsp>
                              <wps:cNvPr id="9" name="Line 28"/>
                              <wps:cNvCnPr/>
                              <wps:spPr bwMode="auto">
                                <a:xfrm>
                                  <a:off x="2639695" y="1893570"/>
                                  <a:ext cx="1270" cy="332740"/>
                                </a:xfrm>
                                <a:prstGeom prst="line">
                                  <a:avLst/>
                                </a:prstGeom>
                                <a:noFill/>
                                <a:ln w="9525">
                                  <a:solidFill>
                                    <a:srgbClr val="000000"/>
                                  </a:solidFill>
                                  <a:round/>
                                  <a:tailEnd type="triangle" w="med" len="med"/>
                                </a:ln>
                              </wps:spPr>
                              <wps:bodyPr/>
                            </wps:wsp>
                            <wps:wsp>
                              <wps:cNvPr id="10" name="Line 28"/>
                              <wps:cNvCnPr/>
                              <wps:spPr bwMode="auto">
                                <a:xfrm>
                                  <a:off x="1077595" y="436880"/>
                                  <a:ext cx="701675" cy="0"/>
                                </a:xfrm>
                                <a:prstGeom prst="line">
                                  <a:avLst/>
                                </a:prstGeom>
                                <a:noFill/>
                                <a:ln w="9525">
                                  <a:solidFill>
                                    <a:srgbClr val="000000"/>
                                  </a:solidFill>
                                  <a:round/>
                                  <a:tailEnd type="triangle" w="med" len="med"/>
                                </a:ln>
                              </wps:spPr>
                              <wps:bodyPr/>
                            </wps:wsp>
                            <wps:wsp>
                              <wps:cNvPr id="11" name="Line 28"/>
                              <wps:cNvCnPr/>
                              <wps:spPr bwMode="auto">
                                <a:xfrm>
                                  <a:off x="2635885" y="2531745"/>
                                  <a:ext cx="1270" cy="332740"/>
                                </a:xfrm>
                                <a:prstGeom prst="line">
                                  <a:avLst/>
                                </a:prstGeom>
                                <a:noFill/>
                                <a:ln w="9525">
                                  <a:solidFill>
                                    <a:srgbClr val="000000"/>
                                  </a:solidFill>
                                  <a:round/>
                                  <a:tailEnd type="triangle" w="med" len="med"/>
                                </a:ln>
                              </wps:spPr>
                              <wps:bodyPr/>
                            </wps:wsp>
                            <wps:wsp>
                              <wps:cNvPr id="12" name="Text Box 4"/>
                              <wps:cNvSpPr txBox="1">
                                <a:spLocks noChangeArrowheads="1"/>
                              </wps:cNvSpPr>
                              <wps:spPr bwMode="auto">
                                <a:xfrm>
                                  <a:off x="1779270" y="2226310"/>
                                  <a:ext cx="1678305" cy="305435"/>
                                </a:xfrm>
                                <a:prstGeom prst="rect">
                                  <a:avLst/>
                                </a:prstGeom>
                                <a:solidFill>
                                  <a:srgbClr val="FFFFFF"/>
                                </a:solidFill>
                                <a:ln w="9525">
                                  <a:solidFill>
                                    <a:srgbClr val="000000"/>
                                  </a:solidFill>
                                  <a:miter lim="800000"/>
                                </a:ln>
                              </wps:spPr>
                              <wps:txbx>
                                <w:txbxContent>
                                  <w:p>
                                    <w:pPr>
                                      <w:jc w:val="center"/>
                                      <w:rPr>
                                        <w:szCs w:val="24"/>
                                      </w:rPr>
                                    </w:pPr>
                                    <w:r>
                                      <w:rPr>
                                        <w:rFonts w:hint="eastAsia"/>
                                        <w:szCs w:val="24"/>
                                      </w:rPr>
                                      <w:t>检测</w:t>
                                    </w:r>
                                  </w:p>
                                </w:txbxContent>
                              </wps:txbx>
                              <wps:bodyPr rot="0" vert="horz" wrap="square" lIns="91440" tIns="45720" rIns="91440" bIns="45720" anchor="t" anchorCtr="0" upright="1">
                                <a:noAutofit/>
                              </wps:bodyPr>
                            </wps:wsp>
                            <wps:wsp>
                              <wps:cNvPr id="13" name="Text Box 68"/>
                              <wps:cNvSpPr txBox="1">
                                <a:spLocks noChangeArrowheads="1"/>
                              </wps:cNvSpPr>
                              <wps:spPr bwMode="auto">
                                <a:xfrm>
                                  <a:off x="19050" y="167640"/>
                                  <a:ext cx="1278890" cy="764540"/>
                                </a:xfrm>
                                <a:prstGeom prst="rect">
                                  <a:avLst/>
                                </a:prstGeom>
                                <a:solidFill>
                                  <a:srgbClr val="FFFFFF">
                                    <a:alpha val="0"/>
                                  </a:srgbClr>
                                </a:solidFill>
                                <a:ln>
                                  <a:noFill/>
                                </a:ln>
                              </wps:spPr>
                              <wps:txbx>
                                <w:txbxContent>
                                  <w:p>
                                    <w:pPr>
                                      <w:rPr>
                                        <w:szCs w:val="24"/>
                                      </w:rPr>
                                    </w:pPr>
                                    <w:r>
                                      <w:rPr>
                                        <w:rFonts w:hint="eastAsia"/>
                                        <w:szCs w:val="24"/>
                                      </w:rPr>
                                      <w:t>原料（芝麻、豌豆、青豆、玉米等）</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1760220" y="2864485"/>
                                  <a:ext cx="1678305" cy="305435"/>
                                </a:xfrm>
                                <a:prstGeom prst="rect">
                                  <a:avLst/>
                                </a:prstGeom>
                                <a:solidFill>
                                  <a:srgbClr val="FFFFFF"/>
                                </a:solidFill>
                                <a:ln w="9525">
                                  <a:solidFill>
                                    <a:srgbClr val="000000"/>
                                  </a:solidFill>
                                  <a:miter lim="800000"/>
                                </a:ln>
                              </wps:spPr>
                              <wps:txbx>
                                <w:txbxContent>
                                  <w:p>
                                    <w:pPr>
                                      <w:jc w:val="center"/>
                                      <w:rPr>
                                        <w:szCs w:val="24"/>
                                      </w:rPr>
                                    </w:pPr>
                                    <w:r>
                                      <w:rPr>
                                        <w:rFonts w:hint="eastAsia"/>
                                        <w:szCs w:val="24"/>
                                      </w:rPr>
                                      <w:t>包装</w:t>
                                    </w:r>
                                  </w:p>
                                </w:txbxContent>
                              </wps:txbx>
                              <wps:bodyPr rot="0" vert="horz" wrap="square" lIns="91440" tIns="45720" rIns="91440" bIns="45720" anchor="t" anchorCtr="0" upright="1">
                                <a:noAutofit/>
                              </wps:bodyPr>
                            </wps:wsp>
                            <wps:wsp>
                              <wps:cNvPr id="15" name="Line 28"/>
                              <wps:cNvCnPr/>
                              <wps:spPr bwMode="auto">
                                <a:xfrm>
                                  <a:off x="1077595" y="1082040"/>
                                  <a:ext cx="701675" cy="635"/>
                                </a:xfrm>
                                <a:prstGeom prst="line">
                                  <a:avLst/>
                                </a:prstGeom>
                                <a:noFill/>
                                <a:ln w="9525">
                                  <a:solidFill>
                                    <a:srgbClr val="000000"/>
                                  </a:solidFill>
                                  <a:round/>
                                  <a:tailEnd type="triangle" w="med" len="med"/>
                                </a:ln>
                              </wps:spPr>
                              <wps:bodyPr/>
                            </wps:wsp>
                            <wps:wsp>
                              <wps:cNvPr id="16" name="Text Box 68"/>
                              <wps:cNvSpPr txBox="1">
                                <a:spLocks noChangeArrowheads="1"/>
                              </wps:cNvSpPr>
                              <wps:spPr bwMode="auto">
                                <a:xfrm>
                                  <a:off x="696595" y="932180"/>
                                  <a:ext cx="687705" cy="292100"/>
                                </a:xfrm>
                                <a:prstGeom prst="rect">
                                  <a:avLst/>
                                </a:prstGeom>
                                <a:solidFill>
                                  <a:srgbClr val="FFFFFF">
                                    <a:alpha val="0"/>
                                  </a:srgbClr>
                                </a:solidFill>
                                <a:ln>
                                  <a:noFill/>
                                </a:ln>
                              </wps:spPr>
                              <wps:txbx>
                                <w:txbxContent>
                                  <w:p>
                                    <w:pPr>
                                      <w:rPr>
                                        <w:szCs w:val="24"/>
                                      </w:rPr>
                                    </w:pPr>
                                    <w:r>
                                      <w:rPr>
                                        <w:rFonts w:hint="eastAsia"/>
                                        <w:szCs w:val="24"/>
                                      </w:rPr>
                                      <w:t>水</w:t>
                                    </w:r>
                                  </w:p>
                                </w:txbxContent>
                              </wps:txbx>
                              <wps:bodyPr rot="0" vert="horz" wrap="square" lIns="91440" tIns="45720" rIns="91440" bIns="45720" anchor="t" anchorCtr="0" upright="1">
                                <a:noAutofit/>
                              </wps:bodyPr>
                            </wps:wsp>
                            <wps:wsp>
                              <wps:cNvPr id="17" name="Text Box 68"/>
                              <wps:cNvSpPr txBox="1">
                                <a:spLocks noChangeArrowheads="1"/>
                              </wps:cNvSpPr>
                              <wps:spPr bwMode="auto">
                                <a:xfrm>
                                  <a:off x="3571875" y="314960"/>
                                  <a:ext cx="1325880" cy="292100"/>
                                </a:xfrm>
                                <a:prstGeom prst="rect">
                                  <a:avLst/>
                                </a:prstGeom>
                                <a:solidFill>
                                  <a:srgbClr val="FFFFFF">
                                    <a:alpha val="0"/>
                                  </a:srgbClr>
                                </a:solidFill>
                                <a:ln>
                                  <a:noFill/>
                                </a:ln>
                              </wps:spPr>
                              <wps:txbx>
                                <w:txbxContent>
                                  <w:p>
                                    <w:pPr>
                                      <w:rPr>
                                        <w:szCs w:val="24"/>
                                      </w:rPr>
                                    </w:pPr>
                                    <w:r>
                                      <w:rPr>
                                        <w:rFonts w:hint="eastAsia"/>
                                        <w:szCs w:val="24"/>
                                      </w:rPr>
                                      <w:t>S1</w:t>
                                    </w:r>
                                  </w:p>
                                </w:txbxContent>
                              </wps:txbx>
                              <wps:bodyPr rot="0" vert="horz" wrap="square" lIns="91440" tIns="45720" rIns="91440" bIns="45720" anchor="t" anchorCtr="0" upright="1">
                                <a:noAutofit/>
                              </wps:bodyPr>
                            </wps:wsp>
                          </wpc:wpc>
                        </a:graphicData>
                      </a:graphic>
                    </wp:inline>
                  </w:drawing>
                </mc:Choice>
                <mc:Fallback>
                  <w:pict>
                    <v:group id="画布 12" o:spid="_x0000_s1026" o:spt="203" style="height:269.85pt;width:413.25pt;" coordsize="5248275,3427095" editas="canvas" o:gfxdata="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GmQ&#10;OwLYAAAABQEAAA8AAAAAAAAAAQAgAAAAIgAAAGRycy9kb3ducmV2LnhtbFBLAQIUABQAAAAIAIdO&#10;4kDsVagqCAUAADQoAAAOAAAAAAAAAAEAIAAAACcBAABkcnMvZTJvRG9jLnhtbFBLBQYAAAAABgAG&#10;AFkBAAChCAAAAAA=&#10;">
                      <o:lock v:ext="edit" aspectratio="f"/>
                      <v:shape id="画布 12" o:spid="_x0000_s1026" style="position:absolute;left:0;top:0;height:3427095;width:5248275;" filled="f" stroked="f" coordsize="21600,21600" o:gfxdata="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BpkDsC2AAAAAUBAAAPAAAAAAAAAAEA&#10;IAAAACIAAABkcnMvZG93bnJldi54bWxQSwECFAAUAAAACACHTuJAC2RiJLsEAACMJwAADgAAAAAA&#10;AAABACAAAAAnAQAAZHJzL2Uyb0RvYy54bWxQSwUGAAAAAAYABgBZAQAAVAgAAAAA&#10;">
                        <v:fill on="f" focussize="0,0"/>
                        <v:stroke on="f"/>
                        <v:imagedata o:title=""/>
                        <o:lock v:ext="edit" aspectratio="f"/>
                      </v:shape>
                      <v:shape id="Text Box 4" o:spid="_x0000_s1026" o:spt="202" type="#_x0000_t202" style="position:absolute;left:1798320;top:314960;height:305435;width:1678305;" fillcolor="#FFFFFF" filled="t" stroked="t" coordsize="21600,21600" o:gfxdata="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nwefdYAAAAFAQAADwAAAAAAAAABACAAAAAiAAAAZHJzL2Rvd25y&#10;ZXYueG1sUEsBAhQAFAAAAAgAh07iQPmnZ8g5AgAAkQQAAA4AAAAAAAAAAQAgAAAAJQEAAGRycy9l&#10;Mm9Eb2MueG1sUEsFBgAAAAAGAAYAWQEAANAFAAAAAA==&#10;">
                        <v:fill on="t" focussize="0,0"/>
                        <v:stroke color="#000000" miterlimit="8" joinstyle="miter"/>
                        <v:imagedata o:title=""/>
                        <o:lock v:ext="edit" aspectratio="f"/>
                        <v:textbox>
                          <w:txbxContent>
                            <w:p>
                              <w:pPr>
                                <w:jc w:val="center"/>
                                <w:rPr>
                                  <w:szCs w:val="24"/>
                                </w:rPr>
                              </w:pPr>
                              <w:r>
                                <w:rPr>
                                  <w:rFonts w:hint="eastAsia"/>
                                  <w:szCs w:val="24"/>
                                </w:rPr>
                                <w:t>色选、风选</w:t>
                              </w:r>
                            </w:p>
                          </w:txbxContent>
                        </v:textbox>
                      </v:shape>
                      <v:shape id="Text Box 4" o:spid="_x0000_s1026" o:spt="202" type="#_x0000_t202" style="position:absolute;left:1779270;top:949960;height:305435;width:1678305;" fillcolor="#FFFFFF" filled="t" stroked="t" coordsize="21600,21600" o:gfxdata="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Z8Hn3WAAAABQEAAA8AAAAAAAAAAQAgAAAAIgAAAGRycy9kb3du&#10;cmV2LnhtbFBLAQIUABQAAAAIAIdO4kBbQmSROgIAAJEEAAAOAAAAAAAAAAEAIAAAACUBAABkcnMv&#10;ZTJvRG9jLnhtbFBLBQYAAAAABgAGAFkBAADRBQAAAAA=&#10;">
                        <v:fill on="t" focussize="0,0"/>
                        <v:stroke color="#000000" miterlimit="8" joinstyle="miter"/>
                        <v:imagedata o:title=""/>
                        <o:lock v:ext="edit" aspectratio="f"/>
                        <v:textbox>
                          <w:txbxContent>
                            <w:p>
                              <w:pPr>
                                <w:jc w:val="center"/>
                                <w:rPr>
                                  <w:szCs w:val="24"/>
                                </w:rPr>
                              </w:pPr>
                              <w:r>
                                <w:rPr>
                                  <w:rFonts w:hint="eastAsia"/>
                                  <w:szCs w:val="24"/>
                                </w:rPr>
                                <w:t>浸泡、清洗</w:t>
                              </w:r>
                            </w:p>
                          </w:txbxContent>
                        </v:textbox>
                      </v:shape>
                      <v:shape id="Text Box 68" o:spid="_x0000_s1026" o:spt="202" type="#_x0000_t202" style="position:absolute;left:3571875;top:932180;height:292100;width:1325880;" fillcolor="#FFFFFF" filled="t" stroked="f" coordsize="21600,21600" o:gfxdata="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RSRufVAAAABQEAAA8AAAAAAAAAAQAgAAAAIgAAAGRycy9kb3ducmV2LnhtbFBL&#10;AQIUABQAAAAIAIdO4kB3sMtdMgIAAGYEAAAOAAAAAAAAAAEAIAAAACQBAABkcnMvZTJvRG9jLnht&#10;bFBLBQYAAAAABgAGAFkBAADIBQAAAAA=&#10;">
                        <v:fill on="t" opacity="0f" focussize="0,0"/>
                        <v:stroke on="f"/>
                        <v:imagedata o:title=""/>
                        <o:lock v:ext="edit" aspectratio="f"/>
                        <v:textbox>
                          <w:txbxContent>
                            <w:p>
                              <w:pPr>
                                <w:rPr>
                                  <w:szCs w:val="24"/>
                                </w:rPr>
                              </w:pPr>
                              <w:r>
                                <w:rPr>
                                  <w:rFonts w:hint="eastAsia"/>
                                  <w:szCs w:val="24"/>
                                </w:rPr>
                                <w:t>W1</w:t>
                              </w:r>
                            </w:p>
                          </w:txbxContent>
                        </v:textbox>
                      </v:shape>
                      <v:line id="Line 28" o:spid="_x0000_s1026" o:spt="20" style="position:absolute;left:2638425;top:1255395;height:332740;width:1270;" filled="f" stroked="t" coordsize="21600,21600" o:gfxdata="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Tgph3YAAAABQEAAA8AAAAAAAAAAQAgAAAAIgAAAGRycy9kb3ducmV2LnhtbFBLAQIU&#10;ABQAAAAIAIdO4kDTHiTN8wEAANwDAAAOAAAAAAAAAAEAIAAAACcBAABkcnMvZTJvRG9jLnhtbFBL&#10;BQYAAAAABgAGAFkBAACMBQAAAAA=&#10;">
                        <v:fill on="f" focussize="0,0"/>
                        <v:stroke color="#000000" joinstyle="round" endarrow="block"/>
                        <v:imagedata o:title=""/>
                        <o:lock v:ext="edit" aspectratio="f"/>
                      </v:line>
                      <v:line id="Line 28" o:spid="_x0000_s1026" o:spt="20" style="position:absolute;left:2637155;top:617220;height:332740;width:1270;" filled="f" stroked="t" coordsize="21600,21600" o:gfxdata="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OCmHdgAAAAFAQAADwAAAAAA&#10;AAABACAAAAAiAAAAZHJzL2Rvd25yZXYueG1sUEsBAhQAFAAAAAgAh07iQPZJfkfaAQAAqQMAAA4A&#10;AAAAAAAAAQAgAAAAJwEAAGRycy9lMm9Eb2MueG1sUEsFBgAAAAAGAAYAWQEAAHMFAAAAAA==&#10;">
                        <v:fill on="f" focussize="0,0"/>
                        <v:stroke color="#000000" joinstyle="round" endarrow="block"/>
                        <v:imagedata o:title=""/>
                        <o:lock v:ext="edit" aspectratio="f"/>
                      </v:line>
                      <v:shape id="Text Box 4" o:spid="_x0000_s1026" o:spt="202" type="#_x0000_t202" style="position:absolute;left:1779270;top:1588135;height:305435;width:1678305;" fillcolor="#FFFFFF" filled="t" stroked="t" coordsize="21600,21600" o:gfxdata="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Z8Hn3WAAAABQEAAA8AAAAAAAAAAQAgAAAAIgAAAGRycy9kb3du&#10;cmV2LnhtbFBLAQIUABQAAAAIAIdO4kBkWncHOgIAAJIEAAAOAAAAAAAAAAEAIAAAACUBAABkcnMv&#10;ZTJvRG9jLnhtbFBLBQYAAAAABgAGAFkBAADRBQAAAAA=&#10;">
                        <v:fill on="t" focussize="0,0"/>
                        <v:stroke color="#000000" miterlimit="8" joinstyle="miter"/>
                        <v:imagedata o:title=""/>
                        <o:lock v:ext="edit" aspectratio="f"/>
                        <v:textbox>
                          <w:txbxContent>
                            <w:p>
                              <w:pPr>
                                <w:jc w:val="center"/>
                                <w:rPr>
                                  <w:szCs w:val="24"/>
                                </w:rPr>
                              </w:pPr>
                              <w:r>
                                <w:rPr>
                                  <w:rFonts w:hint="eastAsia"/>
                                  <w:szCs w:val="24"/>
                                </w:rPr>
                                <w:t>炒制</w:t>
                              </w:r>
                            </w:p>
                          </w:txbxContent>
                        </v:textbox>
                      </v:shape>
                      <v:shape id="Text Box 68" o:spid="_x0000_s1026" o:spt="202" type="#_x0000_t202" style="position:absolute;left:3571875;top:1601470;height:292100;width:1325880;" fillcolor="#FFFFFF" filled="t" stroked="f" coordsize="21600,21600" o:gfxdata="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0Ukbn1QAAAAUBAAAPAAAAAAAAAAEAIAAAACIAAABkcnMvZG93bnJldi54bWxQ&#10;SwECFAAUAAAACACHTuJAbR05bzMCAABnBAAADgAAAAAAAAABACAAAAAkAQAAZHJzL2Uyb0RvYy54&#10;bWxQSwUGAAAAAAYABgBZAQAAyQUAAAAA&#10;">
                        <v:fill on="t" opacity="0f" focussize="0,0"/>
                        <v:stroke on="f"/>
                        <v:imagedata o:title=""/>
                        <o:lock v:ext="edit" aspectratio="f"/>
                        <v:textbox>
                          <w:txbxContent>
                            <w:p>
                              <w:pPr>
                                <w:rPr>
                                  <w:szCs w:val="24"/>
                                </w:rPr>
                              </w:pPr>
                              <w:r>
                                <w:rPr>
                                  <w:rFonts w:hint="eastAsia"/>
                                  <w:szCs w:val="24"/>
                                </w:rPr>
                                <w:t>G2</w:t>
                              </w:r>
                            </w:p>
                          </w:txbxContent>
                        </v:textbox>
                      </v:shape>
                      <v:line id="Line 28" o:spid="_x0000_s1026" o:spt="20" style="position:absolute;left:2639695;top:1893570;height:332740;width:1270;" filled="f" stroked="t" coordsize="21600,21600" o:gfxdata="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OCmHdgAAAAFAQAADwAAAAAA&#10;AAABACAAAAAiAAAAZHJzL2Rvd25yZXYueG1sUEsBAhQAFAAAAAgAh07iQFmMFIraAQAAqgMAAA4A&#10;AAAAAAAAAQAgAAAAJwEAAGRycy9lMm9Eb2MueG1sUEsFBgAAAAAGAAYAWQEAAHMFAAAAAA==&#10;">
                        <v:fill on="f" focussize="0,0"/>
                        <v:stroke color="#000000" joinstyle="round" endarrow="block"/>
                        <v:imagedata o:title=""/>
                        <o:lock v:ext="edit" aspectratio="f"/>
                      </v:line>
                      <v:line id="Line 28" o:spid="_x0000_s1026" o:spt="20" style="position:absolute;left:1077595;top:436880;height:0;width:701675;" filled="f" stroked="t" coordsize="21600,21600" o:gfxdata="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4KYd2AAAAAUBAAAPAAAAAAAAAAEA&#10;IAAAACIAAABkcnMvZG93bnJldi54bWxQSwECFAAUAAAACACHTuJAhsUKPtYBAACnAwAADgAAAAAA&#10;AAABACAAAAAnAQAAZHJzL2Uyb0RvYy54bWxQSwUGAAAAAAYABgBZAQAAbwUAAAAA&#10;">
                        <v:fill on="f" focussize="0,0"/>
                        <v:stroke color="#000000" joinstyle="round" endarrow="block"/>
                        <v:imagedata o:title=""/>
                        <o:lock v:ext="edit" aspectratio="f"/>
                      </v:line>
                      <v:line id="Line 28" o:spid="_x0000_s1026" o:spt="20" style="position:absolute;left:2635885;top:2531745;height:332740;width:1270;" filled="f" stroked="t" coordsize="21600,21600" o:gfxdata="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OCmHdgAAAAFAQAADwAA&#10;AAAAAAABACAAAAAiAAAAZHJzL2Rvd25yZXYueG1sUEsBAhQAFAAAAAgAh07iQHoPV/TdAQAAqwMA&#10;AA4AAAAAAAAAAQAgAAAAJwEAAGRycy9lMm9Eb2MueG1sUEsFBgAAAAAGAAYAWQEAAHYFAAAAAA==&#10;">
                        <v:fill on="f" focussize="0,0"/>
                        <v:stroke color="#000000" joinstyle="round" endarrow="block"/>
                        <v:imagedata o:title=""/>
                        <o:lock v:ext="edit" aspectratio="f"/>
                      </v:line>
                      <v:shape id="Text Box 4" o:spid="_x0000_s1026" o:spt="202" type="#_x0000_t202" style="position:absolute;left:1779270;top:2226310;height:305435;width:1678305;" fillcolor="#FFFFFF" filled="t" stroked="t" coordsize="21600,21600" o:gfxdata="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2fB591gAAAAUBAAAPAAAAAAAAAAEAIAAAACIAAABkcnMvZG93&#10;bnJldi54bWxQSwECFAAUAAAACACHTuJALTX9/zsCAACTBAAADgAAAAAAAAABACAAAAAlAQAAZHJz&#10;L2Uyb0RvYy54bWxQSwUGAAAAAAYABgBZAQAA0gUAAAAA&#10;">
                        <v:fill on="t" focussize="0,0"/>
                        <v:stroke color="#000000" miterlimit="8" joinstyle="miter"/>
                        <v:imagedata o:title=""/>
                        <o:lock v:ext="edit" aspectratio="f"/>
                        <v:textbox>
                          <w:txbxContent>
                            <w:p>
                              <w:pPr>
                                <w:jc w:val="center"/>
                                <w:rPr>
                                  <w:szCs w:val="24"/>
                                </w:rPr>
                              </w:pPr>
                              <w:r>
                                <w:rPr>
                                  <w:rFonts w:hint="eastAsia"/>
                                  <w:szCs w:val="24"/>
                                </w:rPr>
                                <w:t>检测</w:t>
                              </w:r>
                            </w:p>
                          </w:txbxContent>
                        </v:textbox>
                      </v:shape>
                      <v:shape id="Text Box 68" o:spid="_x0000_s1026" o:spt="202" type="#_x0000_t202" style="position:absolute;left:19050;top:167640;height:764540;width:1278890;" fillcolor="#FFFFFF" filled="t" stroked="f" coordsize="21600,21600" o:gfxdata="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FJG59UAAAAFAQAADwAAAAAAAAABACAAAAAiAAAAZHJzL2Rvd25yZXYueG1sUEsBAhQA&#10;FAAAAAgAh07iQE+jOdouAgAAZQQAAA4AAAAAAAAAAQAgAAAAJAEAAGRycy9lMm9Eb2MueG1sUEsF&#10;BgAAAAAGAAYAWQEAAMQFAAAAAA==&#10;">
                        <v:fill on="t" opacity="0f" focussize="0,0"/>
                        <v:stroke on="f"/>
                        <v:imagedata o:title=""/>
                        <o:lock v:ext="edit" aspectratio="f"/>
                        <v:textbox>
                          <w:txbxContent>
                            <w:p>
                              <w:pPr>
                                <w:rPr>
                                  <w:szCs w:val="24"/>
                                </w:rPr>
                              </w:pPr>
                              <w:r>
                                <w:rPr>
                                  <w:rFonts w:hint="eastAsia"/>
                                  <w:szCs w:val="24"/>
                                </w:rPr>
                                <w:t>原料（芝麻、豌豆、青豆、玉米等）</w:t>
                              </w:r>
                            </w:p>
                          </w:txbxContent>
                        </v:textbox>
                      </v:shape>
                      <v:shape id="Text Box 4" o:spid="_x0000_s1026" o:spt="202" type="#_x0000_t202" style="position:absolute;left:1760220;top:2864485;height:305435;width:1678305;" fillcolor="#FFFFFF" filled="t" stroked="t" coordsize="21600,21600" o:gfxdata="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2fB591gAAAAUBAAAPAAAAAAAAAAEAIAAAACIAAABkcnMvZG93&#10;bnJldi54bWxQSwECFAAUAAAACACHTuJArRbZYDsCAACTBAAADgAAAAAAAAABACAAAAAlAQAAZHJz&#10;L2Uyb0RvYy54bWxQSwUGAAAAAAYABgBZAQAA0gUAAAAA&#10;">
                        <v:fill on="t" focussize="0,0"/>
                        <v:stroke color="#000000" miterlimit="8" joinstyle="miter"/>
                        <v:imagedata o:title=""/>
                        <o:lock v:ext="edit" aspectratio="f"/>
                        <v:textbox>
                          <w:txbxContent>
                            <w:p>
                              <w:pPr>
                                <w:jc w:val="center"/>
                                <w:rPr>
                                  <w:szCs w:val="24"/>
                                </w:rPr>
                              </w:pPr>
                              <w:r>
                                <w:rPr>
                                  <w:rFonts w:hint="eastAsia"/>
                                  <w:szCs w:val="24"/>
                                </w:rPr>
                                <w:t>包装</w:t>
                              </w:r>
                            </w:p>
                          </w:txbxContent>
                        </v:textbox>
                      </v:shape>
                      <v:line id="Line 28" o:spid="_x0000_s1026" o:spt="20" style="position:absolute;left:1077595;top:1082040;height:635;width:701675;" filled="f" stroked="t" coordsize="21600,21600" o:gfxdata="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OCmHdgAAAAFAQAADwAAAAAAAAAB&#10;ACAAAAAiAAAAZHJzL2Rvd25yZXYueG1sUEsBAhQAFAAAAAgAh07iQCrMGKfXAQAAqgMAAA4AAAAA&#10;AAAAAQAgAAAAJwEAAGRycy9lMm9Eb2MueG1sUEsFBgAAAAAGAAYAWQEAAHAFAAAAAA==&#10;">
                        <v:fill on="f" focussize="0,0"/>
                        <v:stroke color="#000000" joinstyle="round" endarrow="block"/>
                        <v:imagedata o:title=""/>
                        <o:lock v:ext="edit" aspectratio="f"/>
                      </v:line>
                      <v:shape id="Text Box 68" o:spid="_x0000_s1026" o:spt="202" type="#_x0000_t202" style="position:absolute;left:696595;top:932180;height:292100;width:687705;" fillcolor="#FFFFFF" filled="t" stroked="f" coordsize="21600,21600" o:gfxdata="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0Ukbn1QAAAAUBAAAPAAAAAAAAAAEAIAAAACIAAABkcnMvZG93bnJldi54bWxQSwEC&#10;FAAUAAAACACHTuJA/H3jdDACAABlBAAADgAAAAAAAAABACAAAAAkAQAAZHJzL2Uyb0RvYy54bWxQ&#10;SwUGAAAAAAYABgBZAQAAxgUAAAAA&#10;">
                        <v:fill on="t" opacity="0f" focussize="0,0"/>
                        <v:stroke on="f"/>
                        <v:imagedata o:title=""/>
                        <o:lock v:ext="edit" aspectratio="f"/>
                        <v:textbox>
                          <w:txbxContent>
                            <w:p>
                              <w:pPr>
                                <w:rPr>
                                  <w:szCs w:val="24"/>
                                </w:rPr>
                              </w:pPr>
                              <w:r>
                                <w:rPr>
                                  <w:rFonts w:hint="eastAsia"/>
                                  <w:szCs w:val="24"/>
                                </w:rPr>
                                <w:t>水</w:t>
                              </w:r>
                            </w:p>
                          </w:txbxContent>
                        </v:textbox>
                      </v:shape>
                      <v:shape id="Text Box 68" o:spid="_x0000_s1026" o:spt="202" type="#_x0000_t202" style="position:absolute;left:3571875;top:314960;height:292100;width:1325880;" fillcolor="#FFFFFF" filled="t" stroked="f" coordsize="21600,21600" o:gfxdata="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RSRufVAAAABQEAAA8AAAAAAAAAAQAgAAAAIgAAAGRycy9kb3ducmV2LnhtbFBL&#10;AQIUABQAAAAIAIdO4kCozIljMgIAAGcEAAAOAAAAAAAAAAEAIAAAACQBAABkcnMvZTJvRG9jLnht&#10;bFBLBQYAAAAABgAGAFkBAADIBQAAAAA=&#10;">
                        <v:fill on="t" opacity="0f" focussize="0,0"/>
                        <v:stroke on="f"/>
                        <v:imagedata o:title=""/>
                        <o:lock v:ext="edit" aspectratio="f"/>
                        <v:textbox>
                          <w:txbxContent>
                            <w:p>
                              <w:pPr>
                                <w:rPr>
                                  <w:szCs w:val="24"/>
                                </w:rPr>
                              </w:pPr>
                              <w:r>
                                <w:rPr>
                                  <w:rFonts w:hint="eastAsia"/>
                                  <w:szCs w:val="24"/>
                                </w:rPr>
                                <w:t>S1</w:t>
                              </w:r>
                            </w:p>
                          </w:txbxContent>
                        </v:textbox>
                      </v:shape>
                      <w10:wrap type="none"/>
                      <w10:anchorlock/>
                    </v:group>
                  </w:pict>
                </mc:Fallback>
              </mc:AlternateContent>
            </w:r>
          </w:p>
          <w:p>
            <w:pPr>
              <w:spacing w:before="163" w:beforeLines="50" w:after="163" w:afterLines="50"/>
              <w:jc w:val="center"/>
              <w:rPr>
                <w:b/>
              </w:rPr>
            </w:pPr>
            <w:r>
              <w:rPr>
                <w:rFonts w:hint="eastAsia"/>
                <w:b/>
              </w:rPr>
              <w:t>图2-1 炒芝麻、炒豆类（豌豆、青豆、玉米）等炒制类工艺流程图</w:t>
            </w:r>
          </w:p>
          <w:p>
            <w:pPr>
              <w:adjustRightInd w:val="0"/>
              <w:snapToGrid w:val="0"/>
              <w:spacing w:before="163" w:beforeLines="50" w:line="360" w:lineRule="auto"/>
              <w:rPr>
                <w:b/>
                <w:bCs/>
              </w:rPr>
            </w:pPr>
            <w:r>
              <w:rPr>
                <w:rFonts w:hint="eastAsia"/>
                <w:b/>
                <w:bCs/>
              </w:rPr>
              <w:t>2、工艺流程说明</w:t>
            </w:r>
          </w:p>
          <w:p>
            <w:pPr>
              <w:snapToGrid w:val="0"/>
              <w:spacing w:line="360" w:lineRule="auto"/>
              <w:ind w:firstLine="420"/>
            </w:pPr>
            <w:r>
              <w:rPr>
                <w:rFonts w:hint="eastAsia"/>
              </w:rPr>
              <w:t>油炸类工艺流程说明：原料经色选机、风选机筛选，去除瘪粒、石块等，色选机根据物料光学特性，利用光电探测技术将颗粒物中的异色颗粒自动分拣出来，该过程产生不合格品；然后清水浸泡、清洗，该过程产生清洗废水；然后经120-170℃低温油炸，该过程产生油炸废气，油炸废气经集气罩收集；油炸后脱油、冷却，进行异物检测，合格后经自动包装系统包装，进入成品仓库。</w:t>
            </w:r>
          </w:p>
          <w:p>
            <w:pPr>
              <w:snapToGrid w:val="0"/>
              <w:spacing w:line="360" w:lineRule="auto"/>
              <w:ind w:firstLine="420"/>
            </w:pPr>
            <w:r>
              <w:rPr>
                <w:rFonts w:hint="eastAsia"/>
              </w:rPr>
              <w:t>炒制类工艺流程说明：原料经色选机、风选机筛选，去除瘪粒、芝麻壳等小杂质，色选机根据物料光学特性，利用光电探测技术将颗粒物中的异色颗粒自动分拣出来，该过程产生不合格品；然后根据需要进行清水浸泡、清洗，该过程产生清洗废水，无需清洗的原料直接进行下一步炒制；然后经炒制，该过程产生炒制废气，炒制设备为密闭，炒制废气主要颗粒物，经废气管道收集；产品进行异物检测，合格后经自动包装系统包装，进入成品仓库。</w:t>
            </w:r>
          </w:p>
          <w:p>
            <w:pPr>
              <w:snapToGrid w:val="0"/>
              <w:spacing w:line="360" w:lineRule="auto"/>
              <w:ind w:firstLine="420"/>
            </w:pPr>
            <w:r>
              <w:rPr>
                <w:rFonts w:hint="eastAsia"/>
              </w:rPr>
              <w:t>炒制和油炸均采用低氮燃烧器，天然气为燃料，燃烧废气至楼顶排气筒排放。</w:t>
            </w:r>
          </w:p>
          <w:p>
            <w:pPr>
              <w:autoSpaceDE w:val="0"/>
              <w:autoSpaceDN w:val="0"/>
              <w:adjustRightInd w:val="0"/>
              <w:snapToGrid w:val="0"/>
              <w:spacing w:line="360" w:lineRule="auto"/>
              <w:rPr>
                <w:b/>
                <w:kern w:val="0"/>
              </w:rPr>
            </w:pPr>
            <w:r>
              <w:rPr>
                <w:rFonts w:hint="eastAsia"/>
                <w:b/>
                <w:kern w:val="0"/>
              </w:rPr>
              <w:t>3、产污工序分析</w:t>
            </w:r>
          </w:p>
          <w:p>
            <w:pPr>
              <w:pStyle w:val="17"/>
              <w:spacing w:beforeLines="0"/>
              <w:ind w:firstLine="0" w:firstLineChars="0"/>
              <w:jc w:val="center"/>
              <w:rPr>
                <w:b/>
                <w:bCs/>
                <w:sz w:val="21"/>
                <w:szCs w:val="21"/>
              </w:rPr>
            </w:pPr>
            <w:r>
              <w:rPr>
                <w:rFonts w:hint="eastAsia"/>
                <w:b/>
                <w:bCs/>
                <w:sz w:val="21"/>
                <w:szCs w:val="21"/>
              </w:rPr>
              <w:t>表2-5 项目污染物产生情况一览表</w:t>
            </w:r>
          </w:p>
          <w:tbl>
            <w:tblPr>
              <w:tblStyle w:val="19"/>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551"/>
              <w:gridCol w:w="851"/>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pPr>
                    <w:jc w:val="center"/>
                  </w:pPr>
                  <w:r>
                    <w:rPr>
                      <w:rFonts w:hint="eastAsia"/>
                    </w:rPr>
                    <w:t>类别</w:t>
                  </w:r>
                </w:p>
              </w:tc>
              <w:tc>
                <w:tcPr>
                  <w:tcW w:w="2551" w:type="dxa"/>
                  <w:vAlign w:val="center"/>
                </w:tcPr>
                <w:p>
                  <w:pPr>
                    <w:spacing w:line="300" w:lineRule="auto"/>
                    <w:jc w:val="center"/>
                  </w:pPr>
                  <w:r>
                    <w:rPr>
                      <w:rFonts w:hint="eastAsia"/>
                    </w:rPr>
                    <w:t>产生工序</w:t>
                  </w:r>
                </w:p>
              </w:tc>
              <w:tc>
                <w:tcPr>
                  <w:tcW w:w="851" w:type="dxa"/>
                  <w:vAlign w:val="center"/>
                </w:tcPr>
                <w:p>
                  <w:pPr>
                    <w:spacing w:line="300" w:lineRule="auto"/>
                    <w:jc w:val="center"/>
                  </w:pPr>
                  <w:r>
                    <w:rPr>
                      <w:rFonts w:hint="eastAsia"/>
                    </w:rPr>
                    <w:t>编号</w:t>
                  </w:r>
                </w:p>
              </w:tc>
              <w:tc>
                <w:tcPr>
                  <w:tcW w:w="3762" w:type="dxa"/>
                  <w:vAlign w:val="center"/>
                </w:tcPr>
                <w:p>
                  <w:pPr>
                    <w:spacing w:line="300" w:lineRule="auto"/>
                    <w:jc w:val="center"/>
                  </w:pPr>
                  <w:r>
                    <w:rPr>
                      <w:rFonts w:hint="eastAsia"/>
                    </w:rPr>
                    <w:t>主要污染物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restart"/>
                  <w:vAlign w:val="center"/>
                </w:tcPr>
                <w:p>
                  <w:pPr>
                    <w:jc w:val="center"/>
                  </w:pPr>
                  <w:r>
                    <w:rPr>
                      <w:rFonts w:hint="eastAsia"/>
                    </w:rPr>
                    <w:t>废气</w:t>
                  </w:r>
                </w:p>
              </w:tc>
              <w:tc>
                <w:tcPr>
                  <w:tcW w:w="2551" w:type="dxa"/>
                  <w:vAlign w:val="center"/>
                </w:tcPr>
                <w:p>
                  <w:pPr>
                    <w:spacing w:line="300" w:lineRule="auto"/>
                    <w:jc w:val="center"/>
                  </w:pPr>
                  <w:r>
                    <w:rPr>
                      <w:rFonts w:hint="eastAsia"/>
                    </w:rPr>
                    <w:t>油炸、炒制废气</w:t>
                  </w:r>
                </w:p>
              </w:tc>
              <w:tc>
                <w:tcPr>
                  <w:tcW w:w="851" w:type="dxa"/>
                  <w:vAlign w:val="center"/>
                </w:tcPr>
                <w:p>
                  <w:pPr>
                    <w:spacing w:line="300" w:lineRule="auto"/>
                    <w:jc w:val="center"/>
                  </w:pPr>
                  <w:r>
                    <w:rPr>
                      <w:rFonts w:hint="eastAsia"/>
                    </w:rPr>
                    <w:t>G1</w:t>
                  </w:r>
                </w:p>
              </w:tc>
              <w:tc>
                <w:tcPr>
                  <w:tcW w:w="3762" w:type="dxa"/>
                  <w:vAlign w:val="center"/>
                </w:tcPr>
                <w:p>
                  <w:pPr>
                    <w:spacing w:line="300" w:lineRule="auto"/>
                    <w:jc w:val="center"/>
                  </w:pPr>
                  <w:r>
                    <w:rPr>
                      <w:rFonts w:hint="eastAsia"/>
                    </w:rPr>
                    <w:t>油烟、颗粒物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pPr>
                    <w:jc w:val="center"/>
                  </w:pPr>
                </w:p>
              </w:tc>
              <w:tc>
                <w:tcPr>
                  <w:tcW w:w="2551" w:type="dxa"/>
                  <w:vAlign w:val="center"/>
                </w:tcPr>
                <w:p>
                  <w:pPr>
                    <w:spacing w:line="300" w:lineRule="auto"/>
                    <w:jc w:val="center"/>
                  </w:pPr>
                  <w:r>
                    <w:rPr>
                      <w:rFonts w:hint="eastAsia"/>
                    </w:rPr>
                    <w:t>燃烧废气</w:t>
                  </w:r>
                </w:p>
              </w:tc>
              <w:tc>
                <w:tcPr>
                  <w:tcW w:w="851" w:type="dxa"/>
                  <w:vAlign w:val="center"/>
                </w:tcPr>
                <w:p>
                  <w:pPr>
                    <w:spacing w:line="300" w:lineRule="auto"/>
                    <w:jc w:val="center"/>
                  </w:pPr>
                  <w:r>
                    <w:rPr>
                      <w:rFonts w:hint="eastAsia"/>
                    </w:rPr>
                    <w:t>G2</w:t>
                  </w:r>
                </w:p>
              </w:tc>
              <w:tc>
                <w:tcPr>
                  <w:tcW w:w="3762" w:type="dxa"/>
                  <w:vAlign w:val="center"/>
                </w:tcPr>
                <w:p>
                  <w:pPr>
                    <w:spacing w:line="300" w:lineRule="auto"/>
                    <w:jc w:val="center"/>
                  </w:pPr>
                  <w:r>
                    <w:rPr>
                      <w:rFonts w:hint="eastAsia"/>
                    </w:rPr>
                    <w:t>颗粒物、SO</w:t>
                  </w:r>
                  <w:r>
                    <w:rPr>
                      <w:rFonts w:hint="eastAsia"/>
                      <w:vertAlign w:val="subscript"/>
                    </w:rPr>
                    <w:t>2</w:t>
                  </w:r>
                  <w:r>
                    <w:rPr>
                      <w:rFonts w:hint="eastAsia"/>
                    </w:rPr>
                    <w:t>、NO</w:t>
                  </w:r>
                  <w:r>
                    <w:rPr>
                      <w:rFonts w:hint="eastAsia"/>
                      <w:vertAlign w:val="subscript"/>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restart"/>
                  <w:vAlign w:val="center"/>
                </w:tcPr>
                <w:p>
                  <w:pPr>
                    <w:jc w:val="center"/>
                  </w:pPr>
                  <w:r>
                    <w:rPr>
                      <w:rFonts w:hint="eastAsia"/>
                    </w:rPr>
                    <w:t>废水</w:t>
                  </w:r>
                </w:p>
              </w:tc>
              <w:tc>
                <w:tcPr>
                  <w:tcW w:w="2551" w:type="dxa"/>
                  <w:vAlign w:val="center"/>
                </w:tcPr>
                <w:p>
                  <w:pPr>
                    <w:spacing w:line="300" w:lineRule="auto"/>
                    <w:jc w:val="center"/>
                  </w:pPr>
                  <w:r>
                    <w:rPr>
                      <w:rFonts w:hint="eastAsia"/>
                    </w:rPr>
                    <w:t>原料清洗废水</w:t>
                  </w:r>
                </w:p>
              </w:tc>
              <w:tc>
                <w:tcPr>
                  <w:tcW w:w="851" w:type="dxa"/>
                  <w:vAlign w:val="center"/>
                </w:tcPr>
                <w:p>
                  <w:pPr>
                    <w:spacing w:line="300" w:lineRule="auto"/>
                    <w:jc w:val="center"/>
                  </w:pPr>
                  <w:r>
                    <w:rPr>
                      <w:rFonts w:hint="eastAsia"/>
                    </w:rPr>
                    <w:t>W1</w:t>
                  </w:r>
                </w:p>
              </w:tc>
              <w:tc>
                <w:tcPr>
                  <w:tcW w:w="3762" w:type="dxa"/>
                  <w:vAlign w:val="center"/>
                </w:tcPr>
                <w:p>
                  <w:pPr>
                    <w:spacing w:line="300" w:lineRule="auto"/>
                    <w:jc w:val="center"/>
                  </w:pPr>
                  <w:r>
                    <w:t>COD</w:t>
                  </w:r>
                  <w:r>
                    <w:rPr>
                      <w:vertAlign w:val="subscript"/>
                    </w:rPr>
                    <w:t>Cr</w:t>
                  </w:r>
                  <w:r>
                    <w:t xml:space="preserv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pPr>
                    <w:jc w:val="center"/>
                  </w:pPr>
                </w:p>
              </w:tc>
              <w:tc>
                <w:tcPr>
                  <w:tcW w:w="2551" w:type="dxa"/>
                  <w:vAlign w:val="center"/>
                </w:tcPr>
                <w:p>
                  <w:pPr>
                    <w:spacing w:line="300" w:lineRule="auto"/>
                    <w:jc w:val="center"/>
                  </w:pPr>
                  <w:r>
                    <w:rPr>
                      <w:rFonts w:hint="eastAsia"/>
                    </w:rPr>
                    <w:t>生活污水</w:t>
                  </w:r>
                </w:p>
              </w:tc>
              <w:tc>
                <w:tcPr>
                  <w:tcW w:w="851" w:type="dxa"/>
                  <w:vAlign w:val="center"/>
                </w:tcPr>
                <w:p>
                  <w:pPr>
                    <w:spacing w:line="300" w:lineRule="auto"/>
                    <w:jc w:val="center"/>
                  </w:pPr>
                  <w:r>
                    <w:rPr>
                      <w:rFonts w:hint="eastAsia"/>
                    </w:rPr>
                    <w:t>W2</w:t>
                  </w:r>
                </w:p>
              </w:tc>
              <w:tc>
                <w:tcPr>
                  <w:tcW w:w="3762" w:type="dxa"/>
                  <w:vAlign w:val="center"/>
                </w:tcPr>
                <w:p>
                  <w:pPr>
                    <w:spacing w:line="300" w:lineRule="auto"/>
                    <w:jc w:val="center"/>
                  </w:pPr>
                  <w:r>
                    <w:t>COD</w:t>
                  </w:r>
                  <w:r>
                    <w:rPr>
                      <w:vertAlign w:val="subscript"/>
                    </w:rPr>
                    <w:t>Cr</w:t>
                  </w:r>
                  <w:r>
                    <w:t>、BOD</w:t>
                  </w:r>
                  <w:r>
                    <w:rPr>
                      <w:vertAlign w:val="subscript"/>
                    </w:rPr>
                    <w:t>5</w:t>
                  </w:r>
                  <w:r>
                    <w:t>、SS、NH</w:t>
                  </w:r>
                  <w:r>
                    <w:rPr>
                      <w:vertAlign w:val="subscript"/>
                    </w:rPr>
                    <w:t>3</w:t>
                  </w:r>
                  <w:r>
                    <w:t>-N、动植物油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restart"/>
                  <w:vAlign w:val="center"/>
                </w:tcPr>
                <w:p>
                  <w:pPr>
                    <w:jc w:val="center"/>
                  </w:pPr>
                  <w:r>
                    <w:rPr>
                      <w:rFonts w:hint="eastAsia"/>
                    </w:rPr>
                    <w:t>固废</w:t>
                  </w:r>
                </w:p>
              </w:tc>
              <w:tc>
                <w:tcPr>
                  <w:tcW w:w="2551" w:type="dxa"/>
                  <w:vAlign w:val="center"/>
                </w:tcPr>
                <w:p>
                  <w:pPr>
                    <w:spacing w:line="300" w:lineRule="auto"/>
                    <w:jc w:val="center"/>
                  </w:pPr>
                  <w:r>
                    <w:rPr>
                      <w:rFonts w:hint="eastAsia"/>
                    </w:rPr>
                    <w:t>色选、分选、检验</w:t>
                  </w:r>
                </w:p>
              </w:tc>
              <w:tc>
                <w:tcPr>
                  <w:tcW w:w="851" w:type="dxa"/>
                  <w:vAlign w:val="center"/>
                </w:tcPr>
                <w:p>
                  <w:pPr>
                    <w:spacing w:line="300" w:lineRule="auto"/>
                    <w:jc w:val="center"/>
                  </w:pPr>
                  <w:r>
                    <w:rPr>
                      <w:rFonts w:hint="eastAsia"/>
                    </w:rPr>
                    <w:t>S1</w:t>
                  </w:r>
                </w:p>
              </w:tc>
              <w:tc>
                <w:tcPr>
                  <w:tcW w:w="3762" w:type="dxa"/>
                  <w:vAlign w:val="center"/>
                </w:tcPr>
                <w:p>
                  <w:pPr>
                    <w:spacing w:line="300" w:lineRule="auto"/>
                    <w:jc w:val="center"/>
                  </w:pPr>
                  <w:r>
                    <w:rPr>
                      <w:rFonts w:hint="eastAsia"/>
                    </w:rPr>
                    <w:t>不合格品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pPr>
                    <w:jc w:val="center"/>
                  </w:pPr>
                </w:p>
              </w:tc>
              <w:tc>
                <w:tcPr>
                  <w:tcW w:w="2551" w:type="dxa"/>
                  <w:vAlign w:val="center"/>
                </w:tcPr>
                <w:p>
                  <w:pPr>
                    <w:spacing w:line="300" w:lineRule="auto"/>
                    <w:jc w:val="center"/>
                  </w:pPr>
                  <w:r>
                    <w:rPr>
                      <w:rFonts w:hint="eastAsia"/>
                    </w:rPr>
                    <w:t>原料脱皮</w:t>
                  </w:r>
                </w:p>
              </w:tc>
              <w:tc>
                <w:tcPr>
                  <w:tcW w:w="851" w:type="dxa"/>
                  <w:vAlign w:val="center"/>
                </w:tcPr>
                <w:p>
                  <w:pPr>
                    <w:spacing w:line="300" w:lineRule="auto"/>
                    <w:jc w:val="center"/>
                  </w:pPr>
                  <w:r>
                    <w:rPr>
                      <w:rFonts w:hint="eastAsia"/>
                    </w:rPr>
                    <w:t>S2</w:t>
                  </w:r>
                </w:p>
              </w:tc>
              <w:tc>
                <w:tcPr>
                  <w:tcW w:w="3762" w:type="dxa"/>
                  <w:vAlign w:val="center"/>
                </w:tcPr>
                <w:p>
                  <w:pPr>
                    <w:spacing w:line="300" w:lineRule="auto"/>
                    <w:jc w:val="center"/>
                  </w:pPr>
                  <w:r>
                    <w:rPr>
                      <w:rFonts w:hint="eastAsia"/>
                    </w:rPr>
                    <w:t>废果壳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pPr>
                    <w:jc w:val="center"/>
                  </w:pPr>
                </w:p>
              </w:tc>
              <w:tc>
                <w:tcPr>
                  <w:tcW w:w="2551" w:type="dxa"/>
                  <w:vAlign w:val="center"/>
                </w:tcPr>
                <w:p>
                  <w:pPr>
                    <w:spacing w:line="300" w:lineRule="auto"/>
                    <w:jc w:val="center"/>
                  </w:pPr>
                  <w:r>
                    <w:rPr>
                      <w:rFonts w:hint="eastAsia"/>
                    </w:rPr>
                    <w:t>原料使用</w:t>
                  </w:r>
                </w:p>
              </w:tc>
              <w:tc>
                <w:tcPr>
                  <w:tcW w:w="851" w:type="dxa"/>
                  <w:vAlign w:val="center"/>
                </w:tcPr>
                <w:p>
                  <w:pPr>
                    <w:spacing w:line="300" w:lineRule="auto"/>
                    <w:jc w:val="center"/>
                  </w:pPr>
                  <w:r>
                    <w:rPr>
                      <w:rFonts w:hint="eastAsia"/>
                    </w:rPr>
                    <w:t>S3</w:t>
                  </w:r>
                </w:p>
              </w:tc>
              <w:tc>
                <w:tcPr>
                  <w:tcW w:w="3762" w:type="dxa"/>
                  <w:vAlign w:val="center"/>
                </w:tcPr>
                <w:p>
                  <w:pPr>
                    <w:spacing w:line="300" w:lineRule="auto"/>
                    <w:jc w:val="center"/>
                  </w:pPr>
                  <w:r>
                    <w:rPr>
                      <w:rFonts w:hint="eastAsia"/>
                    </w:rPr>
                    <w:t>废包装袋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pPr>
                    <w:jc w:val="center"/>
                  </w:pPr>
                </w:p>
              </w:tc>
              <w:tc>
                <w:tcPr>
                  <w:tcW w:w="2551" w:type="dxa"/>
                  <w:vAlign w:val="center"/>
                </w:tcPr>
                <w:p>
                  <w:pPr>
                    <w:spacing w:line="300" w:lineRule="auto"/>
                    <w:jc w:val="center"/>
                  </w:pPr>
                  <w:r>
                    <w:rPr>
                      <w:rFonts w:hint="eastAsia"/>
                    </w:rPr>
                    <w:t>职工生活</w:t>
                  </w:r>
                </w:p>
              </w:tc>
              <w:tc>
                <w:tcPr>
                  <w:tcW w:w="851" w:type="dxa"/>
                  <w:vAlign w:val="center"/>
                </w:tcPr>
                <w:p>
                  <w:pPr>
                    <w:spacing w:line="300" w:lineRule="auto"/>
                    <w:jc w:val="center"/>
                  </w:pPr>
                  <w:r>
                    <w:rPr>
                      <w:rFonts w:hint="eastAsia"/>
                    </w:rPr>
                    <w:t>S4</w:t>
                  </w:r>
                </w:p>
              </w:tc>
              <w:tc>
                <w:tcPr>
                  <w:tcW w:w="3762" w:type="dxa"/>
                  <w:vAlign w:val="center"/>
                </w:tcPr>
                <w:p>
                  <w:pPr>
                    <w:spacing w:line="300" w:lineRule="auto"/>
                    <w:jc w:val="center"/>
                  </w:pPr>
                  <w:r>
                    <w:rPr>
                      <w:rFonts w:hint="eastAsia"/>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pPr>
                    <w:jc w:val="center"/>
                  </w:pPr>
                  <w:r>
                    <w:rPr>
                      <w:rFonts w:hint="eastAsia"/>
                    </w:rPr>
                    <w:t>噪声</w:t>
                  </w:r>
                </w:p>
              </w:tc>
              <w:tc>
                <w:tcPr>
                  <w:tcW w:w="2551" w:type="dxa"/>
                  <w:vAlign w:val="center"/>
                </w:tcPr>
                <w:p>
                  <w:pPr>
                    <w:spacing w:line="300" w:lineRule="auto"/>
                    <w:jc w:val="center"/>
                  </w:pPr>
                  <w:r>
                    <w:rPr>
                      <w:rFonts w:hint="eastAsia"/>
                    </w:rPr>
                    <w:t>设备运行</w:t>
                  </w:r>
                </w:p>
              </w:tc>
              <w:tc>
                <w:tcPr>
                  <w:tcW w:w="851" w:type="dxa"/>
                  <w:vAlign w:val="center"/>
                </w:tcPr>
                <w:p>
                  <w:pPr>
                    <w:spacing w:line="300" w:lineRule="auto"/>
                    <w:jc w:val="center"/>
                  </w:pPr>
                  <w:r>
                    <w:rPr>
                      <w:rFonts w:hint="eastAsia"/>
                    </w:rPr>
                    <w:t>N</w:t>
                  </w:r>
                </w:p>
              </w:tc>
              <w:tc>
                <w:tcPr>
                  <w:tcW w:w="3762" w:type="dxa"/>
                  <w:vAlign w:val="center"/>
                </w:tcPr>
                <w:p>
                  <w:pPr>
                    <w:spacing w:line="300" w:lineRule="auto"/>
                    <w:jc w:val="center"/>
                  </w:pPr>
                  <w:r>
                    <w:rPr>
                      <w:rFonts w:hint="eastAsia"/>
                    </w:rPr>
                    <w:t>机械噪声</w:t>
                  </w:r>
                </w:p>
              </w:tc>
            </w:tr>
          </w:tbl>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809" w:type="dxa"/>
            <w:vAlign w:val="center"/>
          </w:tcPr>
          <w:p>
            <w:pPr>
              <w:spacing w:line="360" w:lineRule="auto"/>
              <w:jc w:val="center"/>
              <w:rPr>
                <w:rFonts w:cs="宋体"/>
                <w:bCs/>
              </w:rPr>
            </w:pPr>
            <w:r>
              <w:rPr>
                <w:rFonts w:hint="eastAsia" w:cs="宋体"/>
                <w:bCs/>
              </w:rPr>
              <w:t>与项</w:t>
            </w:r>
          </w:p>
          <w:p>
            <w:pPr>
              <w:spacing w:line="360" w:lineRule="auto"/>
              <w:jc w:val="center"/>
              <w:rPr>
                <w:rFonts w:cs="宋体"/>
                <w:bCs/>
              </w:rPr>
            </w:pPr>
            <w:r>
              <w:rPr>
                <w:rFonts w:hint="eastAsia" w:cs="宋体"/>
                <w:bCs/>
              </w:rPr>
              <w:t>目有</w:t>
            </w:r>
          </w:p>
          <w:p>
            <w:pPr>
              <w:spacing w:line="360" w:lineRule="auto"/>
              <w:jc w:val="center"/>
              <w:rPr>
                <w:rFonts w:cs="宋体"/>
                <w:bCs/>
              </w:rPr>
            </w:pPr>
            <w:r>
              <w:rPr>
                <w:rFonts w:hint="eastAsia" w:cs="宋体"/>
                <w:bCs/>
              </w:rPr>
              <w:t>关的</w:t>
            </w:r>
          </w:p>
          <w:p>
            <w:pPr>
              <w:spacing w:line="360" w:lineRule="auto"/>
              <w:jc w:val="center"/>
              <w:rPr>
                <w:rFonts w:cs="宋体"/>
                <w:bCs/>
              </w:rPr>
            </w:pPr>
            <w:r>
              <w:rPr>
                <w:rFonts w:hint="eastAsia" w:cs="宋体"/>
                <w:bCs/>
              </w:rPr>
              <w:t>原有</w:t>
            </w:r>
          </w:p>
          <w:p>
            <w:pPr>
              <w:spacing w:line="360" w:lineRule="auto"/>
              <w:jc w:val="center"/>
              <w:rPr>
                <w:rFonts w:cs="宋体"/>
                <w:bCs/>
              </w:rPr>
            </w:pPr>
            <w:r>
              <w:rPr>
                <w:rFonts w:hint="eastAsia" w:cs="宋体"/>
                <w:bCs/>
              </w:rPr>
              <w:t>环境</w:t>
            </w:r>
          </w:p>
          <w:p>
            <w:pPr>
              <w:spacing w:line="360" w:lineRule="auto"/>
              <w:jc w:val="center"/>
              <w:rPr>
                <w:rFonts w:cs="宋体"/>
                <w:bCs/>
              </w:rPr>
            </w:pPr>
            <w:r>
              <w:rPr>
                <w:rFonts w:hint="eastAsia" w:cs="宋体"/>
                <w:bCs/>
              </w:rPr>
              <w:t>污染</w:t>
            </w:r>
          </w:p>
          <w:p>
            <w:pPr>
              <w:spacing w:line="360" w:lineRule="auto"/>
              <w:jc w:val="center"/>
              <w:rPr>
                <w:color w:val="FF0000"/>
              </w:rPr>
            </w:pPr>
            <w:r>
              <w:rPr>
                <w:rFonts w:hint="eastAsia" w:cs="宋体"/>
                <w:bCs/>
              </w:rPr>
              <w:t>问题</w:t>
            </w:r>
          </w:p>
        </w:tc>
        <w:tc>
          <w:tcPr>
            <w:tcW w:w="8137" w:type="dxa"/>
          </w:tcPr>
          <w:p>
            <w:pPr>
              <w:adjustRightInd w:val="0"/>
              <w:snapToGrid w:val="0"/>
              <w:spacing w:before="163" w:beforeLines="50" w:line="360" w:lineRule="auto"/>
              <w:ind w:firstLine="420"/>
              <w:rPr>
                <w:u w:val="single"/>
              </w:rPr>
            </w:pPr>
            <w:r>
              <w:rPr>
                <w:rFonts w:hint="eastAsia"/>
              </w:rPr>
              <w:t>本项目为新建项目，选址于湖南省常德市经开区长安路以西、尚德路以南，用地性质为二类工业用地。根据现场勘查，场地为空置，因此本项目无遗留环境问题。</w:t>
            </w:r>
          </w:p>
        </w:tc>
      </w:tr>
    </w:tbl>
    <w:p>
      <w:pPr>
        <w:jc w:val="center"/>
        <w:rPr>
          <w:color w:val="FF0000"/>
        </w:rPr>
        <w:sectPr>
          <w:pgSz w:w="11906" w:h="16838"/>
          <w:pgMar w:top="1418" w:right="1588" w:bottom="1418" w:left="1588" w:header="851" w:footer="992" w:gutter="0"/>
          <w:pgNumType w:fmt="numberInDash"/>
          <w:cols w:space="425" w:num="1"/>
          <w:docGrid w:type="lines" w:linePitch="326" w:charSpace="0"/>
        </w:sectPr>
      </w:pPr>
    </w:p>
    <w:p>
      <w:pPr>
        <w:pStyle w:val="3"/>
        <w:jc w:val="center"/>
        <w:rPr>
          <w:rFonts w:ascii="黑体" w:hAnsi="黑体" w:eastAsia="黑体"/>
          <w:b w:val="0"/>
          <w:bCs w:val="0"/>
          <w:sz w:val="30"/>
          <w:szCs w:val="30"/>
        </w:rPr>
      </w:pPr>
      <w:bookmarkStart w:id="2" w:name="_Toc100330844"/>
      <w:r>
        <w:rPr>
          <w:rFonts w:hint="eastAsia" w:ascii="黑体" w:hAnsi="黑体" w:eastAsia="黑体"/>
          <w:b w:val="0"/>
          <w:bCs w:val="0"/>
          <w:sz w:val="30"/>
          <w:szCs w:val="30"/>
        </w:rPr>
        <w:t>三、区域环境质量现状、环境保护目标及评价标准</w:t>
      </w:r>
      <w:bookmarkEnd w:id="2"/>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rPr>
            </w:pPr>
            <w:r>
              <w:rPr>
                <w:rFonts w:hint="eastAsia" w:ascii="宋体" w:hAnsi="宋体" w:cs="宋体"/>
              </w:rPr>
              <w:t>区域</w:t>
            </w:r>
          </w:p>
          <w:p>
            <w:pPr>
              <w:spacing w:line="360" w:lineRule="auto"/>
              <w:jc w:val="center"/>
              <w:rPr>
                <w:rFonts w:ascii="宋体" w:hAnsi="宋体" w:cs="宋体"/>
              </w:rPr>
            </w:pPr>
            <w:r>
              <w:rPr>
                <w:rFonts w:hint="eastAsia" w:ascii="宋体" w:hAnsi="宋体" w:cs="宋体"/>
              </w:rPr>
              <w:t>环境</w:t>
            </w:r>
          </w:p>
          <w:p>
            <w:pPr>
              <w:spacing w:line="360" w:lineRule="auto"/>
              <w:jc w:val="center"/>
              <w:rPr>
                <w:rFonts w:ascii="宋体" w:hAnsi="宋体" w:cs="宋体"/>
              </w:rPr>
            </w:pPr>
            <w:r>
              <w:rPr>
                <w:rFonts w:hint="eastAsia" w:ascii="宋体" w:hAnsi="宋体" w:cs="宋体"/>
              </w:rPr>
              <w:t>质量</w:t>
            </w:r>
          </w:p>
          <w:p>
            <w:pPr>
              <w:spacing w:line="360" w:lineRule="auto"/>
              <w:jc w:val="center"/>
              <w:rPr>
                <w:color w:val="FF0000"/>
              </w:rPr>
            </w:pPr>
            <w:r>
              <w:rPr>
                <w:rFonts w:hint="eastAsia" w:ascii="宋体" w:hAnsi="宋体" w:cs="宋体"/>
              </w:rPr>
              <w:t>现状</w:t>
            </w:r>
          </w:p>
        </w:tc>
        <w:tc>
          <w:tcPr>
            <w:tcW w:w="8243" w:type="dxa"/>
          </w:tcPr>
          <w:p>
            <w:pPr>
              <w:autoSpaceDE w:val="0"/>
              <w:autoSpaceDN w:val="0"/>
              <w:adjustRightInd w:val="0"/>
              <w:snapToGrid w:val="0"/>
              <w:spacing w:line="360" w:lineRule="auto"/>
              <w:rPr>
                <w:b/>
                <w:kern w:val="0"/>
              </w:rPr>
            </w:pPr>
            <w:r>
              <w:rPr>
                <w:rFonts w:hint="eastAsia"/>
                <w:b/>
                <w:kern w:val="0"/>
              </w:rPr>
              <w:t>1、大气环境</w:t>
            </w:r>
          </w:p>
          <w:p>
            <w:pPr>
              <w:snapToGrid w:val="0"/>
              <w:spacing w:line="360" w:lineRule="auto"/>
              <w:ind w:firstLine="420"/>
            </w:pPr>
            <w:r>
              <w:rPr>
                <w:rFonts w:hint="eastAsia"/>
              </w:rPr>
              <w:t>（1）空气质量达标区判定</w:t>
            </w:r>
          </w:p>
          <w:p>
            <w:pPr>
              <w:spacing w:line="360" w:lineRule="auto"/>
              <w:ind w:firstLine="480"/>
            </w:pPr>
            <w:r>
              <w:rPr>
                <w:rFonts w:hint="eastAsia"/>
              </w:rPr>
              <w:t>根据《环境影响评价技术导则大气环境》（</w:t>
            </w:r>
            <w:r>
              <w:t>HJ2.2-2018</w:t>
            </w:r>
            <w:r>
              <w:rPr>
                <w:rFonts w:hint="eastAsia"/>
              </w:rPr>
              <w:t>）中</w:t>
            </w:r>
            <w:r>
              <w:t>“6.2.1</w:t>
            </w:r>
            <w:r>
              <w:rPr>
                <w:rFonts w:hint="eastAsia"/>
              </w:rPr>
              <w:t>项目所在区域达标判定，优先采用国家或生态环境主管部门公开发布的评价基准年环境质量公告或环境质量报告书中的数据或结论。</w:t>
            </w:r>
            <w:r>
              <w:t>”</w:t>
            </w:r>
            <w:r>
              <w:rPr>
                <w:rFonts w:hint="eastAsia"/>
              </w:rPr>
              <w:t>本次环评引用《常德市生态环境局关于</w:t>
            </w:r>
            <w:r>
              <w:t>2021</w:t>
            </w:r>
            <w:r>
              <w:rPr>
                <w:rFonts w:hint="eastAsia"/>
              </w:rPr>
              <w:t>年</w:t>
            </w:r>
            <w:r>
              <w:t>12</w:t>
            </w:r>
            <w:r>
              <w:rPr>
                <w:rFonts w:hint="eastAsia"/>
              </w:rPr>
              <w:t>月及全年全市环境质量状况的通报》中有关监测内容对常德经济技术开发区</w:t>
            </w:r>
            <w:r>
              <w:t>2021</w:t>
            </w:r>
            <w:r>
              <w:rPr>
                <w:rFonts w:hint="eastAsia"/>
              </w:rPr>
              <w:t>年环境空气进行达标区判断。</w:t>
            </w:r>
          </w:p>
          <w:p>
            <w:pPr>
              <w:spacing w:line="360" w:lineRule="auto"/>
              <w:ind w:firstLine="480"/>
            </w:pPr>
            <w:r>
              <w:rPr>
                <w:rFonts w:hint="eastAsia"/>
              </w:rPr>
              <w:t>常德经济技术开发区环境空气监测数据及达标情况，如下表所示：</w:t>
            </w:r>
          </w:p>
          <w:p>
            <w:pPr>
              <w:spacing w:line="360" w:lineRule="auto"/>
              <w:jc w:val="center"/>
              <w:rPr>
                <w:b/>
              </w:rPr>
            </w:pPr>
            <w:r>
              <w:rPr>
                <w:rFonts w:hint="eastAsia" w:hAnsi="宋体"/>
                <w:b/>
              </w:rPr>
              <w:t>表</w:t>
            </w:r>
            <w:r>
              <w:rPr>
                <w:b/>
              </w:rPr>
              <w:t xml:space="preserve">3-1    </w:t>
            </w:r>
            <w:r>
              <w:rPr>
                <w:rFonts w:hint="eastAsia" w:hAnsi="宋体"/>
                <w:b/>
              </w:rPr>
              <w:t>区域环境空气质量现状监测及评价结果单位：</w:t>
            </w:r>
            <w:r>
              <w:rPr>
                <w:b/>
              </w:rPr>
              <w:t>μg/m³</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1389"/>
              <w:gridCol w:w="1453"/>
              <w:gridCol w:w="1475"/>
              <w:gridCol w:w="124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pct"/>
                  <w:vMerge w:val="restart"/>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评价因子</w:t>
                  </w:r>
                </w:p>
              </w:tc>
              <w:tc>
                <w:tcPr>
                  <w:tcW w:w="866" w:type="pct"/>
                  <w:vMerge w:val="restart"/>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年评价指标</w:t>
                  </w:r>
                </w:p>
              </w:tc>
              <w:tc>
                <w:tcPr>
                  <w:tcW w:w="906" w:type="pct"/>
                  <w:vMerge w:val="restart"/>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评价标准</w:t>
                  </w:r>
                  <w:r>
                    <w:rPr>
                      <w:b/>
                      <w:bCs/>
                    </w:rPr>
                    <w:t>(ug/m</w:t>
                  </w:r>
                  <w:r>
                    <w:rPr>
                      <w:b/>
                      <w:bCs/>
                      <w:vertAlign w:val="superscript"/>
                    </w:rPr>
                    <w:t>3</w:t>
                  </w:r>
                  <w:r>
                    <w:rPr>
                      <w:b/>
                      <w:bCs/>
                    </w:rPr>
                    <w:t>)</w:t>
                  </w:r>
                </w:p>
              </w:tc>
              <w:tc>
                <w:tcPr>
                  <w:tcW w:w="920" w:type="pct"/>
                  <w:vMerge w:val="restart"/>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现状浓度</w:t>
                  </w:r>
                  <w:r>
                    <w:rPr>
                      <w:b/>
                      <w:bCs/>
                    </w:rPr>
                    <w:t>(ug/m</w:t>
                  </w:r>
                  <w:r>
                    <w:rPr>
                      <w:b/>
                      <w:bCs/>
                      <w:vertAlign w:val="superscript"/>
                    </w:rPr>
                    <w:t>3</w:t>
                  </w:r>
                  <w:r>
                    <w:rPr>
                      <w:b/>
                      <w:bCs/>
                    </w:rPr>
                    <w:t>)</w:t>
                  </w:r>
                </w:p>
              </w:tc>
              <w:tc>
                <w:tcPr>
                  <w:tcW w:w="778" w:type="pct"/>
                  <w:vMerge w:val="restart"/>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占标率</w:t>
                  </w:r>
                  <w:r>
                    <w:rPr>
                      <w:b/>
                      <w:bCs/>
                    </w:rPr>
                    <w:t>(%)</w:t>
                  </w:r>
                </w:p>
              </w:tc>
              <w:tc>
                <w:tcPr>
                  <w:tcW w:w="822" w:type="pct"/>
                  <w:vMerge w:val="restart"/>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pct"/>
                  <w:tcBorders>
                    <w:top w:val="single" w:color="auto" w:sz="4" w:space="0"/>
                    <w:left w:val="single" w:color="auto" w:sz="4" w:space="0"/>
                    <w:bottom w:val="single" w:color="auto" w:sz="4" w:space="0"/>
                    <w:right w:val="single" w:color="auto" w:sz="4" w:space="0"/>
                  </w:tcBorders>
                  <w:vAlign w:val="center"/>
                </w:tcPr>
                <w:p>
                  <w:pPr>
                    <w:jc w:val="center"/>
                  </w:pPr>
                  <w:r>
                    <w:t>SO</w:t>
                  </w:r>
                  <w:r>
                    <w:rPr>
                      <w:vertAlign w:val="subscript"/>
                    </w:rPr>
                    <w:t>2</w:t>
                  </w:r>
                </w:p>
              </w:tc>
              <w:tc>
                <w:tcPr>
                  <w:tcW w:w="86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年均值</w:t>
                  </w:r>
                </w:p>
              </w:tc>
              <w:tc>
                <w:tcPr>
                  <w:tcW w:w="906" w:type="pct"/>
                  <w:tcBorders>
                    <w:top w:val="single" w:color="auto" w:sz="4" w:space="0"/>
                    <w:left w:val="single" w:color="auto" w:sz="4" w:space="0"/>
                    <w:bottom w:val="single" w:color="auto" w:sz="4" w:space="0"/>
                    <w:right w:val="single" w:color="auto" w:sz="4" w:space="0"/>
                  </w:tcBorders>
                  <w:vAlign w:val="center"/>
                </w:tcPr>
                <w:p>
                  <w:pPr>
                    <w:jc w:val="center"/>
                  </w:pPr>
                  <w:r>
                    <w:t>60</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rPr>
                  </w:pPr>
                </w:p>
              </w:tc>
              <w:tc>
                <w:tcPr>
                  <w:tcW w:w="77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rPr>
                  </w:pPr>
                  <w:r>
                    <w:rPr>
                      <w:rFonts w:eastAsiaTheme="minorEastAsia"/>
                    </w:rPr>
                    <w:t>15</w:t>
                  </w:r>
                </w:p>
              </w:tc>
              <w:tc>
                <w:tcPr>
                  <w:tcW w:w="82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pct"/>
                  <w:tcBorders>
                    <w:top w:val="single" w:color="auto" w:sz="4" w:space="0"/>
                    <w:left w:val="single" w:color="auto" w:sz="4" w:space="0"/>
                    <w:bottom w:val="single" w:color="auto" w:sz="4" w:space="0"/>
                    <w:right w:val="single" w:color="auto" w:sz="4" w:space="0"/>
                  </w:tcBorders>
                  <w:vAlign w:val="center"/>
                </w:tcPr>
                <w:p>
                  <w:pPr>
                    <w:jc w:val="center"/>
                  </w:pPr>
                  <w:r>
                    <w:t>NO</w:t>
                  </w:r>
                  <w:r>
                    <w:rPr>
                      <w:vertAlign w:val="subscript"/>
                    </w:rPr>
                    <w:t>2</w:t>
                  </w:r>
                </w:p>
              </w:tc>
              <w:tc>
                <w:tcPr>
                  <w:tcW w:w="86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年均值</w:t>
                  </w:r>
                </w:p>
              </w:tc>
              <w:tc>
                <w:tcPr>
                  <w:tcW w:w="906" w:type="pct"/>
                  <w:tcBorders>
                    <w:top w:val="single" w:color="auto" w:sz="4" w:space="0"/>
                    <w:left w:val="single" w:color="auto" w:sz="4" w:space="0"/>
                    <w:bottom w:val="single" w:color="auto" w:sz="4" w:space="0"/>
                    <w:right w:val="single" w:color="auto" w:sz="4" w:space="0"/>
                  </w:tcBorders>
                  <w:vAlign w:val="center"/>
                </w:tcPr>
                <w:p>
                  <w:pPr>
                    <w:jc w:val="center"/>
                  </w:pPr>
                  <w:r>
                    <w:t>40</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rPr>
                  </w:pPr>
                  <w:r>
                    <w:rPr>
                      <w:rFonts w:eastAsiaTheme="minorEastAsia"/>
                    </w:rPr>
                    <w:t>19</w:t>
                  </w:r>
                </w:p>
              </w:tc>
              <w:tc>
                <w:tcPr>
                  <w:tcW w:w="77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rPr>
                  </w:pPr>
                  <w:r>
                    <w:rPr>
                      <w:rFonts w:eastAsiaTheme="minorEastAsia"/>
                    </w:rPr>
                    <w:t>47.5</w:t>
                  </w:r>
                </w:p>
              </w:tc>
              <w:tc>
                <w:tcPr>
                  <w:tcW w:w="82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5" w:type="pct"/>
                  <w:tcBorders>
                    <w:top w:val="single" w:color="auto" w:sz="4" w:space="0"/>
                    <w:left w:val="single" w:color="auto" w:sz="4" w:space="0"/>
                    <w:bottom w:val="single" w:color="auto" w:sz="4" w:space="0"/>
                    <w:right w:val="single" w:color="auto" w:sz="4" w:space="0"/>
                  </w:tcBorders>
                  <w:vAlign w:val="center"/>
                </w:tcPr>
                <w:p>
                  <w:pPr>
                    <w:jc w:val="center"/>
                  </w:pPr>
                  <w:r>
                    <w:t>PM</w:t>
                  </w:r>
                  <w:r>
                    <w:rPr>
                      <w:vertAlign w:val="subscript"/>
                    </w:rPr>
                    <w:t>10</w:t>
                  </w:r>
                </w:p>
              </w:tc>
              <w:tc>
                <w:tcPr>
                  <w:tcW w:w="86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年均值</w:t>
                  </w:r>
                </w:p>
              </w:tc>
              <w:tc>
                <w:tcPr>
                  <w:tcW w:w="906" w:type="pct"/>
                  <w:tcBorders>
                    <w:top w:val="single" w:color="auto" w:sz="4" w:space="0"/>
                    <w:left w:val="single" w:color="auto" w:sz="4" w:space="0"/>
                    <w:bottom w:val="single" w:color="auto" w:sz="4" w:space="0"/>
                    <w:right w:val="single" w:color="auto" w:sz="4" w:space="0"/>
                  </w:tcBorders>
                  <w:vAlign w:val="center"/>
                </w:tcPr>
                <w:p>
                  <w:pPr>
                    <w:jc w:val="center"/>
                  </w:pPr>
                  <w:r>
                    <w:t>70</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rPr>
                  </w:pPr>
                  <w:r>
                    <w:rPr>
                      <w:rFonts w:eastAsiaTheme="minorEastAsia"/>
                    </w:rPr>
                    <w:t>5</w:t>
                  </w:r>
                </w:p>
              </w:tc>
              <w:tc>
                <w:tcPr>
                  <w:tcW w:w="77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rPr>
                  </w:pPr>
                  <w:r>
                    <w:rPr>
                      <w:rFonts w:eastAsiaTheme="minorEastAsia"/>
                    </w:rPr>
                    <w:cr/>
                  </w:r>
                  <w:r>
                    <w:rPr>
                      <w:rFonts w:eastAsiaTheme="minorEastAsia"/>
                    </w:rPr>
                    <w:t>7.1</w:t>
                  </w:r>
                </w:p>
              </w:tc>
              <w:tc>
                <w:tcPr>
                  <w:tcW w:w="82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pct"/>
                  <w:tcBorders>
                    <w:top w:val="single" w:color="auto" w:sz="4" w:space="0"/>
                    <w:left w:val="single" w:color="auto" w:sz="4" w:space="0"/>
                    <w:bottom w:val="single" w:color="auto" w:sz="4" w:space="0"/>
                    <w:right w:val="single" w:color="auto" w:sz="4" w:space="0"/>
                  </w:tcBorders>
                  <w:vAlign w:val="center"/>
                </w:tcPr>
                <w:p>
                  <w:pPr>
                    <w:jc w:val="center"/>
                  </w:pPr>
                  <w:r>
                    <w:t>CO</w:t>
                  </w:r>
                </w:p>
              </w:tc>
              <w:tc>
                <w:tcPr>
                  <w:tcW w:w="86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年均值</w:t>
                  </w:r>
                </w:p>
              </w:tc>
              <w:tc>
                <w:tcPr>
                  <w:tcW w:w="906" w:type="pct"/>
                  <w:tcBorders>
                    <w:top w:val="single" w:color="auto" w:sz="4" w:space="0"/>
                    <w:left w:val="single" w:color="auto" w:sz="4" w:space="0"/>
                    <w:bottom w:val="single" w:color="auto" w:sz="4" w:space="0"/>
                    <w:right w:val="single" w:color="auto" w:sz="4" w:space="0"/>
                  </w:tcBorders>
                  <w:vAlign w:val="center"/>
                </w:tcPr>
                <w:p>
                  <w:pPr>
                    <w:jc w:val="center"/>
                  </w:pPr>
                  <w:r>
                    <w:t>4000</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pPr>
                  <w:r>
                    <w:t>1100</w:t>
                  </w:r>
                </w:p>
              </w:tc>
              <w:tc>
                <w:tcPr>
                  <w:tcW w:w="778" w:type="pct"/>
                  <w:tcBorders>
                    <w:top w:val="single" w:color="auto" w:sz="4" w:space="0"/>
                    <w:left w:val="single" w:color="auto" w:sz="4" w:space="0"/>
                    <w:bottom w:val="single" w:color="auto" w:sz="4" w:space="0"/>
                    <w:right w:val="single" w:color="auto" w:sz="4" w:space="0"/>
                  </w:tcBorders>
                  <w:vAlign w:val="center"/>
                </w:tcPr>
                <w:p>
                  <w:pPr>
                    <w:jc w:val="center"/>
                  </w:pPr>
                  <w:r>
                    <w:t>27.5</w:t>
                  </w:r>
                </w:p>
              </w:tc>
              <w:tc>
                <w:tcPr>
                  <w:tcW w:w="82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pct"/>
                  <w:tcBorders>
                    <w:top w:val="single" w:color="auto" w:sz="4" w:space="0"/>
                    <w:left w:val="single" w:color="auto" w:sz="4" w:space="0"/>
                    <w:bottom w:val="single" w:color="auto" w:sz="4" w:space="0"/>
                    <w:right w:val="single" w:color="auto" w:sz="4" w:space="0"/>
                  </w:tcBorders>
                  <w:vAlign w:val="center"/>
                </w:tcPr>
                <w:p>
                  <w:pPr>
                    <w:jc w:val="center"/>
                  </w:pPr>
                  <w:r>
                    <w:t>O</w:t>
                  </w:r>
                  <w:r>
                    <w:rPr>
                      <w:vertAlign w:val="subscript"/>
                    </w:rPr>
                    <w:t>3</w:t>
                  </w:r>
                </w:p>
              </w:tc>
              <w:tc>
                <w:tcPr>
                  <w:tcW w:w="86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年均值</w:t>
                  </w:r>
                </w:p>
              </w:tc>
              <w:tc>
                <w:tcPr>
                  <w:tcW w:w="906" w:type="pct"/>
                  <w:tcBorders>
                    <w:top w:val="single" w:color="auto" w:sz="4" w:space="0"/>
                    <w:left w:val="single" w:color="auto" w:sz="4" w:space="0"/>
                    <w:bottom w:val="single" w:color="auto" w:sz="4" w:space="0"/>
                    <w:right w:val="single" w:color="auto" w:sz="4" w:space="0"/>
                  </w:tcBorders>
                  <w:vAlign w:val="center"/>
                </w:tcPr>
                <w:p>
                  <w:pPr>
                    <w:jc w:val="center"/>
                  </w:pPr>
                  <w:r>
                    <w:t>160</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rPr>
                  </w:pPr>
                  <w:r>
                    <w:t>13</w:t>
                  </w:r>
                  <w:r>
                    <w:rPr>
                      <w:rFonts w:eastAsiaTheme="minorEastAsia"/>
                    </w:rPr>
                    <w:t>2</w:t>
                  </w:r>
                </w:p>
              </w:tc>
              <w:tc>
                <w:tcPr>
                  <w:tcW w:w="77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rPr>
                  </w:pPr>
                  <w:r>
                    <w:rPr>
                      <w:rFonts w:eastAsiaTheme="minorEastAsia"/>
                    </w:rPr>
                    <w:t>82.5</w:t>
                  </w:r>
                </w:p>
              </w:tc>
              <w:tc>
                <w:tcPr>
                  <w:tcW w:w="82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pct"/>
                  <w:tcBorders>
                    <w:top w:val="single" w:color="auto" w:sz="4" w:space="0"/>
                    <w:left w:val="single" w:color="auto" w:sz="4" w:space="0"/>
                    <w:bottom w:val="single" w:color="auto" w:sz="4" w:space="0"/>
                    <w:right w:val="single" w:color="auto" w:sz="4" w:space="0"/>
                  </w:tcBorders>
                  <w:vAlign w:val="center"/>
                </w:tcPr>
                <w:p>
                  <w:pPr>
                    <w:jc w:val="center"/>
                  </w:pPr>
                  <w:r>
                    <w:t>PM</w:t>
                  </w:r>
                  <w:r>
                    <w:rPr>
                      <w:vertAlign w:val="subscript"/>
                    </w:rPr>
                    <w:t>2.5</w:t>
                  </w:r>
                </w:p>
              </w:tc>
              <w:tc>
                <w:tcPr>
                  <w:tcW w:w="86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年均值</w:t>
                  </w:r>
                </w:p>
              </w:tc>
              <w:tc>
                <w:tcPr>
                  <w:tcW w:w="906" w:type="pct"/>
                  <w:tcBorders>
                    <w:top w:val="single" w:color="auto" w:sz="4" w:space="0"/>
                    <w:left w:val="single" w:color="auto" w:sz="4" w:space="0"/>
                    <w:bottom w:val="single" w:color="auto" w:sz="4" w:space="0"/>
                    <w:right w:val="single" w:color="auto" w:sz="4" w:space="0"/>
                  </w:tcBorders>
                  <w:vAlign w:val="center"/>
                </w:tcPr>
                <w:p>
                  <w:pPr>
                    <w:jc w:val="center"/>
                  </w:pPr>
                  <w:r>
                    <w:t>35</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rPr>
                  </w:pPr>
                  <w:r>
                    <w:rPr>
                      <w:rFonts w:eastAsiaTheme="minorEastAsia"/>
                    </w:rPr>
                    <w:t>37</w:t>
                  </w:r>
                </w:p>
              </w:tc>
              <w:tc>
                <w:tcPr>
                  <w:tcW w:w="77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rPr>
                  </w:pPr>
                  <w:r>
                    <w:rPr>
                      <w:rFonts w:eastAsiaTheme="minorEastAsia"/>
                    </w:rPr>
                    <w:t>105.7</w:t>
                  </w:r>
                </w:p>
              </w:tc>
              <w:tc>
                <w:tcPr>
                  <w:tcW w:w="82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不达标</w:t>
                  </w:r>
                </w:p>
              </w:tc>
            </w:tr>
          </w:tbl>
          <w:p>
            <w:pPr>
              <w:spacing w:line="360" w:lineRule="auto"/>
              <w:ind w:firstLine="482"/>
            </w:pPr>
            <w:r>
              <w:rPr>
                <w:b/>
                <w:bCs/>
              </w:rPr>
              <w:t>*</w:t>
            </w:r>
            <w:r>
              <w:t>1.</w:t>
            </w:r>
            <w:r>
              <w:rPr>
                <w:rFonts w:hint="eastAsia"/>
              </w:rPr>
              <w:t>根据《环境空气质量评价技术规范（试行）》</w:t>
            </w:r>
            <w:r>
              <w:t>(HJ633-2013)</w:t>
            </w:r>
            <w:r>
              <w:rPr>
                <w:rFonts w:hint="eastAsia"/>
              </w:rPr>
              <w:t>，</w:t>
            </w:r>
            <w:r>
              <w:t>CO</w:t>
            </w:r>
            <w:r>
              <w:rPr>
                <w:rFonts w:hint="eastAsia"/>
              </w:rPr>
              <w:t>取城市日均值百分之</w:t>
            </w:r>
            <w:r>
              <w:t>95</w:t>
            </w:r>
            <w:r>
              <w:rPr>
                <w:rFonts w:hint="eastAsia"/>
              </w:rPr>
              <w:t>位数；臭氧取城市日最大</w:t>
            </w:r>
            <w:r>
              <w:t>8</w:t>
            </w:r>
            <w:r>
              <w:rPr>
                <w:rFonts w:hint="eastAsia"/>
              </w:rPr>
              <w:t>小时平均百分之</w:t>
            </w:r>
            <w:r>
              <w:t>90</w:t>
            </w:r>
            <w:r>
              <w:rPr>
                <w:rFonts w:hint="eastAsia"/>
              </w:rPr>
              <w:t>位数。</w:t>
            </w:r>
          </w:p>
          <w:p>
            <w:pPr>
              <w:spacing w:line="360" w:lineRule="auto"/>
              <w:ind w:firstLine="420"/>
              <w:jc w:val="left"/>
            </w:pPr>
            <w:r>
              <w:rPr>
                <w:rFonts w:hint="eastAsia"/>
              </w:rPr>
              <w:t>由上表可知，项目所在区域属于达标区，其环境空气质量基本项目均满足《环境空气质量标准》（</w:t>
            </w:r>
            <w:r>
              <w:t>GB3095-2012</w:t>
            </w:r>
            <w:r>
              <w:rPr>
                <w:rFonts w:hint="eastAsia"/>
              </w:rPr>
              <w:t>）中二级标准。</w:t>
            </w:r>
          </w:p>
          <w:p>
            <w:pPr>
              <w:autoSpaceDE w:val="0"/>
              <w:autoSpaceDN w:val="0"/>
              <w:adjustRightInd w:val="0"/>
              <w:snapToGrid w:val="0"/>
              <w:spacing w:line="360" w:lineRule="auto"/>
              <w:rPr>
                <w:b/>
                <w:kern w:val="0"/>
              </w:rPr>
            </w:pPr>
            <w:r>
              <w:rPr>
                <w:rFonts w:hint="eastAsia"/>
                <w:b/>
                <w:kern w:val="0"/>
              </w:rPr>
              <w:t>2、地表水环境</w:t>
            </w:r>
          </w:p>
          <w:p>
            <w:pPr>
              <w:adjustRightInd w:val="0"/>
              <w:snapToGrid w:val="0"/>
              <w:spacing w:before="156" w:beforeLines="50" w:line="360" w:lineRule="auto"/>
              <w:ind w:firstLine="420"/>
              <w:rPr>
                <w:b/>
                <w:bCs/>
              </w:rPr>
            </w:pPr>
            <w:r>
              <w:rPr>
                <w:rFonts w:hint="eastAsia"/>
              </w:rPr>
              <w:t>项目废水经厂区污水处理设施处理后最终进入德山污水处理厂深度处理，尾水经东风河流入沅江。本环评引用《常德市生态环境局关于2021年6月全市环境质量状况的通报》中对地表水评价结论，东风河金陵水库大坝分水闸出口处（鼎城-经开区交界市控断面）、东风闸上游50m（市控断面）、沅江-新兴咀断面（县界）水质均可达到《表水环境质量标准》（GB3838-2002）中II类标准。项目所在区域地表水水质较好。</w:t>
            </w:r>
          </w:p>
          <w:p>
            <w:pPr>
              <w:adjustRightInd w:val="0"/>
              <w:snapToGrid w:val="0"/>
              <w:spacing w:before="156" w:beforeLines="50" w:line="360" w:lineRule="auto"/>
              <w:rPr>
                <w:b/>
                <w:bCs/>
              </w:rPr>
            </w:pPr>
            <w:r>
              <w:rPr>
                <w:rFonts w:hint="eastAsia"/>
                <w:b/>
                <w:bCs/>
              </w:rPr>
              <w:t>3、声环境</w:t>
            </w:r>
          </w:p>
          <w:p>
            <w:pPr>
              <w:snapToGrid w:val="0"/>
              <w:spacing w:before="156" w:beforeLines="50" w:line="360" w:lineRule="auto"/>
              <w:ind w:firstLine="420"/>
            </w:pPr>
            <w:r>
              <w:rPr>
                <w:rFonts w:hint="eastAsia"/>
              </w:rPr>
              <w:t>项目50m范围内无声环境敏感点。</w:t>
            </w:r>
          </w:p>
          <w:p>
            <w:pPr>
              <w:autoSpaceDE w:val="0"/>
              <w:autoSpaceDN w:val="0"/>
              <w:adjustRightInd w:val="0"/>
              <w:snapToGrid w:val="0"/>
              <w:spacing w:line="360" w:lineRule="auto"/>
              <w:rPr>
                <w:b/>
                <w:kern w:val="0"/>
              </w:rPr>
            </w:pPr>
            <w:r>
              <w:rPr>
                <w:rFonts w:hint="eastAsia"/>
                <w:b/>
                <w:kern w:val="0"/>
              </w:rPr>
              <w:t>4、生态环境</w:t>
            </w:r>
          </w:p>
          <w:p>
            <w:pPr>
              <w:snapToGrid w:val="0"/>
              <w:spacing w:line="360" w:lineRule="auto"/>
              <w:ind w:firstLine="420"/>
              <w:rPr>
                <w:color w:val="FF0000"/>
              </w:rPr>
            </w:pPr>
            <w:r>
              <w:rPr>
                <w:rFonts w:hint="eastAsia"/>
              </w:rPr>
              <w:t>本项目位于常德经济技术开发区，区域内无自然保护区、饮用水保护区和重点文物保护单位，区域内无珍稀野生动植物，无需进行生态现状调查。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2" w:hRule="atLeast"/>
        </w:trPr>
        <w:tc>
          <w:tcPr>
            <w:tcW w:w="817" w:type="dxa"/>
            <w:vAlign w:val="center"/>
          </w:tcPr>
          <w:p>
            <w:pPr>
              <w:spacing w:line="360" w:lineRule="auto"/>
              <w:jc w:val="center"/>
              <w:rPr>
                <w:rFonts w:ascii="宋体" w:hAnsi="宋体" w:cs="宋体"/>
              </w:rPr>
            </w:pPr>
            <w:r>
              <w:rPr>
                <w:rFonts w:hint="eastAsia" w:ascii="宋体" w:hAnsi="宋体" w:cs="宋体"/>
              </w:rPr>
              <w:t>环境</w:t>
            </w:r>
          </w:p>
          <w:p>
            <w:pPr>
              <w:spacing w:line="360" w:lineRule="auto"/>
              <w:jc w:val="center"/>
              <w:rPr>
                <w:rFonts w:ascii="宋体" w:hAnsi="宋体" w:cs="宋体"/>
              </w:rPr>
            </w:pPr>
            <w:r>
              <w:rPr>
                <w:rFonts w:hint="eastAsia" w:ascii="宋体" w:hAnsi="宋体" w:cs="宋体"/>
              </w:rPr>
              <w:t>保护</w:t>
            </w:r>
          </w:p>
          <w:p>
            <w:pPr>
              <w:spacing w:line="360" w:lineRule="auto"/>
              <w:jc w:val="center"/>
              <w:rPr>
                <w:color w:val="FF0000"/>
              </w:rPr>
            </w:pPr>
            <w:r>
              <w:rPr>
                <w:rFonts w:hint="eastAsia" w:ascii="宋体" w:hAnsi="宋体" w:cs="宋体"/>
              </w:rPr>
              <w:t>目标</w:t>
            </w:r>
          </w:p>
        </w:tc>
        <w:tc>
          <w:tcPr>
            <w:tcW w:w="8243" w:type="dxa"/>
          </w:tcPr>
          <w:p>
            <w:pPr>
              <w:spacing w:line="360" w:lineRule="auto"/>
              <w:rPr>
                <w:b/>
                <w:bCs/>
              </w:rPr>
            </w:pPr>
            <w:r>
              <w:rPr>
                <w:rFonts w:hint="eastAsia"/>
                <w:b/>
                <w:bCs/>
              </w:rPr>
              <w:t>1、大气环境保护目标</w:t>
            </w:r>
          </w:p>
          <w:p>
            <w:pPr>
              <w:spacing w:line="360" w:lineRule="auto"/>
              <w:ind w:firstLine="420" w:firstLineChars="200"/>
              <w:rPr>
                <w:bCs/>
              </w:rPr>
            </w:pPr>
            <w:r>
              <w:rPr>
                <w:rFonts w:hint="eastAsia"/>
                <w:bCs/>
              </w:rPr>
              <w:t>500m</w:t>
            </w:r>
            <w:r>
              <w:t>范围内无大气环境敏感目标。</w:t>
            </w:r>
          </w:p>
          <w:p>
            <w:pPr>
              <w:spacing w:line="360" w:lineRule="auto"/>
              <w:rPr>
                <w:b/>
                <w:bCs/>
              </w:rPr>
            </w:pPr>
            <w:r>
              <w:rPr>
                <w:b/>
                <w:bCs/>
              </w:rPr>
              <w:t>2 、声环境保护目标</w:t>
            </w:r>
          </w:p>
          <w:p>
            <w:pPr>
              <w:adjustRightInd w:val="0"/>
              <w:snapToGrid w:val="0"/>
              <w:spacing w:line="360" w:lineRule="auto"/>
              <w:ind w:firstLine="420"/>
            </w:pPr>
            <w:r>
              <w:t>50m范围内无声环境敏感目标。</w:t>
            </w:r>
          </w:p>
          <w:p>
            <w:pPr>
              <w:spacing w:line="360" w:lineRule="auto"/>
              <w:rPr>
                <w:b/>
                <w:bCs/>
              </w:rPr>
            </w:pPr>
            <w:r>
              <w:rPr>
                <w:b/>
                <w:bCs/>
              </w:rPr>
              <w:t>3、 地下水环境</w:t>
            </w:r>
          </w:p>
          <w:p>
            <w:pPr>
              <w:adjustRightInd w:val="0"/>
              <w:snapToGrid w:val="0"/>
              <w:spacing w:line="360" w:lineRule="auto"/>
              <w:ind w:firstLine="420"/>
              <w:rPr>
                <w:kern w:val="0"/>
              </w:rPr>
            </w:pPr>
            <w:r>
              <w:t>本项目厂界外500米范围内无地下水集中式饮用水水源和热水、矿泉水、温泉等特殊地下水资源。</w:t>
            </w:r>
          </w:p>
          <w:p>
            <w:pPr>
              <w:spacing w:line="360" w:lineRule="auto"/>
              <w:rPr>
                <w:b/>
                <w:bCs/>
              </w:rPr>
            </w:pPr>
            <w:r>
              <w:rPr>
                <w:b/>
                <w:bCs/>
              </w:rPr>
              <w:t>4、 生态环境</w:t>
            </w:r>
          </w:p>
          <w:p>
            <w:pPr>
              <w:adjustRightInd w:val="0"/>
              <w:snapToGrid w:val="0"/>
              <w:spacing w:line="360" w:lineRule="auto"/>
              <w:ind w:firstLine="420"/>
              <w:rPr>
                <w:kern w:val="0"/>
              </w:rPr>
            </w:pPr>
            <w:r>
              <w:t>本项目位于常德经济技术开发区，项目用地范围内无生态环境保护目标。</w:t>
            </w:r>
          </w:p>
          <w:p>
            <w:pPr>
              <w:spacing w:line="360" w:lineRule="auto"/>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2" w:hRule="atLeast"/>
        </w:trPr>
        <w:tc>
          <w:tcPr>
            <w:tcW w:w="817" w:type="dxa"/>
            <w:vAlign w:val="center"/>
          </w:tcPr>
          <w:p>
            <w:pPr>
              <w:spacing w:line="360" w:lineRule="auto"/>
              <w:jc w:val="center"/>
              <w:rPr>
                <w:rFonts w:ascii="宋体" w:hAnsi="宋体" w:cs="宋体"/>
              </w:rPr>
            </w:pPr>
            <w:r>
              <w:rPr>
                <w:rFonts w:hint="eastAsia" w:ascii="宋体" w:hAnsi="宋体" w:cs="宋体"/>
              </w:rPr>
              <w:t>污染</w:t>
            </w:r>
          </w:p>
          <w:p>
            <w:pPr>
              <w:spacing w:line="360" w:lineRule="auto"/>
              <w:jc w:val="center"/>
              <w:rPr>
                <w:rFonts w:ascii="宋体" w:hAnsi="宋体" w:cs="宋体"/>
              </w:rPr>
            </w:pPr>
            <w:r>
              <w:rPr>
                <w:rFonts w:hint="eastAsia" w:ascii="宋体" w:hAnsi="宋体" w:cs="宋体"/>
              </w:rPr>
              <w:t>物排</w:t>
            </w:r>
          </w:p>
          <w:p>
            <w:pPr>
              <w:spacing w:line="360" w:lineRule="auto"/>
              <w:jc w:val="center"/>
              <w:rPr>
                <w:rFonts w:ascii="宋体" w:hAnsi="宋体" w:cs="宋体"/>
              </w:rPr>
            </w:pPr>
            <w:r>
              <w:rPr>
                <w:rFonts w:hint="eastAsia" w:ascii="宋体" w:hAnsi="宋体" w:cs="宋体"/>
              </w:rPr>
              <w:t>放控</w:t>
            </w:r>
          </w:p>
          <w:p>
            <w:pPr>
              <w:spacing w:line="360" w:lineRule="auto"/>
              <w:jc w:val="center"/>
              <w:rPr>
                <w:rFonts w:ascii="宋体" w:hAnsi="宋体" w:cs="宋体"/>
              </w:rPr>
            </w:pPr>
            <w:r>
              <w:rPr>
                <w:rFonts w:hint="eastAsia" w:ascii="宋体" w:hAnsi="宋体" w:cs="宋体"/>
              </w:rPr>
              <w:t>制标</w:t>
            </w:r>
          </w:p>
          <w:p>
            <w:pPr>
              <w:spacing w:line="360" w:lineRule="auto"/>
              <w:jc w:val="center"/>
              <w:rPr>
                <w:color w:val="FF0000"/>
              </w:rPr>
            </w:pPr>
            <w:r>
              <w:rPr>
                <w:rFonts w:hint="eastAsia" w:ascii="宋体" w:hAnsi="宋体" w:cs="宋体"/>
              </w:rPr>
              <w:t>准</w:t>
            </w:r>
          </w:p>
        </w:tc>
        <w:tc>
          <w:tcPr>
            <w:tcW w:w="8243" w:type="dxa"/>
          </w:tcPr>
          <w:p>
            <w:pPr>
              <w:adjustRightInd w:val="0"/>
              <w:snapToGrid w:val="0"/>
              <w:spacing w:before="156" w:beforeLines="50" w:line="360" w:lineRule="auto"/>
              <w:rPr>
                <w:b/>
                <w:bCs/>
              </w:rPr>
            </w:pPr>
            <w:r>
              <w:rPr>
                <w:rFonts w:hint="eastAsia"/>
                <w:b/>
                <w:bCs/>
              </w:rPr>
              <w:t>1、大气污染物排放标准</w:t>
            </w:r>
          </w:p>
          <w:p>
            <w:pPr>
              <w:snapToGrid w:val="0"/>
              <w:spacing w:line="360" w:lineRule="auto"/>
              <w:ind w:firstLine="420"/>
              <w:rPr>
                <w:color w:val="FF0000"/>
              </w:rPr>
            </w:pPr>
            <w:r>
              <w:rPr>
                <w:rFonts w:hint="eastAsia"/>
              </w:rPr>
              <w:t>施工期：颗粒物排放标准执行《大气污染物综合排放标准》（GB16297-1996）中表2中的无组织排放监控浓度限值。</w:t>
            </w:r>
          </w:p>
          <w:p>
            <w:pPr>
              <w:autoSpaceDE w:val="0"/>
              <w:autoSpaceDN w:val="0"/>
              <w:spacing w:before="156" w:beforeLines="50" w:line="360" w:lineRule="auto"/>
              <w:ind w:firstLine="420" w:firstLineChars="200"/>
              <w:rPr>
                <w:szCs w:val="24"/>
              </w:rPr>
            </w:pPr>
            <w:r>
              <w:rPr>
                <w:rFonts w:hint="eastAsia"/>
              </w:rPr>
              <w:t>营运期：油炸过程产生油烟，油烟废气排放执行《饮食业油烟排放标准》（GB18483-2001）的相关标准。炒制过程产生颗粒物执行《大气污染物综合排放标准》（GB16297-1996）表2二级标准。炒制和油炸过程通过燃烧</w:t>
            </w:r>
            <w:r>
              <w:rPr>
                <w:rFonts w:hint="eastAsia"/>
                <w:szCs w:val="24"/>
              </w:rPr>
              <w:t>天然气直接加热，燃烧废气排放执行《湖南省工业炉窑大气污染综合治理实施方案》（湘环发〔2020〕6号）附件中限值要求。厂界无组织颗粒物执行《大气污染物综合排放标准》（GB16297-1996）表2中周界外浓度最高点限值。</w:t>
            </w:r>
          </w:p>
          <w:p>
            <w:pPr>
              <w:adjustRightInd w:val="0"/>
              <w:snapToGrid w:val="0"/>
              <w:spacing w:line="360" w:lineRule="auto"/>
              <w:jc w:val="center"/>
              <w:rPr>
                <w:b/>
                <w:kern w:val="0"/>
              </w:rPr>
            </w:pPr>
            <w:r>
              <w:rPr>
                <w:rFonts w:hint="eastAsia"/>
                <w:b/>
                <w:kern w:val="0"/>
              </w:rPr>
              <w:t>表3-2  《大气污染物综合排放标准》（GB16297-1996）</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146"/>
              <w:gridCol w:w="1968"/>
              <w:gridCol w:w="19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013" w:hRule="atLeast"/>
                <w:jc w:val="center"/>
              </w:trPr>
              <w:tc>
                <w:tcPr>
                  <w:tcW w:w="1212" w:type="pct"/>
                  <w:tcBorders>
                    <w:tl2br w:val="nil"/>
                    <w:tr2bl w:val="nil"/>
                  </w:tcBorders>
                  <w:vAlign w:val="center"/>
                </w:tcPr>
                <w:p>
                  <w:pPr>
                    <w:adjustRightInd w:val="0"/>
                    <w:snapToGrid w:val="0"/>
                    <w:spacing w:line="300" w:lineRule="auto"/>
                    <w:jc w:val="center"/>
                    <w:rPr>
                      <w:b/>
                      <w:bCs/>
                      <w:kern w:val="0"/>
                    </w:rPr>
                  </w:pPr>
                  <w:r>
                    <w:rPr>
                      <w:rFonts w:hint="eastAsia"/>
                      <w:b/>
                      <w:bCs/>
                      <w:kern w:val="0"/>
                    </w:rPr>
                    <w:t>污染物</w:t>
                  </w:r>
                </w:p>
              </w:tc>
              <w:tc>
                <w:tcPr>
                  <w:tcW w:w="1337" w:type="pct"/>
                  <w:tcBorders>
                    <w:tl2br w:val="nil"/>
                    <w:tr2bl w:val="nil"/>
                  </w:tcBorders>
                  <w:vAlign w:val="center"/>
                </w:tcPr>
                <w:p>
                  <w:pPr>
                    <w:adjustRightInd w:val="0"/>
                    <w:snapToGrid w:val="0"/>
                    <w:spacing w:line="300" w:lineRule="auto"/>
                    <w:jc w:val="center"/>
                    <w:rPr>
                      <w:b/>
                      <w:bCs/>
                      <w:kern w:val="0"/>
                    </w:rPr>
                  </w:pPr>
                  <w:r>
                    <w:rPr>
                      <w:rFonts w:hint="eastAsia"/>
                      <w:b/>
                      <w:bCs/>
                      <w:kern w:val="0"/>
                    </w:rPr>
                    <w:t>有组织最高允许排放浓度mg/m</w:t>
                  </w:r>
                  <w:r>
                    <w:rPr>
                      <w:rFonts w:hint="eastAsia"/>
                      <w:b/>
                      <w:bCs/>
                      <w:kern w:val="0"/>
                      <w:vertAlign w:val="superscript"/>
                    </w:rPr>
                    <w:t>3</w:t>
                  </w:r>
                </w:p>
              </w:tc>
              <w:tc>
                <w:tcPr>
                  <w:tcW w:w="1226" w:type="pct"/>
                  <w:tcBorders>
                    <w:tl2br w:val="nil"/>
                    <w:tr2bl w:val="nil"/>
                  </w:tcBorders>
                  <w:vAlign w:val="center"/>
                </w:tcPr>
                <w:p>
                  <w:pPr>
                    <w:adjustRightInd w:val="0"/>
                    <w:snapToGrid w:val="0"/>
                    <w:spacing w:line="300" w:lineRule="auto"/>
                    <w:jc w:val="center"/>
                    <w:rPr>
                      <w:b/>
                      <w:bCs/>
                      <w:kern w:val="0"/>
                    </w:rPr>
                  </w:pPr>
                  <w:r>
                    <w:rPr>
                      <w:rFonts w:hint="eastAsia"/>
                      <w:b/>
                      <w:bCs/>
                      <w:kern w:val="0"/>
                    </w:rPr>
                    <w:t>有组织最高允许排放速率kg/h</w:t>
                  </w:r>
                </w:p>
              </w:tc>
              <w:tc>
                <w:tcPr>
                  <w:tcW w:w="1225" w:type="pct"/>
                  <w:tcBorders>
                    <w:tl2br w:val="nil"/>
                    <w:tr2bl w:val="nil"/>
                  </w:tcBorders>
                  <w:vAlign w:val="center"/>
                </w:tcPr>
                <w:p>
                  <w:pPr>
                    <w:adjustRightInd w:val="0"/>
                    <w:snapToGrid w:val="0"/>
                    <w:spacing w:line="300" w:lineRule="auto"/>
                    <w:jc w:val="center"/>
                    <w:rPr>
                      <w:b/>
                      <w:bCs/>
                      <w:kern w:val="0"/>
                    </w:rPr>
                  </w:pPr>
                  <w:r>
                    <w:rPr>
                      <w:rFonts w:hint="eastAsia"/>
                      <w:b/>
                    </w:rPr>
                    <w:t>无组织浓度限值</w:t>
                  </w:r>
                  <w:r>
                    <w:rPr>
                      <w:rFonts w:hint="eastAsia" w:eastAsiaTheme="minorEastAsia"/>
                      <w:b/>
                    </w:rPr>
                    <w:t>（mg/m</w:t>
                  </w:r>
                  <w:r>
                    <w:rPr>
                      <w:rFonts w:hint="eastAsia" w:eastAsiaTheme="minorEastAsia"/>
                      <w:b/>
                      <w:vertAlign w:val="superscript"/>
                    </w:rPr>
                    <w:t>3</w:t>
                  </w:r>
                  <w:r>
                    <w:rPr>
                      <w:rFonts w:hint="eastAsia" w:eastAsiaTheme="minorEastAsia"/>
                      <w:b/>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12" w:type="pct"/>
                  <w:tcBorders>
                    <w:tl2br w:val="nil"/>
                    <w:tr2bl w:val="nil"/>
                  </w:tcBorders>
                  <w:vAlign w:val="center"/>
                </w:tcPr>
                <w:p>
                  <w:pPr>
                    <w:adjustRightInd w:val="0"/>
                    <w:snapToGrid w:val="0"/>
                    <w:spacing w:line="300" w:lineRule="auto"/>
                    <w:jc w:val="center"/>
                    <w:rPr>
                      <w:kern w:val="0"/>
                    </w:rPr>
                  </w:pPr>
                  <w:r>
                    <w:rPr>
                      <w:rFonts w:hint="eastAsia"/>
                      <w:kern w:val="0"/>
                    </w:rPr>
                    <w:t>颗粒物</w:t>
                  </w:r>
                </w:p>
              </w:tc>
              <w:tc>
                <w:tcPr>
                  <w:tcW w:w="1337" w:type="pct"/>
                  <w:tcBorders>
                    <w:tl2br w:val="nil"/>
                    <w:tr2bl w:val="nil"/>
                  </w:tcBorders>
                  <w:vAlign w:val="center"/>
                </w:tcPr>
                <w:p>
                  <w:pPr>
                    <w:adjustRightInd w:val="0"/>
                    <w:snapToGrid w:val="0"/>
                    <w:spacing w:line="300" w:lineRule="auto"/>
                    <w:jc w:val="center"/>
                    <w:rPr>
                      <w:kern w:val="0"/>
                    </w:rPr>
                  </w:pPr>
                  <w:r>
                    <w:rPr>
                      <w:rFonts w:hint="eastAsia"/>
                      <w:kern w:val="0"/>
                    </w:rPr>
                    <w:t>120</w:t>
                  </w:r>
                </w:p>
              </w:tc>
              <w:tc>
                <w:tcPr>
                  <w:tcW w:w="1226" w:type="pct"/>
                  <w:tcBorders>
                    <w:tl2br w:val="nil"/>
                    <w:tr2bl w:val="nil"/>
                  </w:tcBorders>
                  <w:vAlign w:val="center"/>
                </w:tcPr>
                <w:p>
                  <w:pPr>
                    <w:adjustRightInd w:val="0"/>
                    <w:snapToGrid w:val="0"/>
                    <w:spacing w:line="300" w:lineRule="auto"/>
                    <w:jc w:val="center"/>
                    <w:rPr>
                      <w:kern w:val="0"/>
                    </w:rPr>
                  </w:pPr>
                  <w:r>
                    <w:rPr>
                      <w:rFonts w:hint="eastAsia"/>
                      <w:kern w:val="0"/>
                    </w:rPr>
                    <w:t>5.9</w:t>
                  </w:r>
                </w:p>
              </w:tc>
              <w:tc>
                <w:tcPr>
                  <w:tcW w:w="1225" w:type="pct"/>
                  <w:tcBorders>
                    <w:tl2br w:val="nil"/>
                    <w:tr2bl w:val="nil"/>
                  </w:tcBorders>
                  <w:vAlign w:val="center"/>
                </w:tcPr>
                <w:p>
                  <w:pPr>
                    <w:adjustRightInd w:val="0"/>
                    <w:snapToGrid w:val="0"/>
                    <w:spacing w:line="300" w:lineRule="auto"/>
                    <w:jc w:val="center"/>
                    <w:rPr>
                      <w:kern w:val="0"/>
                    </w:rPr>
                  </w:pPr>
                  <w:r>
                    <w:rPr>
                      <w:rFonts w:hint="eastAsia"/>
                      <w:kern w:val="0"/>
                    </w:rPr>
                    <w:t>1.0</w:t>
                  </w:r>
                </w:p>
              </w:tc>
            </w:tr>
          </w:tbl>
          <w:p>
            <w:pPr>
              <w:adjustRightInd w:val="0"/>
              <w:snapToGrid w:val="0"/>
              <w:spacing w:before="156" w:beforeLines="50" w:after="156" w:afterLines="50" w:line="360" w:lineRule="auto"/>
              <w:jc w:val="center"/>
              <w:rPr>
                <w:b/>
                <w:kern w:val="0"/>
              </w:rPr>
            </w:pPr>
            <w:r>
              <w:rPr>
                <w:rFonts w:hint="eastAsia"/>
                <w:b/>
                <w:kern w:val="0"/>
              </w:rPr>
              <w:t>表3-3 《饮食业油烟排放标准（试行）》（GB1848-2001）</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54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610" w:type="pct"/>
                  <w:tcBorders>
                    <w:tl2br w:val="nil"/>
                    <w:tr2bl w:val="nil"/>
                  </w:tcBorders>
                  <w:vAlign w:val="center"/>
                </w:tcPr>
                <w:p>
                  <w:pPr>
                    <w:adjustRightInd w:val="0"/>
                    <w:snapToGrid w:val="0"/>
                    <w:spacing w:line="300" w:lineRule="auto"/>
                    <w:jc w:val="center"/>
                    <w:rPr>
                      <w:b/>
                      <w:bCs/>
                      <w:kern w:val="0"/>
                    </w:rPr>
                  </w:pPr>
                  <w:r>
                    <w:rPr>
                      <w:rFonts w:hint="eastAsia"/>
                      <w:b/>
                      <w:bCs/>
                      <w:kern w:val="0"/>
                    </w:rPr>
                    <w:t>污染物</w:t>
                  </w:r>
                </w:p>
              </w:tc>
              <w:tc>
                <w:tcPr>
                  <w:tcW w:w="3390" w:type="pct"/>
                  <w:tcBorders>
                    <w:tl2br w:val="nil"/>
                    <w:tr2bl w:val="nil"/>
                  </w:tcBorders>
                  <w:vAlign w:val="center"/>
                </w:tcPr>
                <w:p>
                  <w:pPr>
                    <w:adjustRightInd w:val="0"/>
                    <w:snapToGrid w:val="0"/>
                    <w:spacing w:line="300" w:lineRule="auto"/>
                    <w:jc w:val="center"/>
                    <w:rPr>
                      <w:b/>
                      <w:bCs/>
                      <w:kern w:val="0"/>
                    </w:rPr>
                  </w:pPr>
                  <w:r>
                    <w:rPr>
                      <w:rFonts w:hint="eastAsia"/>
                      <w:b/>
                      <w:bCs/>
                      <w:kern w:val="0"/>
                    </w:rPr>
                    <w:t>排放浓度mg/m</w:t>
                  </w:r>
                  <w:r>
                    <w:rPr>
                      <w:rFonts w:hint="eastAsia"/>
                      <w:b/>
                      <w:bCs/>
                      <w:kern w:val="0"/>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610" w:type="pct"/>
                  <w:tcBorders>
                    <w:tl2br w:val="nil"/>
                    <w:tr2bl w:val="nil"/>
                  </w:tcBorders>
                  <w:vAlign w:val="center"/>
                </w:tcPr>
                <w:p>
                  <w:pPr>
                    <w:adjustRightInd w:val="0"/>
                    <w:snapToGrid w:val="0"/>
                    <w:spacing w:line="300" w:lineRule="auto"/>
                    <w:jc w:val="center"/>
                    <w:rPr>
                      <w:kern w:val="0"/>
                    </w:rPr>
                  </w:pPr>
                  <w:r>
                    <w:rPr>
                      <w:rFonts w:hint="eastAsia"/>
                      <w:kern w:val="0"/>
                    </w:rPr>
                    <w:t>油烟</w:t>
                  </w:r>
                </w:p>
              </w:tc>
              <w:tc>
                <w:tcPr>
                  <w:tcW w:w="3390" w:type="pct"/>
                  <w:tcBorders>
                    <w:tl2br w:val="nil"/>
                    <w:tr2bl w:val="nil"/>
                  </w:tcBorders>
                  <w:vAlign w:val="center"/>
                </w:tcPr>
                <w:p>
                  <w:pPr>
                    <w:adjustRightInd w:val="0"/>
                    <w:snapToGrid w:val="0"/>
                    <w:spacing w:line="300" w:lineRule="auto"/>
                    <w:jc w:val="center"/>
                    <w:rPr>
                      <w:kern w:val="0"/>
                    </w:rPr>
                  </w:pPr>
                  <w:r>
                    <w:rPr>
                      <w:rFonts w:hint="eastAsia"/>
                      <w:kern w:val="0"/>
                    </w:rPr>
                    <w:t>2.0</w:t>
                  </w:r>
                </w:p>
              </w:tc>
            </w:tr>
          </w:tbl>
          <w:p>
            <w:pPr>
              <w:adjustRightInd w:val="0"/>
              <w:snapToGrid w:val="0"/>
              <w:spacing w:before="156" w:beforeLines="50" w:after="156" w:afterLines="50" w:line="360" w:lineRule="auto"/>
              <w:jc w:val="center"/>
              <w:rPr>
                <w:b/>
                <w:kern w:val="0"/>
              </w:rPr>
            </w:pPr>
            <w:r>
              <w:rPr>
                <w:rFonts w:hint="eastAsia"/>
                <w:b/>
                <w:kern w:val="0"/>
              </w:rPr>
              <w:t>表3-4  《湖南省工业炉窑大气污染综合治理实施方案》（湘环发〔2020〕6号）</w:t>
            </w:r>
          </w:p>
          <w:tbl>
            <w:tblPr>
              <w:tblStyle w:val="18"/>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61"/>
              <w:gridCol w:w="4599"/>
              <w:gridCol w:w="276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2" w:type="pct"/>
                  <w:tcBorders>
                    <w:tl2br w:val="nil"/>
                    <w:tr2bl w:val="nil"/>
                  </w:tcBorders>
                  <w:vAlign w:val="center"/>
                </w:tcPr>
                <w:p>
                  <w:pPr>
                    <w:adjustRightInd w:val="0"/>
                    <w:snapToGrid w:val="0"/>
                    <w:spacing w:line="300" w:lineRule="auto"/>
                    <w:jc w:val="center"/>
                    <w:rPr>
                      <w:b/>
                      <w:bCs/>
                      <w:kern w:val="0"/>
                    </w:rPr>
                  </w:pPr>
                  <w:r>
                    <w:rPr>
                      <w:rFonts w:hint="eastAsia"/>
                      <w:b/>
                      <w:bCs/>
                      <w:kern w:val="0"/>
                    </w:rPr>
                    <w:t>序号</w:t>
                  </w:r>
                </w:p>
              </w:tc>
              <w:tc>
                <w:tcPr>
                  <w:tcW w:w="2865" w:type="pct"/>
                  <w:tcBorders>
                    <w:tl2br w:val="nil"/>
                    <w:tr2bl w:val="nil"/>
                  </w:tcBorders>
                  <w:vAlign w:val="center"/>
                </w:tcPr>
                <w:p>
                  <w:pPr>
                    <w:adjustRightInd w:val="0"/>
                    <w:snapToGrid w:val="0"/>
                    <w:spacing w:line="300" w:lineRule="auto"/>
                    <w:jc w:val="center"/>
                    <w:rPr>
                      <w:b/>
                      <w:bCs/>
                      <w:kern w:val="0"/>
                    </w:rPr>
                  </w:pPr>
                  <w:r>
                    <w:rPr>
                      <w:rFonts w:hint="eastAsia"/>
                      <w:b/>
                      <w:bCs/>
                      <w:kern w:val="0"/>
                    </w:rPr>
                    <w:t>污染物项目</w:t>
                  </w:r>
                </w:p>
              </w:tc>
              <w:tc>
                <w:tcPr>
                  <w:tcW w:w="1723" w:type="pct"/>
                  <w:tcBorders>
                    <w:tl2br w:val="nil"/>
                    <w:tr2bl w:val="nil"/>
                  </w:tcBorders>
                  <w:vAlign w:val="center"/>
                </w:tcPr>
                <w:p>
                  <w:pPr>
                    <w:adjustRightInd w:val="0"/>
                    <w:snapToGrid w:val="0"/>
                    <w:spacing w:line="300" w:lineRule="auto"/>
                    <w:jc w:val="center"/>
                    <w:rPr>
                      <w:kern w:val="0"/>
                    </w:rPr>
                  </w:pPr>
                  <w:r>
                    <w:rPr>
                      <w:rFonts w:hint="eastAsia"/>
                      <w:b/>
                      <w:bCs/>
                      <w:kern w:val="0"/>
                    </w:rPr>
                    <w:t>燃气锅炉限值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51" w:hRule="atLeast"/>
                <w:jc w:val="center"/>
              </w:trPr>
              <w:tc>
                <w:tcPr>
                  <w:tcW w:w="412" w:type="pct"/>
                  <w:tcBorders>
                    <w:tl2br w:val="nil"/>
                    <w:tr2bl w:val="nil"/>
                  </w:tcBorders>
                  <w:vAlign w:val="center"/>
                </w:tcPr>
                <w:p>
                  <w:pPr>
                    <w:adjustRightInd w:val="0"/>
                    <w:snapToGrid w:val="0"/>
                    <w:spacing w:line="300" w:lineRule="auto"/>
                    <w:jc w:val="center"/>
                    <w:rPr>
                      <w:kern w:val="0"/>
                    </w:rPr>
                  </w:pPr>
                  <w:r>
                    <w:rPr>
                      <w:rFonts w:hint="eastAsia"/>
                      <w:kern w:val="0"/>
                    </w:rPr>
                    <w:t>1</w:t>
                  </w:r>
                </w:p>
              </w:tc>
              <w:tc>
                <w:tcPr>
                  <w:tcW w:w="2865" w:type="pct"/>
                  <w:tcBorders>
                    <w:tl2br w:val="nil"/>
                    <w:tr2bl w:val="nil"/>
                  </w:tcBorders>
                  <w:vAlign w:val="center"/>
                </w:tcPr>
                <w:p>
                  <w:pPr>
                    <w:adjustRightInd w:val="0"/>
                    <w:snapToGrid w:val="0"/>
                    <w:spacing w:line="300" w:lineRule="auto"/>
                    <w:jc w:val="center"/>
                    <w:rPr>
                      <w:kern w:val="0"/>
                    </w:rPr>
                  </w:pPr>
                  <w:r>
                    <w:rPr>
                      <w:rFonts w:hint="eastAsia"/>
                      <w:kern w:val="0"/>
                    </w:rPr>
                    <w:t>二氧化硫（mg/m</w:t>
                  </w:r>
                  <w:r>
                    <w:rPr>
                      <w:rFonts w:hint="eastAsia"/>
                      <w:kern w:val="0"/>
                      <w:vertAlign w:val="superscript"/>
                    </w:rPr>
                    <w:t>3</w:t>
                  </w:r>
                  <w:r>
                    <w:rPr>
                      <w:rFonts w:hint="eastAsia"/>
                      <w:kern w:val="0"/>
                    </w:rPr>
                    <w:t>）</w:t>
                  </w:r>
                </w:p>
              </w:tc>
              <w:tc>
                <w:tcPr>
                  <w:tcW w:w="1723" w:type="pct"/>
                  <w:tcBorders>
                    <w:tl2br w:val="nil"/>
                    <w:tr2bl w:val="nil"/>
                  </w:tcBorders>
                  <w:vAlign w:val="center"/>
                </w:tcPr>
                <w:p>
                  <w:pPr>
                    <w:adjustRightInd w:val="0"/>
                    <w:snapToGrid w:val="0"/>
                    <w:spacing w:line="300" w:lineRule="auto"/>
                    <w:jc w:val="center"/>
                    <w:rPr>
                      <w:kern w:val="0"/>
                    </w:rPr>
                  </w:pPr>
                  <w:r>
                    <w:rPr>
                      <w:rFonts w:hint="eastAsia"/>
                      <w:kern w:val="0"/>
                    </w:rPr>
                    <w:t>200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2" w:hRule="atLeast"/>
                <w:jc w:val="center"/>
              </w:trPr>
              <w:tc>
                <w:tcPr>
                  <w:tcW w:w="412" w:type="pct"/>
                  <w:tcBorders>
                    <w:tl2br w:val="nil"/>
                    <w:tr2bl w:val="nil"/>
                  </w:tcBorders>
                  <w:vAlign w:val="center"/>
                </w:tcPr>
                <w:p>
                  <w:pPr>
                    <w:adjustRightInd w:val="0"/>
                    <w:snapToGrid w:val="0"/>
                    <w:spacing w:line="300" w:lineRule="auto"/>
                    <w:jc w:val="center"/>
                    <w:rPr>
                      <w:kern w:val="0"/>
                    </w:rPr>
                  </w:pPr>
                  <w:r>
                    <w:rPr>
                      <w:rFonts w:hint="eastAsia"/>
                      <w:kern w:val="0"/>
                    </w:rPr>
                    <w:t>2</w:t>
                  </w:r>
                </w:p>
              </w:tc>
              <w:tc>
                <w:tcPr>
                  <w:tcW w:w="2865" w:type="pct"/>
                  <w:tcBorders>
                    <w:tl2br w:val="nil"/>
                    <w:tr2bl w:val="nil"/>
                  </w:tcBorders>
                  <w:vAlign w:val="center"/>
                </w:tcPr>
                <w:p>
                  <w:pPr>
                    <w:adjustRightInd w:val="0"/>
                    <w:snapToGrid w:val="0"/>
                    <w:spacing w:line="300" w:lineRule="auto"/>
                    <w:jc w:val="center"/>
                    <w:rPr>
                      <w:kern w:val="0"/>
                    </w:rPr>
                  </w:pPr>
                  <w:r>
                    <w:rPr>
                      <w:rFonts w:hint="eastAsia"/>
                      <w:kern w:val="0"/>
                    </w:rPr>
                    <w:t>氮氧化物（mg/m</w:t>
                  </w:r>
                  <w:r>
                    <w:rPr>
                      <w:rFonts w:hint="eastAsia"/>
                      <w:kern w:val="0"/>
                      <w:vertAlign w:val="superscript"/>
                    </w:rPr>
                    <w:t>3</w:t>
                  </w:r>
                  <w:r>
                    <w:rPr>
                      <w:rFonts w:hint="eastAsia"/>
                      <w:kern w:val="0"/>
                    </w:rPr>
                    <w:t>）</w:t>
                  </w:r>
                </w:p>
              </w:tc>
              <w:tc>
                <w:tcPr>
                  <w:tcW w:w="1723" w:type="pct"/>
                  <w:tcBorders>
                    <w:tl2br w:val="nil"/>
                    <w:tr2bl w:val="nil"/>
                  </w:tcBorders>
                  <w:vAlign w:val="center"/>
                </w:tcPr>
                <w:p>
                  <w:pPr>
                    <w:adjustRightInd w:val="0"/>
                    <w:snapToGrid w:val="0"/>
                    <w:spacing w:line="300" w:lineRule="auto"/>
                    <w:jc w:val="center"/>
                    <w:rPr>
                      <w:kern w:val="0"/>
                    </w:rPr>
                  </w:pPr>
                  <w:r>
                    <w:rPr>
                      <w:rFonts w:hint="eastAsia"/>
                      <w:kern w:val="0"/>
                    </w:rPr>
                    <w:t>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412" w:type="pct"/>
                  <w:tcBorders>
                    <w:tl2br w:val="nil"/>
                    <w:tr2bl w:val="nil"/>
                  </w:tcBorders>
                  <w:vAlign w:val="center"/>
                </w:tcPr>
                <w:p>
                  <w:pPr>
                    <w:adjustRightInd w:val="0"/>
                    <w:snapToGrid w:val="0"/>
                    <w:spacing w:line="300" w:lineRule="auto"/>
                    <w:jc w:val="center"/>
                    <w:rPr>
                      <w:kern w:val="0"/>
                    </w:rPr>
                  </w:pPr>
                  <w:r>
                    <w:rPr>
                      <w:rFonts w:hint="eastAsia"/>
                      <w:kern w:val="0"/>
                    </w:rPr>
                    <w:t>3</w:t>
                  </w:r>
                </w:p>
              </w:tc>
              <w:tc>
                <w:tcPr>
                  <w:tcW w:w="2865" w:type="pct"/>
                  <w:tcBorders>
                    <w:tl2br w:val="nil"/>
                    <w:tr2bl w:val="nil"/>
                  </w:tcBorders>
                  <w:vAlign w:val="center"/>
                </w:tcPr>
                <w:p>
                  <w:pPr>
                    <w:adjustRightInd w:val="0"/>
                    <w:snapToGrid w:val="0"/>
                    <w:spacing w:line="300" w:lineRule="auto"/>
                    <w:jc w:val="center"/>
                    <w:rPr>
                      <w:kern w:val="0"/>
                    </w:rPr>
                  </w:pPr>
                  <w:r>
                    <w:rPr>
                      <w:rFonts w:hint="eastAsia"/>
                      <w:kern w:val="0"/>
                    </w:rPr>
                    <w:t>颗粒物（mg/m</w:t>
                  </w:r>
                  <w:r>
                    <w:rPr>
                      <w:rFonts w:hint="eastAsia"/>
                      <w:kern w:val="0"/>
                      <w:vertAlign w:val="superscript"/>
                    </w:rPr>
                    <w:t>3</w:t>
                  </w:r>
                  <w:r>
                    <w:rPr>
                      <w:rFonts w:hint="eastAsia"/>
                      <w:kern w:val="0"/>
                    </w:rPr>
                    <w:t>）</w:t>
                  </w:r>
                </w:p>
              </w:tc>
              <w:tc>
                <w:tcPr>
                  <w:tcW w:w="1723" w:type="pct"/>
                  <w:tcBorders>
                    <w:tl2br w:val="nil"/>
                    <w:tr2bl w:val="nil"/>
                  </w:tcBorders>
                  <w:vAlign w:val="center"/>
                </w:tcPr>
                <w:p>
                  <w:pPr>
                    <w:adjustRightInd w:val="0"/>
                    <w:snapToGrid w:val="0"/>
                    <w:spacing w:line="300" w:lineRule="auto"/>
                    <w:jc w:val="center"/>
                    <w:rPr>
                      <w:kern w:val="0"/>
                    </w:rPr>
                  </w:pPr>
                  <w:r>
                    <w:rPr>
                      <w:rFonts w:hint="eastAsia"/>
                      <w:kern w:val="0"/>
                    </w:rPr>
                    <w:t>30</w:t>
                  </w:r>
                </w:p>
              </w:tc>
            </w:tr>
          </w:tbl>
          <w:p>
            <w:pPr>
              <w:snapToGrid w:val="0"/>
              <w:spacing w:line="360" w:lineRule="auto"/>
              <w:ind w:firstLine="420"/>
              <w:rPr>
                <w:color w:val="FF0000"/>
              </w:rPr>
            </w:pPr>
          </w:p>
          <w:p>
            <w:pPr>
              <w:adjustRightInd w:val="0"/>
              <w:snapToGrid w:val="0"/>
              <w:spacing w:before="156" w:beforeLines="50" w:line="360" w:lineRule="auto"/>
              <w:rPr>
                <w:b/>
                <w:bCs/>
              </w:rPr>
            </w:pPr>
            <w:r>
              <w:rPr>
                <w:rFonts w:hint="eastAsia"/>
                <w:b/>
                <w:bCs/>
              </w:rPr>
              <w:t>2、水污染物排放标准</w:t>
            </w:r>
          </w:p>
          <w:p>
            <w:pPr>
              <w:snapToGrid w:val="0"/>
              <w:spacing w:line="360" w:lineRule="auto"/>
              <w:ind w:firstLine="420"/>
            </w:pPr>
            <w:r>
              <w:rPr>
                <w:rFonts w:hint="eastAsia"/>
              </w:rPr>
              <w:t>营运期：本 项 目 生 活 污 水 经 厂 区 化 粪 池 处 理，生产废水经沉淀预处理达到《污水综合排放标准》（GB8978-1996）表 4 中三级标准和德山污水处理厂的进水水质要求后，经市政管网排至德山污水处理厂处理达到《城镇污水处理厂污染物排放标准》（GB18918-2002）一级 A 标准后排入东风河。</w:t>
            </w:r>
          </w:p>
          <w:p>
            <w:pPr>
              <w:pStyle w:val="17"/>
              <w:spacing w:beforeLines="0"/>
              <w:ind w:firstLine="0" w:firstLineChars="0"/>
              <w:jc w:val="center"/>
              <w:rPr>
                <w:rFonts w:hAnsiTheme="minorEastAsia" w:eastAsiaTheme="minorEastAsia"/>
                <w:b/>
                <w:bCs/>
                <w:sz w:val="21"/>
                <w:szCs w:val="21"/>
              </w:rPr>
            </w:pPr>
            <w:r>
              <w:rPr>
                <w:rFonts w:hint="eastAsia" w:hAnsiTheme="minorEastAsia" w:eastAsiaTheme="minorEastAsia"/>
                <w:b/>
                <w:bCs/>
                <w:sz w:val="21"/>
                <w:szCs w:val="21"/>
              </w:rPr>
              <w:t>表3-5  水污染物排放标准限值一览表</w:t>
            </w:r>
          </w:p>
          <w:tbl>
            <w:tblPr>
              <w:tblStyle w:val="18"/>
              <w:tblW w:w="801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89"/>
              <w:gridCol w:w="808"/>
              <w:gridCol w:w="1030"/>
              <w:gridCol w:w="1100"/>
              <w:gridCol w:w="1115"/>
              <w:gridCol w:w="1192"/>
              <w:gridCol w:w="118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91" w:type="pct"/>
                  <w:tcBorders>
                    <w:top w:val="single" w:color="auto" w:sz="2" w:space="0"/>
                    <w:left w:val="single" w:color="auto" w:sz="2" w:space="0"/>
                    <w:bottom w:val="single" w:color="auto" w:sz="2" w:space="0"/>
                    <w:right w:val="single" w:color="auto" w:sz="2" w:space="0"/>
                    <w:tl2br w:val="single" w:color="auto" w:sz="4" w:space="0"/>
                  </w:tcBorders>
                  <w:vAlign w:val="center"/>
                </w:tcPr>
                <w:p>
                  <w:pPr>
                    <w:overflowPunct w:val="0"/>
                    <w:autoSpaceDE w:val="0"/>
                    <w:autoSpaceDN w:val="0"/>
                    <w:adjustRightInd w:val="0"/>
                    <w:jc w:val="center"/>
                    <w:textAlignment w:val="baseline"/>
                    <w:rPr>
                      <w:color w:val="000000"/>
                    </w:rPr>
                  </w:pPr>
                  <w:r>
                    <w:rPr>
                      <w:rFonts w:hint="eastAsia"/>
                      <w:color w:val="000000"/>
                    </w:rPr>
                    <w:t>项目</w:t>
                  </w:r>
                </w:p>
                <w:p>
                  <w:pPr>
                    <w:overflowPunct w:val="0"/>
                    <w:autoSpaceDE w:val="0"/>
                    <w:autoSpaceDN w:val="0"/>
                    <w:adjustRightInd w:val="0"/>
                    <w:ind w:firstLine="210" w:firstLineChars="100"/>
                    <w:jc w:val="center"/>
                    <w:textAlignment w:val="baseline"/>
                    <w:rPr>
                      <w:color w:val="000000"/>
                    </w:rPr>
                  </w:pPr>
                  <w:r>
                    <w:rPr>
                      <w:rFonts w:hint="eastAsia"/>
                      <w:color w:val="000000"/>
                    </w:rPr>
                    <w:t>类型</w:t>
                  </w:r>
                </w:p>
              </w:tc>
              <w:tc>
                <w:tcPr>
                  <w:tcW w:w="504"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pH</w:t>
                  </w:r>
                </w:p>
              </w:tc>
              <w:tc>
                <w:tcPr>
                  <w:tcW w:w="642"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COD</w:t>
                  </w:r>
                  <w:r>
                    <w:rPr>
                      <w:color w:val="000000"/>
                      <w:vertAlign w:val="subscript"/>
                    </w:rPr>
                    <w:t>Cr</w:t>
                  </w:r>
                </w:p>
              </w:tc>
              <w:tc>
                <w:tcPr>
                  <w:tcW w:w="686"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BOD</w:t>
                  </w:r>
                  <w:r>
                    <w:rPr>
                      <w:color w:val="000000"/>
                      <w:vertAlign w:val="subscript"/>
                    </w:rPr>
                    <w:t>5</w:t>
                  </w:r>
                </w:p>
              </w:tc>
              <w:tc>
                <w:tcPr>
                  <w:tcW w:w="695"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NH</w:t>
                  </w:r>
                  <w:r>
                    <w:rPr>
                      <w:color w:val="000000"/>
                      <w:vertAlign w:val="subscript"/>
                    </w:rPr>
                    <w:t>3</w:t>
                  </w:r>
                  <w:r>
                    <w:rPr>
                      <w:color w:val="000000"/>
                    </w:rPr>
                    <w:t>-N</w:t>
                  </w:r>
                </w:p>
              </w:tc>
              <w:tc>
                <w:tcPr>
                  <w:tcW w:w="743"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SS</w:t>
                  </w:r>
                </w:p>
              </w:tc>
              <w:tc>
                <w:tcPr>
                  <w:tcW w:w="739"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石油类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91" w:type="pct"/>
                  <w:tcBorders>
                    <w:top w:val="single" w:color="auto" w:sz="2" w:space="0"/>
                    <w:left w:val="single" w:color="auto" w:sz="2" w:space="0"/>
                    <w:bottom w:val="single" w:color="auto" w:sz="2" w:space="0"/>
                    <w:right w:val="single" w:color="auto" w:sz="2" w:space="0"/>
                  </w:tcBorders>
                  <w:vAlign w:val="center"/>
                </w:tcPr>
                <w:p>
                  <w:pPr>
                    <w:overflowPunct w:val="0"/>
                    <w:autoSpaceDE w:val="0"/>
                    <w:autoSpaceDN w:val="0"/>
                    <w:adjustRightInd w:val="0"/>
                    <w:jc w:val="center"/>
                    <w:textAlignment w:val="baseline"/>
                    <w:rPr>
                      <w:color w:val="000000"/>
                    </w:rPr>
                  </w:pPr>
                  <w:r>
                    <w:rPr>
                      <w:rFonts w:hint="eastAsia" w:eastAsiaTheme="minorEastAsia"/>
                      <w:color w:val="000000"/>
                    </w:rPr>
                    <w:t>德山</w:t>
                  </w:r>
                  <w:r>
                    <w:rPr>
                      <w:rFonts w:hint="eastAsia"/>
                      <w:color w:val="000000"/>
                    </w:rPr>
                    <w:t>污水处理厂进水标准</w:t>
                  </w:r>
                </w:p>
              </w:tc>
              <w:tc>
                <w:tcPr>
                  <w:tcW w:w="504"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6-9</w:t>
                  </w:r>
                </w:p>
              </w:tc>
              <w:tc>
                <w:tcPr>
                  <w:tcW w:w="642"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rFonts w:eastAsiaTheme="minorEastAsia"/>
                      <w:color w:val="000000"/>
                    </w:rPr>
                  </w:pPr>
                  <w:r>
                    <w:rPr>
                      <w:rFonts w:eastAsiaTheme="minorEastAsia"/>
                      <w:color w:val="000000"/>
                    </w:rPr>
                    <w:t>400</w:t>
                  </w:r>
                </w:p>
              </w:tc>
              <w:tc>
                <w:tcPr>
                  <w:tcW w:w="686"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rFonts w:eastAsiaTheme="minorEastAsia"/>
                      <w:color w:val="000000"/>
                    </w:rPr>
                  </w:pPr>
                  <w:r>
                    <w:rPr>
                      <w:rFonts w:eastAsiaTheme="minorEastAsia"/>
                      <w:color w:val="000000"/>
                    </w:rPr>
                    <w:t>250</w:t>
                  </w:r>
                </w:p>
              </w:tc>
              <w:tc>
                <w:tcPr>
                  <w:tcW w:w="695"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rFonts w:eastAsiaTheme="minorEastAsia"/>
                      <w:color w:val="000000"/>
                    </w:rPr>
                  </w:pPr>
                  <w:r>
                    <w:rPr>
                      <w:rFonts w:eastAsiaTheme="minorEastAsia"/>
                      <w:color w:val="000000"/>
                    </w:rPr>
                    <w:t>25</w:t>
                  </w:r>
                </w:p>
              </w:tc>
              <w:tc>
                <w:tcPr>
                  <w:tcW w:w="742"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rFonts w:eastAsiaTheme="minorEastAsia"/>
                      <w:color w:val="000000"/>
                    </w:rPr>
                  </w:pPr>
                  <w:r>
                    <w:rPr>
                      <w:rFonts w:eastAsiaTheme="minorEastAsia"/>
                      <w:color w:val="000000"/>
                    </w:rPr>
                    <w:t>300</w:t>
                  </w:r>
                </w:p>
              </w:tc>
              <w:tc>
                <w:tcPr>
                  <w:tcW w:w="739"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rFonts w:eastAsiaTheme="minorEastAsia"/>
                      <w:color w:val="000000"/>
                    </w:rPr>
                  </w:pPr>
                  <w:r>
                    <w:rPr>
                      <w:color w:val="0000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91" w:type="pct"/>
                  <w:tcBorders>
                    <w:top w:val="single" w:color="auto" w:sz="2" w:space="0"/>
                    <w:left w:val="single" w:color="auto" w:sz="2" w:space="0"/>
                    <w:bottom w:val="single" w:color="auto" w:sz="2" w:space="0"/>
                    <w:right w:val="single" w:color="auto" w:sz="2" w:space="0"/>
                  </w:tcBorders>
                  <w:vAlign w:val="center"/>
                </w:tcPr>
                <w:p>
                  <w:pPr>
                    <w:overflowPunct w:val="0"/>
                    <w:autoSpaceDE w:val="0"/>
                    <w:autoSpaceDN w:val="0"/>
                    <w:adjustRightInd w:val="0"/>
                    <w:jc w:val="center"/>
                    <w:textAlignment w:val="baseline"/>
                    <w:rPr>
                      <w:color w:val="000000"/>
                    </w:rPr>
                  </w:pPr>
                  <w:r>
                    <w:rPr>
                      <w:color w:val="000000"/>
                    </w:rPr>
                    <w:t>GB8978-1996</w:t>
                  </w:r>
                  <w:r>
                    <w:rPr>
                      <w:rFonts w:hint="eastAsia"/>
                      <w:color w:val="000000"/>
                    </w:rPr>
                    <w:t>表</w:t>
                  </w:r>
                  <w:r>
                    <w:rPr>
                      <w:color w:val="000000"/>
                    </w:rPr>
                    <w:t>4</w:t>
                  </w:r>
                  <w:r>
                    <w:rPr>
                      <w:rFonts w:hint="eastAsia"/>
                      <w:color w:val="000000"/>
                    </w:rPr>
                    <w:t>三级标准</w:t>
                  </w:r>
                </w:p>
              </w:tc>
              <w:tc>
                <w:tcPr>
                  <w:tcW w:w="504"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6-9</w:t>
                  </w:r>
                </w:p>
              </w:tc>
              <w:tc>
                <w:tcPr>
                  <w:tcW w:w="642"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500</w:t>
                  </w:r>
                </w:p>
              </w:tc>
              <w:tc>
                <w:tcPr>
                  <w:tcW w:w="686"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300</w:t>
                  </w:r>
                </w:p>
              </w:tc>
              <w:tc>
                <w:tcPr>
                  <w:tcW w:w="695"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w:t>
                  </w:r>
                </w:p>
              </w:tc>
              <w:tc>
                <w:tcPr>
                  <w:tcW w:w="742"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400</w:t>
                  </w:r>
                </w:p>
              </w:tc>
              <w:tc>
                <w:tcPr>
                  <w:tcW w:w="739"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rFonts w:hint="eastAsia"/>
                      <w:color w:val="000000"/>
                    </w:rPr>
                    <w:t>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91" w:type="pct"/>
                  <w:tcBorders>
                    <w:top w:val="single" w:color="auto" w:sz="2" w:space="0"/>
                    <w:left w:val="single" w:color="auto" w:sz="2" w:space="0"/>
                    <w:bottom w:val="single" w:color="auto" w:sz="2" w:space="0"/>
                    <w:right w:val="single" w:color="auto" w:sz="2" w:space="0"/>
                  </w:tcBorders>
                  <w:vAlign w:val="center"/>
                </w:tcPr>
                <w:p>
                  <w:pPr>
                    <w:overflowPunct w:val="0"/>
                    <w:autoSpaceDE w:val="0"/>
                    <w:autoSpaceDN w:val="0"/>
                    <w:adjustRightInd w:val="0"/>
                    <w:jc w:val="center"/>
                    <w:textAlignment w:val="baseline"/>
                    <w:rPr>
                      <w:color w:val="000000"/>
                    </w:rPr>
                  </w:pPr>
                  <w:r>
                    <w:rPr>
                      <w:rFonts w:hint="eastAsia"/>
                      <w:color w:val="000000"/>
                    </w:rPr>
                    <w:t>本项目出水执行标准</w:t>
                  </w:r>
                </w:p>
              </w:tc>
              <w:tc>
                <w:tcPr>
                  <w:tcW w:w="504"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6</w:t>
                  </w:r>
                  <w:r>
                    <w:rPr>
                      <w:rFonts w:hint="eastAsia"/>
                      <w:color w:val="000000"/>
                    </w:rPr>
                    <w:t>-</w:t>
                  </w:r>
                  <w:r>
                    <w:rPr>
                      <w:color w:val="000000"/>
                    </w:rPr>
                    <w:t>9</w:t>
                  </w:r>
                </w:p>
              </w:tc>
              <w:tc>
                <w:tcPr>
                  <w:tcW w:w="642"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400</w:t>
                  </w:r>
                </w:p>
              </w:tc>
              <w:tc>
                <w:tcPr>
                  <w:tcW w:w="686"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250</w:t>
                  </w:r>
                </w:p>
              </w:tc>
              <w:tc>
                <w:tcPr>
                  <w:tcW w:w="695"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25</w:t>
                  </w:r>
                </w:p>
              </w:tc>
              <w:tc>
                <w:tcPr>
                  <w:tcW w:w="742"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300</w:t>
                  </w:r>
                </w:p>
              </w:tc>
              <w:tc>
                <w:tcPr>
                  <w:tcW w:w="739"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rFonts w:hint="eastAsia"/>
                      <w:color w:val="000000"/>
                    </w:rPr>
                    <w:t>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91" w:type="pct"/>
                  <w:tcBorders>
                    <w:top w:val="single" w:color="auto" w:sz="2" w:space="0"/>
                    <w:left w:val="single" w:color="auto" w:sz="2" w:space="0"/>
                    <w:bottom w:val="single" w:color="auto" w:sz="2" w:space="0"/>
                    <w:right w:val="single" w:color="auto" w:sz="2" w:space="0"/>
                  </w:tcBorders>
                  <w:vAlign w:val="center"/>
                </w:tcPr>
                <w:p>
                  <w:pPr>
                    <w:overflowPunct w:val="0"/>
                    <w:autoSpaceDE w:val="0"/>
                    <w:autoSpaceDN w:val="0"/>
                    <w:adjustRightInd w:val="0"/>
                    <w:jc w:val="center"/>
                    <w:textAlignment w:val="baseline"/>
                    <w:rPr>
                      <w:color w:val="000000"/>
                    </w:rPr>
                  </w:pPr>
                  <w:r>
                    <w:rPr>
                      <w:rFonts w:hint="eastAsia" w:eastAsiaTheme="minorEastAsia"/>
                      <w:color w:val="000000"/>
                    </w:rPr>
                    <w:t>德山</w:t>
                  </w:r>
                  <w:r>
                    <w:rPr>
                      <w:rFonts w:hint="eastAsia"/>
                      <w:color w:val="000000"/>
                    </w:rPr>
                    <w:t>污水处理厂出水标准</w:t>
                  </w:r>
                </w:p>
              </w:tc>
              <w:tc>
                <w:tcPr>
                  <w:tcW w:w="504"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6-9</w:t>
                  </w:r>
                </w:p>
              </w:tc>
              <w:tc>
                <w:tcPr>
                  <w:tcW w:w="642"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50</w:t>
                  </w:r>
                </w:p>
              </w:tc>
              <w:tc>
                <w:tcPr>
                  <w:tcW w:w="686"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10</w:t>
                  </w:r>
                </w:p>
              </w:tc>
              <w:tc>
                <w:tcPr>
                  <w:tcW w:w="695"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5</w:t>
                  </w:r>
                  <w:r>
                    <w:rPr>
                      <w:rFonts w:hint="eastAsia"/>
                      <w:color w:val="000000"/>
                    </w:rPr>
                    <w:t>（</w:t>
                  </w:r>
                  <w:r>
                    <w:rPr>
                      <w:color w:val="000000"/>
                    </w:rPr>
                    <w:t>8</w:t>
                  </w:r>
                  <w:r>
                    <w:rPr>
                      <w:rFonts w:hint="eastAsia"/>
                      <w:color w:val="000000"/>
                    </w:rPr>
                    <w:t>）</w:t>
                  </w:r>
                </w:p>
              </w:tc>
              <w:tc>
                <w:tcPr>
                  <w:tcW w:w="742"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color w:val="000000"/>
                    </w:rPr>
                    <w:t>10</w:t>
                  </w:r>
                </w:p>
              </w:tc>
              <w:tc>
                <w:tcPr>
                  <w:tcW w:w="739" w:type="pct"/>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rFonts w:hint="eastAsia"/>
                      <w:color w:val="000000"/>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 w:type="pct"/>
                  <w:gridSpan w:val="7"/>
                  <w:tcBorders>
                    <w:top w:val="single" w:color="auto" w:sz="2" w:space="0"/>
                    <w:left w:val="single" w:color="auto" w:sz="2" w:space="0"/>
                    <w:bottom w:val="single" w:color="auto" w:sz="2" w:space="0"/>
                    <w:right w:val="single" w:color="auto" w:sz="4" w:space="0"/>
                  </w:tcBorders>
                  <w:vAlign w:val="center"/>
                </w:tcPr>
                <w:p>
                  <w:pPr>
                    <w:overflowPunct w:val="0"/>
                    <w:autoSpaceDE w:val="0"/>
                    <w:autoSpaceDN w:val="0"/>
                    <w:adjustRightInd w:val="0"/>
                    <w:jc w:val="center"/>
                    <w:textAlignment w:val="baseline"/>
                    <w:rPr>
                      <w:color w:val="000000"/>
                    </w:rPr>
                  </w:pPr>
                  <w:r>
                    <w:rPr>
                      <w:rFonts w:hint="eastAsia"/>
                      <w:color w:val="000000"/>
                    </w:rPr>
                    <w:t>注：括号外数值为水温</w:t>
                  </w:r>
                  <w:r>
                    <w:rPr>
                      <w:color w:val="000000"/>
                    </w:rPr>
                    <w:t>&gt;12</w:t>
                  </w:r>
                  <w:r>
                    <w:rPr>
                      <w:rFonts w:hint="eastAsia" w:ascii="宋体" w:hAnsi="宋体" w:cs="宋体"/>
                      <w:color w:val="000000"/>
                    </w:rPr>
                    <w:t>℃</w:t>
                  </w:r>
                  <w:r>
                    <w:rPr>
                      <w:rFonts w:hint="eastAsia"/>
                      <w:color w:val="000000"/>
                    </w:rPr>
                    <w:t>时的控制指标，括号内数值为水温≤</w:t>
                  </w:r>
                  <w:r>
                    <w:rPr>
                      <w:color w:val="000000"/>
                    </w:rPr>
                    <w:t>12</w:t>
                  </w:r>
                  <w:r>
                    <w:rPr>
                      <w:rFonts w:hint="eastAsia" w:ascii="宋体" w:hAnsi="宋体" w:cs="宋体"/>
                      <w:color w:val="000000"/>
                    </w:rPr>
                    <w:t>℃</w:t>
                  </w:r>
                  <w:r>
                    <w:rPr>
                      <w:rFonts w:hint="eastAsia"/>
                      <w:color w:val="000000"/>
                    </w:rPr>
                    <w:t>时的控制指标</w:t>
                  </w:r>
                </w:p>
              </w:tc>
            </w:tr>
          </w:tbl>
          <w:p>
            <w:pPr>
              <w:adjustRightInd w:val="0"/>
              <w:snapToGrid w:val="0"/>
              <w:spacing w:before="156" w:beforeLines="50" w:line="360" w:lineRule="auto"/>
              <w:rPr>
                <w:b/>
                <w:bCs/>
              </w:rPr>
            </w:pPr>
            <w:r>
              <w:rPr>
                <w:rFonts w:hint="eastAsia"/>
                <w:b/>
                <w:bCs/>
              </w:rPr>
              <w:t>3、噪声排放标准</w:t>
            </w:r>
          </w:p>
          <w:p>
            <w:pPr>
              <w:snapToGrid w:val="0"/>
              <w:spacing w:line="360" w:lineRule="auto"/>
              <w:ind w:firstLine="420"/>
              <w:rPr>
                <w:rFonts w:hAnsiTheme="minorEastAsia" w:eastAsiaTheme="minorEastAsia"/>
              </w:rPr>
            </w:pPr>
            <w:r>
              <w:rPr>
                <w:rFonts w:hAnsiTheme="minorEastAsia" w:eastAsiaTheme="minorEastAsia"/>
              </w:rPr>
              <w:t>施工期噪声执行《建筑施工场界环境噪声排放标准》（GB12523-2011）；营运期噪声执行《工业企业厂界环境噪声排放标准》（GB12348-2008）中的</w:t>
            </w:r>
            <w:r>
              <w:rPr>
                <w:rFonts w:hint="eastAsia" w:hAnsiTheme="minorEastAsia" w:eastAsiaTheme="minorEastAsia"/>
              </w:rPr>
              <w:t>3</w:t>
            </w:r>
            <w:r>
              <w:rPr>
                <w:rFonts w:hAnsiTheme="minorEastAsia" w:eastAsiaTheme="minorEastAsia"/>
              </w:rPr>
              <w:t>类标准。</w:t>
            </w:r>
          </w:p>
          <w:p>
            <w:pPr>
              <w:pStyle w:val="17"/>
              <w:spacing w:beforeLines="0"/>
              <w:ind w:firstLine="0" w:firstLineChars="0"/>
              <w:jc w:val="center"/>
              <w:rPr>
                <w:rFonts w:hAnsiTheme="minorEastAsia" w:eastAsiaTheme="minorEastAsia"/>
                <w:b/>
                <w:bCs/>
                <w:sz w:val="21"/>
                <w:szCs w:val="21"/>
              </w:rPr>
            </w:pPr>
            <w:r>
              <w:rPr>
                <w:rFonts w:hint="eastAsia" w:hAnsiTheme="minorEastAsia" w:eastAsiaTheme="minorEastAsia"/>
                <w:b/>
                <w:bCs/>
                <w:sz w:val="21"/>
                <w:szCs w:val="21"/>
              </w:rPr>
              <w:t>表3-7  噪声污染排放标准限值一览表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83"/>
              <w:gridCol w:w="1276"/>
              <w:gridCol w:w="1275"/>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671" w:type="pct"/>
                  <w:vAlign w:val="center"/>
                </w:tcPr>
                <w:p>
                  <w:pPr>
                    <w:spacing w:line="360" w:lineRule="auto"/>
                    <w:jc w:val="center"/>
                    <w:rPr>
                      <w:b/>
                    </w:rPr>
                  </w:pPr>
                  <w:r>
                    <w:rPr>
                      <w:b/>
                    </w:rPr>
                    <w:t>标准名称及代号</w:t>
                  </w:r>
                </w:p>
              </w:tc>
              <w:tc>
                <w:tcPr>
                  <w:tcW w:w="796" w:type="pct"/>
                  <w:vAlign w:val="center"/>
                </w:tcPr>
                <w:p>
                  <w:pPr>
                    <w:spacing w:line="360" w:lineRule="auto"/>
                    <w:jc w:val="center"/>
                    <w:rPr>
                      <w:b/>
                    </w:rPr>
                  </w:pPr>
                  <w:r>
                    <w:rPr>
                      <w:b/>
                    </w:rPr>
                    <w:t>功能区</w:t>
                  </w:r>
                </w:p>
              </w:tc>
              <w:tc>
                <w:tcPr>
                  <w:tcW w:w="795" w:type="pct"/>
                  <w:vAlign w:val="center"/>
                </w:tcPr>
                <w:p>
                  <w:pPr>
                    <w:spacing w:line="360" w:lineRule="auto"/>
                    <w:jc w:val="center"/>
                    <w:rPr>
                      <w:b/>
                    </w:rPr>
                  </w:pPr>
                  <w:r>
                    <w:rPr>
                      <w:b/>
                    </w:rPr>
                    <w:t>昼间</w:t>
                  </w:r>
                </w:p>
              </w:tc>
              <w:tc>
                <w:tcPr>
                  <w:tcW w:w="738" w:type="pct"/>
                  <w:vAlign w:val="center"/>
                </w:tcPr>
                <w:p>
                  <w:pPr>
                    <w:spacing w:line="360" w:lineRule="auto"/>
                    <w:jc w:val="center"/>
                    <w:rPr>
                      <w:b/>
                    </w:rPr>
                  </w:pPr>
                  <w:r>
                    <w:rPr>
                      <w:b/>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671" w:type="pct"/>
                  <w:vAlign w:val="center"/>
                </w:tcPr>
                <w:p>
                  <w:pPr>
                    <w:spacing w:line="360" w:lineRule="auto"/>
                    <w:jc w:val="center"/>
                  </w:pPr>
                  <w:r>
                    <w:rPr>
                      <w:rFonts w:hint="eastAsia"/>
                    </w:rPr>
                    <w:t>《建筑施工场界环境噪声排放标准》（GB12523-2011）</w:t>
                  </w:r>
                </w:p>
              </w:tc>
              <w:tc>
                <w:tcPr>
                  <w:tcW w:w="796" w:type="pct"/>
                  <w:vAlign w:val="center"/>
                </w:tcPr>
                <w:p>
                  <w:pPr>
                    <w:spacing w:line="360" w:lineRule="auto"/>
                    <w:jc w:val="center"/>
                  </w:pPr>
                  <w:r>
                    <w:rPr>
                      <w:rFonts w:hint="eastAsia"/>
                    </w:rPr>
                    <w:t>/</w:t>
                  </w:r>
                </w:p>
              </w:tc>
              <w:tc>
                <w:tcPr>
                  <w:tcW w:w="795" w:type="pct"/>
                  <w:vAlign w:val="center"/>
                </w:tcPr>
                <w:p>
                  <w:pPr>
                    <w:spacing w:line="360" w:lineRule="auto"/>
                    <w:jc w:val="center"/>
                  </w:pPr>
                  <w:r>
                    <w:rPr>
                      <w:rFonts w:hint="eastAsia"/>
                    </w:rPr>
                    <w:t>7</w:t>
                  </w:r>
                </w:p>
              </w:tc>
              <w:tc>
                <w:tcPr>
                  <w:tcW w:w="738" w:type="pct"/>
                  <w:vAlign w:val="center"/>
                </w:tcPr>
                <w:p>
                  <w:pPr>
                    <w:spacing w:line="360" w:lineRule="auto"/>
                    <w:jc w:val="center"/>
                  </w:pPr>
                  <w:r>
                    <w:rPr>
                      <w:rFonts w:hint="eastAsia"/>
                    </w:rPr>
                    <w:t>5</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671" w:type="pct"/>
                  <w:vAlign w:val="center"/>
                </w:tcPr>
                <w:p>
                  <w:pPr>
                    <w:spacing w:line="360" w:lineRule="auto"/>
                    <w:jc w:val="center"/>
                  </w:pPr>
                  <w:r>
                    <w:t>《工业企业厂界环境噪声排放标准》（GB12348-2008）</w:t>
                  </w:r>
                </w:p>
              </w:tc>
              <w:tc>
                <w:tcPr>
                  <w:tcW w:w="796" w:type="pct"/>
                  <w:vAlign w:val="center"/>
                </w:tcPr>
                <w:p>
                  <w:pPr>
                    <w:spacing w:line="360" w:lineRule="auto"/>
                    <w:jc w:val="center"/>
                  </w:pPr>
                  <w:r>
                    <w:t>3类</w:t>
                  </w:r>
                </w:p>
              </w:tc>
              <w:tc>
                <w:tcPr>
                  <w:tcW w:w="795" w:type="pct"/>
                  <w:vAlign w:val="center"/>
                </w:tcPr>
                <w:p>
                  <w:pPr>
                    <w:spacing w:line="360" w:lineRule="auto"/>
                    <w:jc w:val="center"/>
                  </w:pPr>
                  <w:r>
                    <w:t>65</w:t>
                  </w:r>
                </w:p>
              </w:tc>
              <w:tc>
                <w:tcPr>
                  <w:tcW w:w="738" w:type="pct"/>
                  <w:vAlign w:val="center"/>
                </w:tcPr>
                <w:p>
                  <w:pPr>
                    <w:spacing w:line="360" w:lineRule="auto"/>
                    <w:jc w:val="center"/>
                  </w:pPr>
                  <w:r>
                    <w:t>55</w:t>
                  </w:r>
                </w:p>
              </w:tc>
            </w:tr>
          </w:tbl>
          <w:p>
            <w:pPr>
              <w:adjustRightInd w:val="0"/>
              <w:snapToGrid w:val="0"/>
              <w:spacing w:before="156" w:beforeLines="50" w:line="360" w:lineRule="auto"/>
              <w:rPr>
                <w:b/>
                <w:bCs/>
              </w:rPr>
            </w:pPr>
            <w:r>
              <w:rPr>
                <w:rFonts w:hint="eastAsia"/>
                <w:b/>
                <w:bCs/>
              </w:rPr>
              <w:t>4、固体废物</w:t>
            </w:r>
          </w:p>
          <w:p>
            <w:pPr>
              <w:snapToGrid w:val="0"/>
              <w:spacing w:line="360" w:lineRule="auto"/>
              <w:ind w:firstLine="420"/>
              <w:rPr>
                <w:rFonts w:hAnsiTheme="minorEastAsia" w:eastAsiaTheme="minorEastAsia"/>
              </w:rPr>
            </w:pPr>
            <w:r>
              <w:rPr>
                <w:rFonts w:hAnsiTheme="minorEastAsia" w:eastAsiaTheme="minorEastAsia"/>
              </w:rPr>
              <w:t>一般工业固体废物贮存、处置执行《一般工业固体废物贮存和填埋污染控制标准》（</w:t>
            </w:r>
            <w:r>
              <w:rPr>
                <w:rFonts w:eastAsiaTheme="minorEastAsia"/>
              </w:rPr>
              <w:t>GB18599-2020</w:t>
            </w:r>
            <w:r>
              <w:rPr>
                <w:rFonts w:hAnsiTheme="minorEastAsia" w:eastAsiaTheme="minorEastAsia"/>
              </w:rPr>
              <w:t>）。</w:t>
            </w:r>
            <w:r>
              <w:rPr>
                <w:rFonts w:hint="eastAsia" w:hAnsiTheme="minorEastAsia" w:eastAsiaTheme="minorEastAsia"/>
              </w:rPr>
              <w:t>生活垃圾由环卫部门清运。</w:t>
            </w:r>
          </w:p>
          <w:p>
            <w:pPr>
              <w:snapToGrid w:val="0"/>
              <w:spacing w:line="360" w:lineRule="auto"/>
              <w:ind w:firstLine="420"/>
              <w:rPr>
                <w:rFonts w:eastAsiaTheme="minorEastAsia"/>
                <w:color w:val="FF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2" w:hRule="atLeast"/>
        </w:trPr>
        <w:tc>
          <w:tcPr>
            <w:tcW w:w="817" w:type="dxa"/>
            <w:vAlign w:val="center"/>
          </w:tcPr>
          <w:p>
            <w:pPr>
              <w:spacing w:line="360" w:lineRule="auto"/>
              <w:jc w:val="center"/>
              <w:rPr>
                <w:rFonts w:ascii="宋体" w:hAnsi="宋体" w:cs="宋体"/>
              </w:rPr>
            </w:pPr>
            <w:r>
              <w:rPr>
                <w:rFonts w:hint="eastAsia" w:ascii="宋体" w:hAnsi="宋体" w:cs="宋体"/>
              </w:rPr>
              <w:t>总量</w:t>
            </w:r>
          </w:p>
          <w:p>
            <w:pPr>
              <w:spacing w:line="360" w:lineRule="auto"/>
              <w:jc w:val="center"/>
              <w:rPr>
                <w:rFonts w:ascii="宋体" w:hAnsi="宋体" w:cs="宋体"/>
              </w:rPr>
            </w:pPr>
            <w:r>
              <w:rPr>
                <w:rFonts w:hint="eastAsia" w:ascii="宋体" w:hAnsi="宋体" w:cs="宋体"/>
              </w:rPr>
              <w:t>控制</w:t>
            </w:r>
          </w:p>
          <w:p>
            <w:pPr>
              <w:spacing w:line="360" w:lineRule="auto"/>
              <w:jc w:val="center"/>
              <w:rPr>
                <w:rFonts w:ascii="宋体" w:hAnsi="宋体" w:cs="宋体"/>
                <w:color w:val="FF0000"/>
              </w:rPr>
            </w:pPr>
            <w:r>
              <w:rPr>
                <w:rFonts w:hint="eastAsia" w:ascii="宋体" w:hAnsi="宋体" w:cs="宋体"/>
              </w:rPr>
              <w:t>指标</w:t>
            </w:r>
          </w:p>
        </w:tc>
        <w:tc>
          <w:tcPr>
            <w:tcW w:w="8243" w:type="dxa"/>
          </w:tcPr>
          <w:p>
            <w:pPr>
              <w:adjustRightInd w:val="0"/>
              <w:snapToGrid w:val="0"/>
              <w:spacing w:before="156" w:beforeLines="50" w:line="360" w:lineRule="auto"/>
              <w:ind w:firstLine="420"/>
              <w:rPr>
                <w:rFonts w:hAnsiTheme="minorEastAsia" w:eastAsiaTheme="minorEastAsia"/>
              </w:rPr>
            </w:pPr>
            <w:r>
              <w:rPr>
                <w:rFonts w:hint="eastAsia" w:hAnsiTheme="minorEastAsia" w:eastAsiaTheme="minorEastAsia"/>
              </w:rPr>
              <w:t>根据国家对实施污染物排放总量控制的要求以及本项目的工艺特征和污染物排放的特点，本环评确定建设项目污染物排放总量控制因子为废水中的COD</w:t>
            </w:r>
            <w:r>
              <w:rPr>
                <w:rFonts w:hint="eastAsia" w:hAnsiTheme="minorEastAsia" w:eastAsiaTheme="minorEastAsia"/>
                <w:vertAlign w:val="subscript"/>
              </w:rPr>
              <w:t>Cr</w:t>
            </w:r>
            <w:r>
              <w:rPr>
                <w:rFonts w:hAnsiTheme="minorEastAsia" w:eastAsiaTheme="minorEastAsia"/>
              </w:rPr>
              <w:t>和</w:t>
            </w:r>
            <w:r>
              <w:rPr>
                <w:rFonts w:hint="eastAsia" w:hAnsiTheme="minorEastAsia" w:eastAsiaTheme="minorEastAsia"/>
              </w:rPr>
              <w:t>氨氮共2项。</w:t>
            </w:r>
          </w:p>
          <w:p>
            <w:pPr>
              <w:snapToGrid w:val="0"/>
              <w:spacing w:line="360" w:lineRule="auto"/>
              <w:ind w:firstLine="420"/>
              <w:rPr>
                <w:rFonts w:eastAsiaTheme="minorEastAsia"/>
              </w:rPr>
            </w:pPr>
            <w:r>
              <w:rPr>
                <w:rFonts w:eastAsiaTheme="minorEastAsia"/>
              </w:rPr>
              <w:t>1、废水污染物总量控制指标</w:t>
            </w:r>
          </w:p>
          <w:p>
            <w:pPr>
              <w:snapToGrid w:val="0"/>
              <w:spacing w:line="360" w:lineRule="auto"/>
              <w:ind w:firstLine="420"/>
              <w:rPr>
                <w:rFonts w:eastAsiaTheme="minorEastAsia"/>
              </w:rPr>
            </w:pPr>
            <w:r>
              <w:rPr>
                <w:rFonts w:hint="eastAsia" w:eastAsiaTheme="minorEastAsia"/>
              </w:rPr>
              <w:t>经厂内预处理设施处理达标后排入德山污水处理厂深度处理达到《城镇污水处理厂污染物排放标准》（GB18918-2002）一 级 A 标 准 后 排 入 沅 江 。 按 照 德山污 水 处 理 厂 处 理 后 水 质 达 到（GB18918-2002）一级 A 标准，COD≤50mg/L，NH</w:t>
            </w:r>
            <w:r>
              <w:rPr>
                <w:rFonts w:hint="eastAsia" w:eastAsiaTheme="minorEastAsia"/>
                <w:vertAlign w:val="subscript"/>
              </w:rPr>
              <w:t>3</w:t>
            </w:r>
            <w:r>
              <w:rPr>
                <w:rFonts w:hint="eastAsia" w:eastAsiaTheme="minorEastAsia"/>
              </w:rPr>
              <w:t>-N≤8mg/L。本项目排放总量如下表，应通过排污权交易获得的废水污染物的总量。</w:t>
            </w:r>
          </w:p>
          <w:p>
            <w:pPr>
              <w:snapToGrid w:val="0"/>
              <w:spacing w:line="360" w:lineRule="auto"/>
              <w:ind w:firstLine="420"/>
            </w:pPr>
            <w:r>
              <w:t>COD</w:t>
            </w:r>
            <w:r>
              <w:rPr>
                <w:vertAlign w:val="subscript"/>
              </w:rPr>
              <w:t>Cr</w:t>
            </w:r>
            <w:r>
              <w:t>：</w:t>
            </w:r>
            <w:r>
              <w:rPr>
                <w:rFonts w:hint="eastAsia" w:eastAsiaTheme="minorEastAsia"/>
              </w:rPr>
              <w:t>11720</w:t>
            </w:r>
            <w:r>
              <w:t>m</w:t>
            </w:r>
            <w:r>
              <w:rPr>
                <w:vertAlign w:val="superscript"/>
              </w:rPr>
              <w:t>3</w:t>
            </w:r>
            <w:r>
              <w:t>/a×50mg/L=</w:t>
            </w:r>
            <w:r>
              <w:rPr>
                <w:rFonts w:hint="eastAsia"/>
              </w:rPr>
              <w:t>0.586</w:t>
            </w:r>
            <w:r>
              <w:t>t/a</w:t>
            </w:r>
          </w:p>
          <w:p>
            <w:pPr>
              <w:snapToGrid w:val="0"/>
              <w:spacing w:line="360" w:lineRule="auto"/>
              <w:ind w:firstLine="420"/>
            </w:pPr>
            <w:r>
              <w:t>氨氮：</w:t>
            </w:r>
            <w:r>
              <w:rPr>
                <w:rFonts w:hint="eastAsia" w:eastAsiaTheme="minorEastAsia"/>
              </w:rPr>
              <w:t>11720</w:t>
            </w:r>
            <w:r>
              <w:t>m</w:t>
            </w:r>
            <w:r>
              <w:rPr>
                <w:vertAlign w:val="superscript"/>
              </w:rPr>
              <w:t>3</w:t>
            </w:r>
            <w:r>
              <w:t>/a×8mg/L=</w:t>
            </w:r>
            <w:r>
              <w:rPr>
                <w:rFonts w:hint="eastAsia"/>
              </w:rPr>
              <w:t>0.094</w:t>
            </w:r>
            <w:r>
              <w:t>t/a</w:t>
            </w:r>
          </w:p>
          <w:p>
            <w:pPr>
              <w:snapToGrid w:val="0"/>
              <w:spacing w:line="360" w:lineRule="auto"/>
              <w:ind w:firstLine="420"/>
            </w:pPr>
            <w:r>
              <w:t>项目污染物总量核算情况具体见下表。</w:t>
            </w:r>
          </w:p>
          <w:p>
            <w:pPr>
              <w:pStyle w:val="17"/>
              <w:spacing w:beforeLines="0"/>
              <w:ind w:firstLine="0" w:firstLineChars="0"/>
              <w:jc w:val="center"/>
              <w:rPr>
                <w:rFonts w:hAnsiTheme="minorEastAsia" w:eastAsiaTheme="minorEastAsia"/>
                <w:b/>
                <w:bCs/>
                <w:sz w:val="21"/>
                <w:szCs w:val="21"/>
              </w:rPr>
            </w:pPr>
            <w:r>
              <w:rPr>
                <w:rFonts w:hint="eastAsia" w:hAnsiTheme="minorEastAsia" w:eastAsiaTheme="minorEastAsia"/>
                <w:b/>
                <w:bCs/>
                <w:sz w:val="21"/>
                <w:szCs w:val="21"/>
              </w:rPr>
              <w:t>表3-8  项目总量核算表</w:t>
            </w: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1"/>
              <w:gridCol w:w="1866"/>
              <w:gridCol w:w="2341"/>
              <w:gridCol w:w="1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7" w:type="dxa"/>
                  <w:gridSpan w:val="2"/>
                  <w:noWrap/>
                  <w:vAlign w:val="center"/>
                </w:tcPr>
                <w:p>
                  <w:pPr>
                    <w:spacing w:line="360" w:lineRule="auto"/>
                    <w:jc w:val="center"/>
                    <w:rPr>
                      <w:b/>
                    </w:rPr>
                  </w:pPr>
                  <w:r>
                    <w:rPr>
                      <w:rFonts w:hint="eastAsia"/>
                      <w:b/>
                    </w:rPr>
                    <w:t>总量指标</w:t>
                  </w:r>
                </w:p>
              </w:tc>
              <w:tc>
                <w:tcPr>
                  <w:tcW w:w="2341" w:type="dxa"/>
                  <w:noWrap/>
                  <w:vAlign w:val="center"/>
                </w:tcPr>
                <w:p>
                  <w:pPr>
                    <w:spacing w:line="360" w:lineRule="auto"/>
                    <w:jc w:val="center"/>
                    <w:rPr>
                      <w:b/>
                    </w:rPr>
                  </w:pPr>
                  <w:r>
                    <w:rPr>
                      <w:rFonts w:hint="eastAsia"/>
                      <w:b/>
                    </w:rPr>
                    <w:t>排放标准核算量</w:t>
                  </w:r>
                </w:p>
              </w:tc>
              <w:tc>
                <w:tcPr>
                  <w:tcW w:w="1709" w:type="dxa"/>
                  <w:vAlign w:val="center"/>
                </w:tcPr>
                <w:p>
                  <w:pPr>
                    <w:spacing w:line="360" w:lineRule="auto"/>
                    <w:jc w:val="center"/>
                    <w:rPr>
                      <w:b/>
                    </w:rPr>
                  </w:pPr>
                  <w:r>
                    <w:rPr>
                      <w:rFonts w:hint="eastAsia"/>
                      <w:b/>
                    </w:rPr>
                    <w:t>建议购买量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1" w:type="dxa"/>
                  <w:vMerge w:val="restart"/>
                  <w:noWrap/>
                  <w:vAlign w:val="center"/>
                </w:tcPr>
                <w:p>
                  <w:pPr>
                    <w:spacing w:line="360" w:lineRule="auto"/>
                    <w:jc w:val="center"/>
                  </w:pPr>
                  <w:r>
                    <w:rPr>
                      <w:rFonts w:hint="eastAsia"/>
                    </w:rPr>
                    <w:t>废水</w:t>
                  </w:r>
                </w:p>
              </w:tc>
              <w:tc>
                <w:tcPr>
                  <w:tcW w:w="1866" w:type="dxa"/>
                  <w:vAlign w:val="center"/>
                </w:tcPr>
                <w:p>
                  <w:pPr>
                    <w:spacing w:line="360" w:lineRule="auto"/>
                    <w:jc w:val="center"/>
                  </w:pPr>
                  <w:r>
                    <w:rPr>
                      <w:rFonts w:hint="eastAsia"/>
                    </w:rPr>
                    <w:t>COD</w:t>
                  </w:r>
                  <w:r>
                    <w:rPr>
                      <w:rFonts w:hint="eastAsia"/>
                      <w:vertAlign w:val="subscript"/>
                    </w:rPr>
                    <w:t>Cr</w:t>
                  </w:r>
                </w:p>
              </w:tc>
              <w:tc>
                <w:tcPr>
                  <w:tcW w:w="2341" w:type="dxa"/>
                  <w:noWrap/>
                  <w:vAlign w:val="center"/>
                </w:tcPr>
                <w:p>
                  <w:pPr>
                    <w:spacing w:line="360" w:lineRule="auto"/>
                    <w:jc w:val="center"/>
                  </w:pPr>
                  <w:r>
                    <w:rPr>
                      <w:rFonts w:hint="eastAsia"/>
                    </w:rPr>
                    <w:t>0.586t/a</w:t>
                  </w:r>
                </w:p>
              </w:tc>
              <w:tc>
                <w:tcPr>
                  <w:tcW w:w="1709" w:type="dxa"/>
                  <w:vAlign w:val="center"/>
                </w:tcPr>
                <w:p>
                  <w:pPr>
                    <w:spacing w:line="360" w:lineRule="auto"/>
                    <w:jc w:val="center"/>
                  </w:pPr>
                  <w:r>
                    <w:rPr>
                      <w:rFonts w:hint="eastAsia"/>
                    </w:rPr>
                    <w:t>0.59t/a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1" w:type="dxa"/>
                  <w:vMerge w:val="continue"/>
                  <w:noWrap/>
                  <w:vAlign w:val="center"/>
                </w:tcPr>
                <w:p>
                  <w:pPr>
                    <w:spacing w:line="360" w:lineRule="auto"/>
                    <w:jc w:val="center"/>
                  </w:pPr>
                </w:p>
              </w:tc>
              <w:tc>
                <w:tcPr>
                  <w:tcW w:w="1866" w:type="dxa"/>
                  <w:vAlign w:val="center"/>
                </w:tcPr>
                <w:p>
                  <w:pPr>
                    <w:spacing w:line="360" w:lineRule="auto"/>
                    <w:jc w:val="center"/>
                  </w:pPr>
                  <w:r>
                    <w:rPr>
                      <w:rFonts w:hint="eastAsia"/>
                    </w:rPr>
                    <w:t>氨氮</w:t>
                  </w:r>
                </w:p>
              </w:tc>
              <w:tc>
                <w:tcPr>
                  <w:tcW w:w="2341" w:type="dxa"/>
                  <w:noWrap/>
                  <w:vAlign w:val="center"/>
                </w:tcPr>
                <w:p>
                  <w:pPr>
                    <w:spacing w:line="360" w:lineRule="auto"/>
                    <w:jc w:val="center"/>
                  </w:pPr>
                  <w:r>
                    <w:rPr>
                      <w:rFonts w:hint="eastAsia"/>
                    </w:rPr>
                    <w:t>0.094t/a</w:t>
                  </w:r>
                </w:p>
              </w:tc>
              <w:tc>
                <w:tcPr>
                  <w:tcW w:w="1709" w:type="dxa"/>
                  <w:vAlign w:val="center"/>
                </w:tcPr>
                <w:p>
                  <w:pPr>
                    <w:spacing w:line="360" w:lineRule="auto"/>
                    <w:jc w:val="center"/>
                  </w:pPr>
                  <w:r>
                    <w:rPr>
                      <w:rFonts w:hint="eastAsia"/>
                    </w:rPr>
                    <w:t>0.1t/a</w:t>
                  </w:r>
                </w:p>
              </w:tc>
            </w:tr>
          </w:tbl>
          <w:p>
            <w:pPr>
              <w:snapToGrid w:val="0"/>
              <w:spacing w:before="156" w:beforeLines="50" w:line="360" w:lineRule="auto"/>
              <w:ind w:firstLine="420"/>
              <w:rPr>
                <w:rFonts w:eastAsiaTheme="minorEastAsia"/>
              </w:rPr>
            </w:pPr>
            <w:r>
              <w:rPr>
                <w:rFonts w:hint="eastAsia" w:eastAsiaTheme="minorEastAsia"/>
              </w:rPr>
              <w:t>2</w:t>
            </w:r>
            <w:r>
              <w:rPr>
                <w:rFonts w:eastAsiaTheme="minorEastAsia"/>
              </w:rPr>
              <w:t>、废气污染物总量控制指标</w:t>
            </w:r>
          </w:p>
          <w:p>
            <w:pPr>
              <w:adjustRightInd w:val="0"/>
              <w:snapToGrid w:val="0"/>
              <w:spacing w:line="360" w:lineRule="auto"/>
              <w:ind w:firstLine="420" w:firstLineChars="200"/>
            </w:pPr>
            <w:r>
              <w:rPr>
                <w:rFonts w:hint="eastAsia"/>
              </w:rPr>
              <w:t>排放总量为烟气量与污染因子标准排放浓度的乘积。</w:t>
            </w:r>
          </w:p>
          <w:p>
            <w:pPr>
              <w:adjustRightInd w:val="0"/>
              <w:snapToGrid w:val="0"/>
              <w:spacing w:line="360" w:lineRule="auto"/>
              <w:ind w:firstLine="420" w:firstLineChars="200"/>
            </w:pPr>
            <w:r>
              <w:t>SO</w:t>
            </w:r>
            <w:r>
              <w:rPr>
                <w:vertAlign w:val="subscript"/>
              </w:rPr>
              <w:t>2</w:t>
            </w:r>
            <w:r>
              <w:t>总量计算过程及结果：</w:t>
            </w:r>
            <w:r>
              <w:rPr>
                <w:rFonts w:hint="eastAsia"/>
              </w:rPr>
              <w:t>200</w:t>
            </w:r>
            <w:r>
              <w:t>mg/m</w:t>
            </w:r>
            <w:r>
              <w:rPr>
                <w:vertAlign w:val="superscript"/>
              </w:rPr>
              <w:t>3</w:t>
            </w:r>
            <w:r>
              <w:t>×</w:t>
            </w:r>
            <w:r>
              <w:rPr>
                <w:rFonts w:hint="eastAsia"/>
              </w:rPr>
              <w:t>12300000</w:t>
            </w:r>
            <w:r>
              <w:t>m</w:t>
            </w:r>
            <w:r>
              <w:rPr>
                <w:vertAlign w:val="superscript"/>
              </w:rPr>
              <w:t>3</w:t>
            </w:r>
            <w:r>
              <w:t>/a÷10</w:t>
            </w:r>
            <w:r>
              <w:rPr>
                <w:vertAlign w:val="superscript"/>
              </w:rPr>
              <w:t>9</w:t>
            </w:r>
            <w:r>
              <w:t>=</w:t>
            </w:r>
            <w:r>
              <w:rPr>
                <w:rFonts w:hint="eastAsia"/>
              </w:rPr>
              <w:t>2.46</w:t>
            </w:r>
            <w:r>
              <w:t>t/a</w:t>
            </w:r>
          </w:p>
          <w:p>
            <w:pPr>
              <w:adjustRightInd w:val="0"/>
              <w:snapToGrid w:val="0"/>
              <w:spacing w:line="360" w:lineRule="auto"/>
              <w:ind w:firstLine="420" w:firstLineChars="200"/>
            </w:pPr>
            <w:r>
              <w:t>NOx总量计算过程及结果</w:t>
            </w:r>
            <w:r>
              <w:rPr>
                <w:rFonts w:hint="eastAsia"/>
              </w:rPr>
              <w:t>：30</w:t>
            </w:r>
            <w:r>
              <w:t>0mg/m</w:t>
            </w:r>
            <w:r>
              <w:rPr>
                <w:vertAlign w:val="superscript"/>
              </w:rPr>
              <w:t>3</w:t>
            </w:r>
            <w:r>
              <w:t>×</w:t>
            </w:r>
            <w:r>
              <w:rPr>
                <w:rFonts w:hint="eastAsia"/>
              </w:rPr>
              <w:t>12300000</w:t>
            </w:r>
            <w:r>
              <w:t>m</w:t>
            </w:r>
            <w:r>
              <w:rPr>
                <w:vertAlign w:val="superscript"/>
              </w:rPr>
              <w:t>3</w:t>
            </w:r>
            <w:r>
              <w:t>/a÷10</w:t>
            </w:r>
            <w:r>
              <w:rPr>
                <w:vertAlign w:val="superscript"/>
              </w:rPr>
              <w:t>9</w:t>
            </w:r>
            <w:r>
              <w:t>=</w:t>
            </w:r>
            <w:r>
              <w:rPr>
                <w:rFonts w:hint="eastAsia"/>
              </w:rPr>
              <w:t>3.69t</w:t>
            </w:r>
            <w:r>
              <w:t>/a</w:t>
            </w:r>
          </w:p>
          <w:p>
            <w:pPr>
              <w:adjustRightInd w:val="0"/>
              <w:snapToGrid w:val="0"/>
              <w:spacing w:line="360" w:lineRule="auto"/>
              <w:ind w:firstLine="420" w:firstLineChars="200"/>
            </w:pPr>
            <w:r>
              <w:rPr>
                <w:rFonts w:hint="eastAsia"/>
              </w:rPr>
              <w:t>本项目设置大气总量控制指标设置为SO</w:t>
            </w:r>
            <w:r>
              <w:rPr>
                <w:rFonts w:hint="eastAsia"/>
                <w:vertAlign w:val="subscript"/>
              </w:rPr>
              <w:t>2</w:t>
            </w:r>
            <w:r>
              <w:rPr>
                <w:rFonts w:hint="eastAsia"/>
              </w:rPr>
              <w:t>：2.46t/a，NO</w:t>
            </w:r>
            <w:r>
              <w:rPr>
                <w:rFonts w:hint="eastAsia"/>
                <w:vertAlign w:val="subscript"/>
              </w:rPr>
              <w:t>X</w:t>
            </w:r>
            <w:r>
              <w:rPr>
                <w:rFonts w:hint="eastAsia"/>
              </w:rPr>
              <w:t>：3.69t/a。</w:t>
            </w:r>
          </w:p>
          <w:p>
            <w:pPr>
              <w:adjustRightInd w:val="0"/>
              <w:snapToGrid w:val="0"/>
              <w:spacing w:line="360" w:lineRule="auto"/>
              <w:ind w:firstLine="420" w:firstLineChars="200"/>
              <w:rPr>
                <w:color w:val="FF0000"/>
              </w:rPr>
            </w:pPr>
            <w:r>
              <w:rPr>
                <w:rFonts w:hint="eastAsia"/>
              </w:rPr>
              <w:t>项目总量控制指标以常德市生态环境局核发的总量指标为准。建设单位应全面落实各项污染物控制措施，确保实现总量控制指标。</w:t>
            </w:r>
          </w:p>
        </w:tc>
      </w:tr>
    </w:tbl>
    <w:p>
      <w:pPr>
        <w:pStyle w:val="3"/>
        <w:jc w:val="center"/>
        <w:rPr>
          <w:rFonts w:ascii="黑体" w:hAnsi="黑体" w:eastAsia="黑体"/>
          <w:b w:val="0"/>
          <w:bCs w:val="0"/>
          <w:color w:val="FF0000"/>
          <w:sz w:val="30"/>
          <w:szCs w:val="30"/>
        </w:rPr>
        <w:sectPr>
          <w:pgSz w:w="11906" w:h="16838"/>
          <w:pgMar w:top="1701" w:right="1531" w:bottom="1701" w:left="1531" w:header="851" w:footer="992" w:gutter="0"/>
          <w:pgNumType w:fmt="numberInDash"/>
          <w:cols w:space="425" w:num="1"/>
          <w:docGrid w:type="lines" w:linePitch="312" w:charSpace="0"/>
        </w:sectPr>
      </w:pPr>
    </w:p>
    <w:p>
      <w:pPr>
        <w:pStyle w:val="3"/>
        <w:jc w:val="center"/>
        <w:rPr>
          <w:rFonts w:ascii="黑体" w:hAnsi="黑体" w:eastAsia="黑体"/>
          <w:b w:val="0"/>
          <w:bCs w:val="0"/>
          <w:sz w:val="30"/>
          <w:szCs w:val="30"/>
        </w:rPr>
      </w:pPr>
      <w:bookmarkStart w:id="3" w:name="_Toc100330845"/>
      <w:r>
        <w:rPr>
          <w:rFonts w:hint="eastAsia" w:ascii="黑体" w:hAnsi="黑体" w:eastAsia="黑体"/>
          <w:b w:val="0"/>
          <w:bCs w:val="0"/>
          <w:sz w:val="30"/>
          <w:szCs w:val="30"/>
        </w:rPr>
        <w:t>四、主要环境影响和保护措施</w:t>
      </w:r>
      <w:bookmarkEnd w:id="3"/>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spacing w:before="0" w:beforeAutospacing="0" w:after="0" w:afterAutospacing="0" w:line="360" w:lineRule="auto"/>
              <w:jc w:val="center"/>
              <w:rPr>
                <w:rFonts w:cs="宋体"/>
                <w:sz w:val="21"/>
                <w:szCs w:val="21"/>
              </w:rPr>
            </w:pPr>
            <w:r>
              <w:rPr>
                <w:rFonts w:hint="eastAsia" w:cs="宋体"/>
                <w:sz w:val="21"/>
                <w:szCs w:val="21"/>
              </w:rPr>
              <w:t>施工</w:t>
            </w:r>
          </w:p>
          <w:p>
            <w:pPr>
              <w:pStyle w:val="15"/>
              <w:spacing w:before="0" w:beforeAutospacing="0" w:after="0" w:afterAutospacing="0" w:line="360" w:lineRule="auto"/>
              <w:jc w:val="center"/>
              <w:rPr>
                <w:rFonts w:cs="宋体"/>
                <w:sz w:val="21"/>
                <w:szCs w:val="21"/>
              </w:rPr>
            </w:pPr>
            <w:r>
              <w:rPr>
                <w:rFonts w:hint="eastAsia" w:cs="宋体"/>
                <w:sz w:val="21"/>
                <w:szCs w:val="21"/>
              </w:rPr>
              <w:t>期环</w:t>
            </w:r>
          </w:p>
          <w:p>
            <w:pPr>
              <w:pStyle w:val="15"/>
              <w:spacing w:before="0" w:beforeAutospacing="0" w:after="0" w:afterAutospacing="0" w:line="360" w:lineRule="auto"/>
              <w:jc w:val="center"/>
              <w:rPr>
                <w:rFonts w:cs="宋体"/>
                <w:sz w:val="21"/>
                <w:szCs w:val="21"/>
              </w:rPr>
            </w:pPr>
            <w:r>
              <w:rPr>
                <w:rFonts w:hint="eastAsia" w:cs="宋体"/>
                <w:sz w:val="21"/>
                <w:szCs w:val="21"/>
              </w:rPr>
              <w:t>境保</w:t>
            </w:r>
          </w:p>
          <w:p>
            <w:pPr>
              <w:pStyle w:val="15"/>
              <w:spacing w:before="0" w:beforeAutospacing="0" w:after="0" w:afterAutospacing="0" w:line="360" w:lineRule="auto"/>
              <w:jc w:val="center"/>
              <w:rPr>
                <w:rFonts w:cs="宋体"/>
                <w:sz w:val="21"/>
                <w:szCs w:val="21"/>
              </w:rPr>
            </w:pPr>
            <w:r>
              <w:rPr>
                <w:rFonts w:hint="eastAsia" w:cs="宋体"/>
                <w:sz w:val="21"/>
                <w:szCs w:val="21"/>
              </w:rPr>
              <w:t>护措</w:t>
            </w:r>
          </w:p>
          <w:p>
            <w:pPr>
              <w:spacing w:line="360" w:lineRule="auto"/>
              <w:jc w:val="center"/>
              <w:rPr>
                <w:color w:val="FF0000"/>
              </w:rPr>
            </w:pPr>
            <w:r>
              <w:rPr>
                <w:rFonts w:hint="eastAsia" w:cs="宋体"/>
              </w:rPr>
              <w:t>施</w:t>
            </w:r>
          </w:p>
        </w:tc>
        <w:tc>
          <w:tcPr>
            <w:tcW w:w="8243" w:type="dxa"/>
          </w:tcPr>
          <w:p>
            <w:pPr>
              <w:adjustRightInd w:val="0"/>
              <w:snapToGrid w:val="0"/>
              <w:spacing w:before="156" w:beforeLines="50" w:line="360" w:lineRule="auto"/>
              <w:rPr>
                <w:b/>
                <w:bCs/>
              </w:rPr>
            </w:pPr>
            <w:r>
              <w:rPr>
                <w:rFonts w:hint="eastAsia"/>
                <w:b/>
                <w:bCs/>
              </w:rPr>
              <w:t>1、施工扬尘</w:t>
            </w:r>
          </w:p>
          <w:p>
            <w:pPr>
              <w:snapToGrid w:val="0"/>
              <w:spacing w:line="360" w:lineRule="auto"/>
              <w:ind w:firstLine="420"/>
            </w:pPr>
            <w:r>
              <w:rPr>
                <w:rFonts w:hint="eastAsia"/>
              </w:rPr>
              <w:t>为了减轻扬尘对周围居民的影响，在施工期间应制定严格的污染防治措施控制扬尘，严格按照《防治城市扬尘污染技术规范》（HJ/T2007）及《常德市污染防治攻坚战三年行动计划（2018-2020年）》（湘政发[2018]15号）、常德市住房和城乡建设局关于印发《常德市建筑施工扬尘防治管理规定》的通知（常建通[2017]50号）的要求防治扬尘污染。建设单位应采取以下扬尘污染防治措施：</w:t>
            </w:r>
          </w:p>
          <w:p>
            <w:pPr>
              <w:snapToGrid w:val="0"/>
              <w:spacing w:line="360" w:lineRule="auto"/>
              <w:ind w:firstLine="420"/>
            </w:pPr>
            <w:r>
              <w:rPr>
                <w:rFonts w:hint="eastAsia"/>
              </w:rPr>
              <w:t>（1）建筑工地施工现场管理做到“六必须”、“六不准”；必须高标准封闭作业、必须硬化道路及作业区、必须设置洗车平台并配备冲洗设备、必须湿法作业、必须配齐保洁人员、必须定时清洗施工场地。不准车辆带泥出门、不准运渣车辆冒顶装载、不准高空抛洒建筑垃圾、不准现场搅拌混泥土、不准场地积水、不准现场焚烧废弃物。</w:t>
            </w:r>
          </w:p>
          <w:p>
            <w:pPr>
              <w:snapToGrid w:val="0"/>
              <w:spacing w:line="360" w:lineRule="auto"/>
              <w:ind w:firstLine="420"/>
            </w:pPr>
            <w:r>
              <w:rPr>
                <w:rFonts w:hint="eastAsia"/>
              </w:rPr>
              <w:t>（2）施工现场四周应连续设置硬质密闭围挡，不得留有缺口，底边要封闭，不得有泥浆外漏。</w:t>
            </w:r>
          </w:p>
          <w:p>
            <w:pPr>
              <w:snapToGrid w:val="0"/>
              <w:spacing w:line="360" w:lineRule="auto"/>
              <w:ind w:firstLine="420"/>
            </w:pPr>
            <w:r>
              <w:rPr>
                <w:rFonts w:hint="eastAsia"/>
              </w:rPr>
              <w:t>（3）施工现场的围挡上方必须沿围挡加装喷雾系统，每隔2米设置1个高压雾化喷头，施工区域要能形成大量水雾，吸附工地上扬起的粉尘颗粒物；施工期间除雨天外每小时开动喷雾系统不少于30分钟，时间间隔为10分钟。喷雾系统参数应满足规定标准。施工现场的塔吊应安装喷淋系统。</w:t>
            </w:r>
          </w:p>
          <w:p>
            <w:pPr>
              <w:snapToGrid w:val="0"/>
              <w:spacing w:line="360" w:lineRule="auto"/>
              <w:ind w:firstLine="420"/>
            </w:pPr>
            <w:r>
              <w:rPr>
                <w:rFonts w:hint="eastAsia"/>
              </w:rPr>
              <w:t>（4）施工现场所有车辆出口应按规定设置自动冲洗设施，包括冲洗平台、自动洗车机、过水槽、冲洗软管、冲洗枪、排水沟、循环用水装置等，必须收集洗车过程中产生的废水和泥浆，确保车辆不带泥上路、净车出场。</w:t>
            </w:r>
          </w:p>
          <w:p>
            <w:pPr>
              <w:snapToGrid w:val="0"/>
              <w:spacing w:line="360" w:lineRule="auto"/>
              <w:ind w:firstLine="420"/>
            </w:pPr>
            <w:r>
              <w:rPr>
                <w:rFonts w:hint="eastAsia"/>
              </w:rPr>
              <w:t>（5）控制车速：施工场地的扬尘，大部分来自施工车辆。根据本报告工程分析，在同样清洁程度的条件下，车速越慢，扬尘量越小。施工车辆在进入施工场地后，需减速行驶，以减少施工场地扬尘，建议行驶车速不大于5km/hr。此时的扬尘量可减少为一般行驶速度（15km/hr计）情况下的1/3。</w:t>
            </w:r>
          </w:p>
          <w:p>
            <w:pPr>
              <w:snapToGrid w:val="0"/>
              <w:spacing w:line="360" w:lineRule="auto"/>
              <w:ind w:firstLine="420"/>
            </w:pPr>
            <w:r>
              <w:rPr>
                <w:rFonts w:hint="eastAsia"/>
              </w:rPr>
              <w:t>（6）在非降雨期间，施工现场必须定期洒水降尘，洒水次数每天不得少于3次，确保施工现场道路保持潮湿状态，鼓励施工单位沿道路设置自动喷淋设施，实现自动洒水降尘。</w:t>
            </w:r>
          </w:p>
          <w:p>
            <w:pPr>
              <w:snapToGrid w:val="0"/>
              <w:spacing w:line="360" w:lineRule="auto"/>
              <w:ind w:firstLine="420"/>
            </w:pPr>
            <w:r>
              <w:rPr>
                <w:rFonts w:hint="eastAsia"/>
              </w:rPr>
              <w:t>（7）避免大风天气作业：在施工场地上设置专人负责建筑垃圾、建筑材料的处置、清运和堆放，堆放场地应避开居民区的上风向，工地内的裸露土、临时堆放垃圾必须进行覆盖，施工现场内裸置3个月以上的土地，应采取覆盖草皮等绿化措施。裸置3个月以下的土地，应当采取绿化措施或采用绿色防尘网覆盖并定时洒水；禁止在施工现场露天堆放水泥和石灰，禁止现场搅拌混凝土，不得进行敞开式有扬尘的加工作业。施工现场禁止凌空抛撒建筑废弃物，禁止焚烧各类废弃物。</w:t>
            </w:r>
          </w:p>
          <w:p>
            <w:pPr>
              <w:snapToGrid w:val="0"/>
              <w:spacing w:line="360" w:lineRule="auto"/>
              <w:ind w:firstLine="420"/>
            </w:pPr>
            <w:r>
              <w:rPr>
                <w:rFonts w:hint="eastAsia"/>
              </w:rPr>
              <w:t>（8）运载车辆必须密闭运输，车箱顶盖必须盖实，防止撒漏；建设业主或施工企业（包括土地平整工程业主）必须与经过核准的渣土运输企业（要求有密闭符合规定的土石方运输车辆）签订渣土承运合同；混凝土运输罐车必须加挂防止洒漏混凝土泥浆的设施，罐车出建设工地和混凝土生产基地必须进行冲洗，不得带泥上路运输。</w:t>
            </w:r>
          </w:p>
          <w:p>
            <w:pPr>
              <w:snapToGrid w:val="0"/>
              <w:spacing w:line="360" w:lineRule="auto"/>
              <w:ind w:firstLine="420"/>
            </w:pPr>
            <w:r>
              <w:rPr>
                <w:rFonts w:hint="eastAsia"/>
              </w:rPr>
              <w:t>施工期废气以施工扬尘污染为主，施工过程中认真落实上述污染防治措施后，废气污染可得到有效控制和达标排放，对周边空气环境影响较小。</w:t>
            </w:r>
          </w:p>
          <w:p>
            <w:pPr>
              <w:autoSpaceDE w:val="0"/>
              <w:autoSpaceDN w:val="0"/>
              <w:adjustRightInd w:val="0"/>
              <w:snapToGrid w:val="0"/>
              <w:spacing w:line="360" w:lineRule="auto"/>
              <w:rPr>
                <w:b/>
                <w:kern w:val="0"/>
              </w:rPr>
            </w:pPr>
            <w:r>
              <w:rPr>
                <w:rFonts w:hint="eastAsia"/>
                <w:b/>
                <w:kern w:val="0"/>
              </w:rPr>
              <w:t>2、施工废水</w:t>
            </w:r>
          </w:p>
          <w:p>
            <w:pPr>
              <w:snapToGrid w:val="0"/>
              <w:spacing w:line="360" w:lineRule="auto"/>
              <w:ind w:firstLine="420"/>
            </w:pPr>
            <w:r>
              <w:rPr>
                <w:rFonts w:hint="eastAsia"/>
              </w:rPr>
              <w:t>项目施工过程产生的混凝土养护排水、各种设备维护和清洗废水、车辆冲洗废水、大雨冲刷浮土及泥沙等产生的地表径流污水等都会对水体产生一定的污染。含泥沙废水的产生量与降雨量的大小以及施工面的大小有关，同时还与施工场区内所采取的排水措施有关。项目拟在施工场地内开挖临时雨水排水沟，设置隔油池，施工废水经隔油沉淀后，上清液可循环使用或用于施工场地的降尘用水，污泥部分及时清理。尽量减少雨季施工，避免冒雨施工。设备、车辆洗涤水经沉淀池处理后循环使用，禁止此类废水直接外排。沉淀池内淤泥必须定期清理，定期与建筑垃圾一起清运至有关部门指定的建筑垃圾堆填地点处置。在施工过程中加强对机械设备的检修和维护，以防止设备漏油现象的发生，施工机械设备的维修拟在专业厂家进行。</w:t>
            </w:r>
          </w:p>
          <w:p>
            <w:pPr>
              <w:snapToGrid w:val="0"/>
              <w:spacing w:line="360" w:lineRule="auto"/>
              <w:ind w:firstLine="420"/>
            </w:pPr>
            <w:r>
              <w:rPr>
                <w:rFonts w:hint="eastAsia"/>
              </w:rPr>
              <w:t>项目施工场地预先修好集排水管路，将废水收集并作沉淀处理后回用于施工场地内及道路洒水降水，不会出现施工污水径流或施工污水储存成池的现象，对周围水环境造成影响很小。</w:t>
            </w:r>
          </w:p>
          <w:p>
            <w:pPr>
              <w:snapToGrid w:val="0"/>
              <w:spacing w:line="360" w:lineRule="auto"/>
              <w:ind w:firstLine="420"/>
            </w:pPr>
            <w:r>
              <w:rPr>
                <w:rFonts w:hint="eastAsia"/>
              </w:rPr>
              <w:t>项目不设施工营地，生活污水主要为施工人员如厕冲洗水，生活污水依托场地内现有化粪池预处理后纳入园区污水管网。</w:t>
            </w:r>
          </w:p>
          <w:p>
            <w:pPr>
              <w:autoSpaceDE w:val="0"/>
              <w:autoSpaceDN w:val="0"/>
              <w:adjustRightInd w:val="0"/>
              <w:snapToGrid w:val="0"/>
              <w:spacing w:line="360" w:lineRule="auto"/>
              <w:rPr>
                <w:b/>
                <w:kern w:val="0"/>
              </w:rPr>
            </w:pPr>
            <w:r>
              <w:rPr>
                <w:rFonts w:hint="eastAsia"/>
                <w:b/>
                <w:kern w:val="0"/>
              </w:rPr>
              <w:t>3、噪声</w:t>
            </w:r>
          </w:p>
          <w:p>
            <w:pPr>
              <w:snapToGrid w:val="0"/>
              <w:spacing w:line="360" w:lineRule="auto"/>
              <w:ind w:firstLine="420"/>
            </w:pPr>
            <w:r>
              <w:rPr>
                <w:rFonts w:hint="eastAsia"/>
              </w:rPr>
              <w:t>为了确保项目施工作业噪声排放满足《建筑施工场界环境噪声排放标准》（GB12523-2011）的标准限值，本次环评提出项目施工时应采取如下措施：</w:t>
            </w:r>
          </w:p>
          <w:p>
            <w:pPr>
              <w:snapToGrid w:val="0"/>
              <w:spacing w:line="360" w:lineRule="auto"/>
              <w:ind w:firstLine="420"/>
            </w:pPr>
            <w:r>
              <w:rPr>
                <w:rFonts w:hint="eastAsia"/>
              </w:rPr>
              <w:t>（1）施工单位必须按国家关于建筑施工场界噪声的要求进行施工，并尽量分散噪声源，在靠近敏感目标一侧，避免多个设备同时使用，减少对周围环境的影响；</w:t>
            </w:r>
          </w:p>
          <w:p>
            <w:pPr>
              <w:snapToGrid w:val="0"/>
              <w:spacing w:line="360" w:lineRule="auto"/>
              <w:ind w:firstLine="420"/>
            </w:pPr>
            <w:r>
              <w:rPr>
                <w:rFonts w:hint="eastAsia"/>
              </w:rPr>
              <w:t>（2）在施工设备和方法中加以考虑，尽量采用低噪声机械，从源头控制噪声源强；</w:t>
            </w:r>
          </w:p>
          <w:p>
            <w:pPr>
              <w:snapToGrid w:val="0"/>
              <w:spacing w:line="360" w:lineRule="auto"/>
              <w:ind w:firstLine="420"/>
            </w:pPr>
            <w:r>
              <w:rPr>
                <w:rFonts w:hint="eastAsia"/>
              </w:rPr>
              <w:t>（3）施工设备需严格做好隔声、减振、消声等措施，控制设备噪声；</w:t>
            </w:r>
          </w:p>
          <w:p>
            <w:pPr>
              <w:snapToGrid w:val="0"/>
              <w:spacing w:line="360" w:lineRule="auto"/>
              <w:ind w:firstLine="420"/>
            </w:pPr>
            <w:r>
              <w:rPr>
                <w:rFonts w:hint="eastAsia"/>
              </w:rPr>
              <w:t>（4）施工过程中，经常对施工设备进行维修保养，避免由于设备性能减退使噪声增大；</w:t>
            </w:r>
          </w:p>
          <w:p>
            <w:pPr>
              <w:snapToGrid w:val="0"/>
              <w:spacing w:line="360" w:lineRule="auto"/>
              <w:ind w:firstLine="420"/>
            </w:pPr>
            <w:r>
              <w:rPr>
                <w:rFonts w:hint="eastAsia"/>
              </w:rPr>
              <w:t>（5）合理安排施工时间，22:00-6:00，12:00-14:30严禁打桩、浇筑、切割等高噪声施工作业；</w:t>
            </w:r>
          </w:p>
          <w:p>
            <w:pPr>
              <w:snapToGrid w:val="0"/>
              <w:spacing w:line="360" w:lineRule="auto"/>
              <w:ind w:firstLine="420"/>
            </w:pPr>
            <w:r>
              <w:rPr>
                <w:rFonts w:hint="eastAsia"/>
              </w:rPr>
              <w:t>（6）在施工场地四周设置连续、封闭硬质围挡作为声屏障，围挡不低于2.5m，以减轻设备噪声对周围环境的影响；</w:t>
            </w:r>
          </w:p>
          <w:p>
            <w:pPr>
              <w:snapToGrid w:val="0"/>
              <w:spacing w:line="360" w:lineRule="auto"/>
              <w:ind w:firstLine="420"/>
            </w:pPr>
            <w:r>
              <w:rPr>
                <w:rFonts w:hint="eastAsia"/>
              </w:rPr>
              <w:t>在严格落实以上措施，确保场界噪声排放《建筑施工场界环境噪声排放标准》（GB12523-2011）中的相关要求的前提下，可将对周边环境的影响降至可接受水平，防治措施可行。</w:t>
            </w:r>
          </w:p>
          <w:p>
            <w:pPr>
              <w:autoSpaceDE w:val="0"/>
              <w:autoSpaceDN w:val="0"/>
              <w:adjustRightInd w:val="0"/>
              <w:snapToGrid w:val="0"/>
              <w:spacing w:line="360" w:lineRule="auto"/>
              <w:rPr>
                <w:b/>
                <w:kern w:val="0"/>
              </w:rPr>
            </w:pPr>
            <w:r>
              <w:rPr>
                <w:rFonts w:hint="eastAsia"/>
                <w:b/>
                <w:kern w:val="0"/>
              </w:rPr>
              <w:t>4、固体废物</w:t>
            </w:r>
          </w:p>
          <w:p>
            <w:pPr>
              <w:snapToGrid w:val="0"/>
              <w:spacing w:line="360" w:lineRule="auto"/>
              <w:ind w:firstLine="420"/>
            </w:pPr>
            <w:r>
              <w:rPr>
                <w:rFonts w:hint="eastAsia"/>
              </w:rPr>
              <w:t>施工现场产生的固体废物以建筑垃圾为主。建筑垃圾的堆放不仅影响景观，而且还容易引起扬尘等环境问题，为避免这些问题的出现，建设单位对施工期间产生的固体废物须进行分类收集、分类暂存，建筑垃圾暂存点要做好防护工作，及时进行覆盖，避免风吹、雨淋散失或流失；建筑垃圾中能够回收利用的尽量回收综合利用，不能回收利用的委托渣土部门处置。车辆运输散体物和废弃物时，必须密封、覆盖，不得沿途撒漏；运载土方的车辆必须在规定的时间内，按指定路段行驶。施工人员产生的生活垃圾收集后由环卫部门统一收集处理。</w:t>
            </w:r>
          </w:p>
          <w:p>
            <w:pPr>
              <w:snapToGrid w:val="0"/>
              <w:spacing w:line="360" w:lineRule="auto"/>
              <w:ind w:firstLine="420"/>
              <w:rPr>
                <w:color w:val="FF0000"/>
              </w:rPr>
            </w:pPr>
            <w:r>
              <w:rPr>
                <w:rFonts w:hint="eastAsia"/>
              </w:rPr>
              <w:t>通过以上措施处理，固体废物污染可得到有效控制，并避免二次污染的产生，措施可行。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0" w:hRule="atLeast"/>
        </w:trPr>
        <w:tc>
          <w:tcPr>
            <w:tcW w:w="817" w:type="dxa"/>
            <w:vAlign w:val="center"/>
          </w:tcPr>
          <w:p>
            <w:pPr>
              <w:spacing w:line="360" w:lineRule="auto"/>
              <w:jc w:val="center"/>
              <w:rPr>
                <w:rFonts w:ascii="宋体" w:hAnsi="宋体" w:cs="宋体"/>
                <w:bCs/>
              </w:rPr>
            </w:pPr>
            <w:r>
              <w:rPr>
                <w:rFonts w:hint="eastAsia" w:ascii="宋体" w:hAnsi="宋体" w:cs="宋体"/>
                <w:bCs/>
              </w:rPr>
              <w:t>运营</w:t>
            </w:r>
          </w:p>
          <w:p>
            <w:pPr>
              <w:spacing w:line="360" w:lineRule="auto"/>
              <w:jc w:val="center"/>
              <w:rPr>
                <w:rFonts w:ascii="宋体" w:hAnsi="宋体" w:cs="宋体"/>
                <w:bCs/>
              </w:rPr>
            </w:pPr>
            <w:r>
              <w:rPr>
                <w:rFonts w:hint="eastAsia" w:ascii="宋体" w:hAnsi="宋体" w:cs="宋体"/>
                <w:bCs/>
              </w:rPr>
              <w:t>期环</w:t>
            </w:r>
          </w:p>
          <w:p>
            <w:pPr>
              <w:spacing w:line="360" w:lineRule="auto"/>
              <w:jc w:val="center"/>
              <w:rPr>
                <w:rFonts w:ascii="宋体" w:hAnsi="宋体" w:cs="宋体"/>
                <w:bCs/>
              </w:rPr>
            </w:pPr>
            <w:r>
              <w:rPr>
                <w:rFonts w:hint="eastAsia" w:ascii="宋体" w:hAnsi="宋体" w:cs="宋体"/>
                <w:bCs/>
              </w:rPr>
              <w:t>境影</w:t>
            </w:r>
          </w:p>
          <w:p>
            <w:pPr>
              <w:spacing w:line="360" w:lineRule="auto"/>
              <w:jc w:val="center"/>
              <w:rPr>
                <w:rFonts w:ascii="宋体" w:hAnsi="宋体" w:cs="宋体"/>
                <w:bCs/>
              </w:rPr>
            </w:pPr>
            <w:r>
              <w:rPr>
                <w:rFonts w:hint="eastAsia" w:ascii="宋体" w:hAnsi="宋体" w:cs="宋体"/>
                <w:bCs/>
              </w:rPr>
              <w:t>响和</w:t>
            </w:r>
          </w:p>
          <w:p>
            <w:pPr>
              <w:spacing w:line="360" w:lineRule="auto"/>
              <w:jc w:val="center"/>
              <w:rPr>
                <w:rFonts w:ascii="宋体" w:hAnsi="宋体" w:cs="宋体"/>
                <w:bCs/>
              </w:rPr>
            </w:pPr>
            <w:r>
              <w:rPr>
                <w:rFonts w:hint="eastAsia" w:ascii="宋体" w:hAnsi="宋体" w:cs="宋体"/>
                <w:bCs/>
              </w:rPr>
              <w:t>保护</w:t>
            </w:r>
          </w:p>
          <w:p>
            <w:pPr>
              <w:spacing w:line="360" w:lineRule="auto"/>
              <w:jc w:val="center"/>
              <w:rPr>
                <w:color w:val="FF0000"/>
              </w:rPr>
            </w:pPr>
            <w:r>
              <w:rPr>
                <w:rFonts w:hint="eastAsia" w:ascii="宋体" w:hAnsi="宋体" w:cs="宋体"/>
                <w:bCs/>
              </w:rPr>
              <w:t>措施</w:t>
            </w:r>
          </w:p>
        </w:tc>
        <w:tc>
          <w:tcPr>
            <w:tcW w:w="8243" w:type="dxa"/>
          </w:tcPr>
          <w:p>
            <w:pPr>
              <w:adjustRightInd w:val="0"/>
              <w:snapToGrid w:val="0"/>
              <w:spacing w:before="156" w:beforeLines="50" w:line="360" w:lineRule="auto"/>
              <w:rPr>
                <w:b/>
                <w:bCs/>
              </w:rPr>
            </w:pPr>
            <w:r>
              <w:rPr>
                <w:rFonts w:hint="eastAsia"/>
                <w:b/>
                <w:bCs/>
              </w:rPr>
              <w:t>1、废气</w:t>
            </w:r>
          </w:p>
          <w:p>
            <w:pPr>
              <w:snapToGrid w:val="0"/>
              <w:spacing w:line="360" w:lineRule="auto"/>
              <w:ind w:firstLine="420"/>
            </w:pPr>
            <w:r>
              <w:rPr>
                <w:rFonts w:hint="eastAsia"/>
              </w:rPr>
              <w:t>（1）源强核算及防治措施</w:t>
            </w:r>
          </w:p>
          <w:p>
            <w:pPr>
              <w:snapToGrid w:val="0"/>
              <w:spacing w:line="360" w:lineRule="auto"/>
              <w:ind w:firstLine="420"/>
            </w:pPr>
            <w:r>
              <w:rPr>
                <w:rFonts w:hint="eastAsia"/>
              </w:rPr>
              <w:t>项目营运期废气主要为油炸、炒制废气（G1），燃烧废气（G2）。</w:t>
            </w:r>
          </w:p>
          <w:p>
            <w:pPr>
              <w:snapToGrid w:val="0"/>
              <w:spacing w:line="360" w:lineRule="auto"/>
              <w:ind w:firstLine="420"/>
            </w:pPr>
            <w:r>
              <w:rPr>
                <w:rFonts w:hint="eastAsia"/>
              </w:rPr>
              <w:t>油炸、炒制废气（G1）</w:t>
            </w:r>
          </w:p>
          <w:p>
            <w:pPr>
              <w:snapToGrid w:val="0"/>
              <w:spacing w:line="360" w:lineRule="auto"/>
              <w:ind w:firstLine="420"/>
            </w:pPr>
            <w:r>
              <w:rPr>
                <w:rFonts w:hint="eastAsia"/>
              </w:rPr>
              <w:t>本项目炒制、油炸工序会产生废气，油烟、颗粒物废气的产生系数参考生态环境部发布的《排放源统计调查产排污核算方法和系数手册》中“137 蔬菜、菌类、水果和坚果加工行业系数手册”中的炸干果（花生、蚕豆、兰花豆等），挥发性有机物产污系数为200克/吨产品，颗粒物产污系数为400克/吨产品。</w:t>
            </w:r>
          </w:p>
          <w:p>
            <w:pPr>
              <w:snapToGrid w:val="0"/>
              <w:spacing w:line="360" w:lineRule="auto"/>
              <w:ind w:firstLine="420"/>
            </w:pPr>
            <w:r>
              <w:rPr>
                <w:rFonts w:hint="eastAsia"/>
              </w:rPr>
              <w:t>本项目油炸产品包括油炸香米、油炸花生米、油炸豌豆、绿豆花、油炸玉米等共2500吨/年，则油烟产生量为0.5t/a，该部分废气经集气罩收集，集气罩收集效率为80%，则油烟收集量为0.4t/a。水雾除油+离心除油净化效率按90%计，则油烟排放量为 0.04t/a，排放速率为0.025kg/h。</w:t>
            </w:r>
          </w:p>
          <w:p>
            <w:pPr>
              <w:snapToGrid w:val="0"/>
              <w:spacing w:line="360" w:lineRule="auto"/>
              <w:ind w:firstLine="420"/>
            </w:pPr>
            <w:r>
              <w:rPr>
                <w:rFonts w:hint="eastAsia"/>
              </w:rPr>
              <w:t>本项目炒制产品包括擂茶、芝麻茶、炒豌豆等13800吨/年，则颗粒物产生量为5.52t/a。项目炒制设备为密闭，炒制废气经管道收集至喷淋除尘系统，处理效率按98%计，则颗粒物排放量为0.11t/a，排放速率为0.07kg/h。</w:t>
            </w:r>
          </w:p>
          <w:p>
            <w:pPr>
              <w:autoSpaceDE w:val="0"/>
              <w:autoSpaceDN w:val="0"/>
              <w:adjustRightInd w:val="0"/>
              <w:snapToGrid w:val="0"/>
              <w:spacing w:line="360" w:lineRule="auto"/>
              <w:ind w:firstLine="420" w:firstLineChars="200"/>
            </w:pPr>
            <w:r>
              <w:rPr>
                <w:rFonts w:hint="eastAsia"/>
              </w:rPr>
              <w:t>燃烧废气（G2）</w:t>
            </w:r>
          </w:p>
          <w:p>
            <w:pPr>
              <w:autoSpaceDE w:val="0"/>
              <w:autoSpaceDN w:val="0"/>
              <w:adjustRightInd w:val="0"/>
              <w:snapToGrid w:val="0"/>
              <w:spacing w:line="360" w:lineRule="auto"/>
              <w:ind w:firstLine="420" w:firstLineChars="200"/>
            </w:pPr>
            <w:r>
              <w:rPr>
                <w:rFonts w:hint="eastAsia"/>
              </w:rPr>
              <w:t>根据建设单位设计资料，所有用气设备同时使用最大用气量为713m</w:t>
            </w:r>
            <w:r>
              <w:rPr>
                <w:rFonts w:hint="eastAsia"/>
                <w:vertAlign w:val="superscript"/>
              </w:rPr>
              <w:t>3</w:t>
            </w:r>
            <w:r>
              <w:rPr>
                <w:rFonts w:hint="eastAsia"/>
              </w:rPr>
              <w:t>/h，日用气时间按平均8h计，年工作200天，则用气量为1140800 m</w:t>
            </w:r>
            <w:r>
              <w:rPr>
                <w:rFonts w:hint="eastAsia"/>
                <w:vertAlign w:val="superscript"/>
              </w:rPr>
              <w:t>3</w:t>
            </w:r>
            <w:r>
              <w:rPr>
                <w:rFonts w:hint="eastAsia"/>
              </w:rPr>
              <w:t>/a。</w:t>
            </w:r>
          </w:p>
          <w:p>
            <w:pPr>
              <w:autoSpaceDE w:val="0"/>
              <w:autoSpaceDN w:val="0"/>
              <w:adjustRightInd w:val="0"/>
              <w:snapToGrid w:val="0"/>
              <w:spacing w:line="360" w:lineRule="auto"/>
              <w:ind w:firstLine="420" w:firstLineChars="200"/>
            </w:pPr>
            <w:r>
              <w:t>本评价采用理论核算的方式计算各污染物产生量，</w:t>
            </w:r>
            <w:r>
              <w:rPr>
                <w:rFonts w:hint="eastAsia"/>
              </w:rPr>
              <w:t>参考</w:t>
            </w:r>
            <w:r>
              <w:t>《</w:t>
            </w:r>
            <w:r>
              <w:rPr>
                <w:rFonts w:hint="eastAsia"/>
              </w:rPr>
              <w:t>排放源统计调查产排污核算方法和系数手册</w:t>
            </w:r>
            <w:r>
              <w:t>》中4430（热力供应）</w:t>
            </w:r>
            <w:r>
              <w:rPr>
                <w:rFonts w:hint="eastAsia"/>
              </w:rPr>
              <w:t>行业系数手册中（热力生产和供应行业）产污系数表</w:t>
            </w:r>
            <w:r>
              <w:t>，</w:t>
            </w:r>
            <w:r>
              <w:rPr>
                <w:rFonts w:hint="eastAsia"/>
              </w:rPr>
              <w:t>天燃气燃烧各污染物产生系数为：</w:t>
            </w:r>
          </w:p>
          <w:p>
            <w:pPr>
              <w:autoSpaceDE w:val="0"/>
              <w:autoSpaceDN w:val="0"/>
              <w:adjustRightInd w:val="0"/>
              <w:snapToGrid w:val="0"/>
              <w:spacing w:line="360" w:lineRule="auto"/>
              <w:ind w:firstLine="420" w:firstLineChars="200"/>
            </w:pPr>
            <w:r>
              <w:t>Gso</w:t>
            </w:r>
            <w:r>
              <w:rPr>
                <w:vertAlign w:val="subscript"/>
              </w:rPr>
              <w:t>2</w:t>
            </w:r>
            <w:r>
              <w:t>=0.02S=</w:t>
            </w:r>
            <w:r>
              <w:rPr>
                <w:rFonts w:hint="eastAsia"/>
              </w:rPr>
              <w:t>4</w:t>
            </w:r>
            <w:r>
              <w:t>kg/万立方米-原料；(S为含硫量，指气体燃料中的硫含量，取</w:t>
            </w:r>
            <w:r>
              <w:rPr>
                <w:rFonts w:hint="eastAsia"/>
              </w:rPr>
              <w:t>200</w:t>
            </w:r>
            <w:r>
              <w:t>mg/m</w:t>
            </w:r>
            <w:r>
              <w:rPr>
                <w:vertAlign w:val="superscript"/>
              </w:rPr>
              <w:t>3</w:t>
            </w:r>
            <w:r>
              <w:t>；</w:t>
            </w:r>
          </w:p>
          <w:p>
            <w:pPr>
              <w:autoSpaceDE w:val="0"/>
              <w:autoSpaceDN w:val="0"/>
              <w:adjustRightInd w:val="0"/>
              <w:snapToGrid w:val="0"/>
              <w:spacing w:line="360" w:lineRule="auto"/>
              <w:ind w:firstLine="420" w:firstLineChars="200"/>
            </w:pPr>
            <w:r>
              <w:t>NO</w:t>
            </w:r>
            <w:r>
              <w:rPr>
                <w:vertAlign w:val="subscript"/>
              </w:rPr>
              <w:t>X</w:t>
            </w:r>
            <w:r>
              <w:t>产污系数：G</w:t>
            </w:r>
            <w:r>
              <w:rPr>
                <w:rFonts w:hint="eastAsia"/>
                <w:vertAlign w:val="subscript"/>
              </w:rPr>
              <w:t>NOX</w:t>
            </w:r>
            <w:r>
              <w:t>=</w:t>
            </w:r>
            <w:r>
              <w:rPr>
                <w:rFonts w:hint="eastAsia"/>
              </w:rPr>
              <w:t>15.87</w:t>
            </w:r>
            <w:r>
              <w:t>kg/万立方米-原料；</w:t>
            </w:r>
          </w:p>
          <w:p>
            <w:pPr>
              <w:autoSpaceDE w:val="0"/>
              <w:autoSpaceDN w:val="0"/>
              <w:adjustRightInd w:val="0"/>
              <w:snapToGrid w:val="0"/>
              <w:spacing w:line="360" w:lineRule="auto"/>
              <w:ind w:firstLine="420" w:firstLineChars="200"/>
            </w:pPr>
            <w:r>
              <w:t>废气量</w:t>
            </w:r>
            <w:r>
              <w:rPr>
                <w:rFonts w:hint="eastAsia"/>
              </w:rPr>
              <w:t>=107753标m</w:t>
            </w:r>
            <w:r>
              <w:rPr>
                <w:rFonts w:hint="eastAsia"/>
                <w:vertAlign w:val="superscript"/>
              </w:rPr>
              <w:t>3</w:t>
            </w:r>
            <w:r>
              <w:rPr>
                <w:rFonts w:hint="eastAsia"/>
              </w:rPr>
              <w:t>/</w:t>
            </w:r>
            <w:r>
              <w:t>万立方米-原料，则烟气量为</w:t>
            </w:r>
            <w:r>
              <w:rPr>
                <w:rFonts w:hint="eastAsia"/>
              </w:rPr>
              <w:t>1230万m</w:t>
            </w:r>
            <w:r>
              <w:rPr>
                <w:rFonts w:hint="eastAsia"/>
                <w:vertAlign w:val="superscript"/>
              </w:rPr>
              <w:t>3</w:t>
            </w:r>
            <w:r>
              <w:rPr>
                <w:rFonts w:hint="eastAsia"/>
              </w:rPr>
              <w:t>/a。</w:t>
            </w:r>
          </w:p>
          <w:p>
            <w:pPr>
              <w:autoSpaceDE w:val="0"/>
              <w:autoSpaceDN w:val="0"/>
              <w:adjustRightInd w:val="0"/>
              <w:snapToGrid w:val="0"/>
              <w:spacing w:line="360" w:lineRule="auto"/>
              <w:ind w:firstLine="420" w:firstLineChars="200"/>
            </w:pPr>
            <w:r>
              <w:rPr>
                <w:rFonts w:hint="eastAsia"/>
              </w:rPr>
              <w:t>项目废气产生情况见表4-1。</w:t>
            </w:r>
          </w:p>
          <w:p>
            <w:pPr>
              <w:spacing w:line="276" w:lineRule="auto"/>
              <w:jc w:val="center"/>
              <w:rPr>
                <w:b/>
              </w:rPr>
            </w:pPr>
            <w:r>
              <w:rPr>
                <w:rFonts w:hint="eastAsia"/>
                <w:b/>
              </w:rPr>
              <w:t>表4-1  废气产排情况表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835"/>
              <w:gridCol w:w="729"/>
              <w:gridCol w:w="798"/>
              <w:gridCol w:w="770"/>
              <w:gridCol w:w="889"/>
              <w:gridCol w:w="427"/>
              <w:gridCol w:w="741"/>
              <w:gridCol w:w="798"/>
              <w:gridCol w:w="770"/>
              <w:gridCol w:w="7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 w:type="pct"/>
                  <w:vMerge w:val="restart"/>
                  <w:shd w:val="clear" w:color="auto" w:fill="auto"/>
                  <w:vAlign w:val="center"/>
                </w:tcPr>
                <w:p>
                  <w:pPr>
                    <w:spacing w:line="300" w:lineRule="auto"/>
                    <w:jc w:val="center"/>
                    <w:rPr>
                      <w:b/>
                      <w:bCs/>
                    </w:rPr>
                  </w:pPr>
                  <w:r>
                    <w:rPr>
                      <w:rFonts w:hint="eastAsia"/>
                      <w:b/>
                      <w:bCs/>
                    </w:rPr>
                    <w:t>产污环节</w:t>
                  </w:r>
                </w:p>
              </w:tc>
              <w:tc>
                <w:tcPr>
                  <w:tcW w:w="520" w:type="pct"/>
                  <w:vMerge w:val="restart"/>
                  <w:shd w:val="clear" w:color="auto" w:fill="auto"/>
                  <w:vAlign w:val="center"/>
                </w:tcPr>
                <w:p>
                  <w:pPr>
                    <w:spacing w:line="300" w:lineRule="auto"/>
                    <w:jc w:val="center"/>
                    <w:rPr>
                      <w:b/>
                      <w:bCs/>
                    </w:rPr>
                  </w:pPr>
                  <w:r>
                    <w:rPr>
                      <w:rFonts w:hint="eastAsia"/>
                      <w:b/>
                      <w:bCs/>
                    </w:rPr>
                    <w:t>污染源</w:t>
                  </w:r>
                </w:p>
              </w:tc>
              <w:tc>
                <w:tcPr>
                  <w:tcW w:w="462" w:type="pct"/>
                  <w:vMerge w:val="restart"/>
                  <w:shd w:val="clear" w:color="auto" w:fill="auto"/>
                  <w:vAlign w:val="center"/>
                </w:tcPr>
                <w:p>
                  <w:pPr>
                    <w:spacing w:line="300" w:lineRule="auto"/>
                    <w:jc w:val="center"/>
                    <w:rPr>
                      <w:b/>
                      <w:bCs/>
                    </w:rPr>
                  </w:pPr>
                  <w:r>
                    <w:rPr>
                      <w:rFonts w:hint="eastAsia"/>
                      <w:b/>
                      <w:bCs/>
                    </w:rPr>
                    <w:t>污染物名称</w:t>
                  </w:r>
                </w:p>
              </w:tc>
              <w:tc>
                <w:tcPr>
                  <w:tcW w:w="1555" w:type="pct"/>
                  <w:gridSpan w:val="3"/>
                  <w:shd w:val="clear" w:color="auto" w:fill="auto"/>
                  <w:vAlign w:val="center"/>
                </w:tcPr>
                <w:p>
                  <w:pPr>
                    <w:spacing w:line="300" w:lineRule="auto"/>
                    <w:jc w:val="center"/>
                    <w:rPr>
                      <w:b/>
                      <w:bCs/>
                    </w:rPr>
                  </w:pPr>
                  <w:r>
                    <w:rPr>
                      <w:rFonts w:hint="eastAsia"/>
                      <w:b/>
                      <w:bCs/>
                    </w:rPr>
                    <w:t>产生源强</w:t>
                  </w:r>
                </w:p>
              </w:tc>
              <w:tc>
                <w:tcPr>
                  <w:tcW w:w="266" w:type="pct"/>
                  <w:vMerge w:val="restart"/>
                  <w:shd w:val="clear" w:color="auto" w:fill="auto"/>
                  <w:vAlign w:val="center"/>
                </w:tcPr>
                <w:p>
                  <w:pPr>
                    <w:spacing w:line="300" w:lineRule="auto"/>
                    <w:jc w:val="center"/>
                    <w:rPr>
                      <w:b/>
                      <w:bCs/>
                    </w:rPr>
                  </w:pPr>
                  <w:r>
                    <w:rPr>
                      <w:rFonts w:hint="eastAsia"/>
                      <w:b/>
                      <w:bCs/>
                    </w:rPr>
                    <w:t>防治措施</w:t>
                  </w:r>
                </w:p>
              </w:tc>
              <w:tc>
                <w:tcPr>
                  <w:tcW w:w="397" w:type="pct"/>
                  <w:vMerge w:val="restart"/>
                  <w:shd w:val="clear" w:color="auto" w:fill="auto"/>
                  <w:vAlign w:val="center"/>
                </w:tcPr>
                <w:p>
                  <w:pPr>
                    <w:spacing w:line="300" w:lineRule="auto"/>
                    <w:jc w:val="center"/>
                    <w:rPr>
                      <w:b/>
                      <w:bCs/>
                    </w:rPr>
                  </w:pPr>
                  <w:r>
                    <w:rPr>
                      <w:rFonts w:hint="eastAsia"/>
                      <w:b/>
                      <w:bCs/>
                    </w:rPr>
                    <w:t>排气量</w:t>
                  </w:r>
                </w:p>
                <w:p>
                  <w:pPr>
                    <w:spacing w:line="300" w:lineRule="auto"/>
                    <w:jc w:val="center"/>
                    <w:rPr>
                      <w:b/>
                      <w:bCs/>
                    </w:rPr>
                  </w:pPr>
                  <w:r>
                    <w:rPr>
                      <w:rFonts w:hint="eastAsia"/>
                      <w:b/>
                      <w:bCs/>
                    </w:rPr>
                    <w:t>m</w:t>
                  </w:r>
                  <w:r>
                    <w:rPr>
                      <w:rFonts w:hint="eastAsia"/>
                      <w:b/>
                      <w:bCs/>
                      <w:vertAlign w:val="superscript"/>
                    </w:rPr>
                    <w:t>3</w:t>
                  </w:r>
                  <w:r>
                    <w:rPr>
                      <w:rFonts w:hint="eastAsia"/>
                      <w:b/>
                      <w:bCs/>
                    </w:rPr>
                    <w:t>/h</w:t>
                  </w:r>
                </w:p>
              </w:tc>
              <w:tc>
                <w:tcPr>
                  <w:tcW w:w="1476" w:type="pct"/>
                  <w:gridSpan w:val="3"/>
                  <w:shd w:val="clear" w:color="auto" w:fill="auto"/>
                  <w:vAlign w:val="center"/>
                </w:tcPr>
                <w:p>
                  <w:pPr>
                    <w:spacing w:line="300" w:lineRule="auto"/>
                    <w:jc w:val="center"/>
                    <w:rPr>
                      <w:b/>
                      <w:bCs/>
                    </w:rPr>
                  </w:pPr>
                  <w:r>
                    <w:rPr>
                      <w:rFonts w:hint="eastAsia"/>
                      <w:b/>
                      <w:bCs/>
                    </w:rPr>
                    <w:t>排放源强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 w:type="pct"/>
                  <w:vMerge w:val="continue"/>
                  <w:shd w:val="clear" w:color="auto" w:fill="auto"/>
                  <w:vAlign w:val="center"/>
                </w:tcPr>
                <w:p>
                  <w:pPr>
                    <w:spacing w:line="300" w:lineRule="auto"/>
                    <w:jc w:val="center"/>
                    <w:rPr>
                      <w:b/>
                      <w:bCs/>
                    </w:rPr>
                  </w:pPr>
                </w:p>
              </w:tc>
              <w:tc>
                <w:tcPr>
                  <w:tcW w:w="520" w:type="pct"/>
                  <w:vMerge w:val="continue"/>
                  <w:shd w:val="clear" w:color="auto" w:fill="auto"/>
                  <w:vAlign w:val="center"/>
                </w:tcPr>
                <w:p>
                  <w:pPr>
                    <w:spacing w:line="300" w:lineRule="auto"/>
                    <w:jc w:val="center"/>
                    <w:rPr>
                      <w:b/>
                      <w:bCs/>
                    </w:rPr>
                  </w:pPr>
                </w:p>
              </w:tc>
              <w:tc>
                <w:tcPr>
                  <w:tcW w:w="387" w:type="pct"/>
                  <w:vMerge w:val="continue"/>
                  <w:shd w:val="clear" w:color="auto" w:fill="auto"/>
                  <w:vAlign w:val="center"/>
                </w:tcPr>
                <w:p>
                  <w:pPr>
                    <w:spacing w:line="300" w:lineRule="auto"/>
                    <w:jc w:val="center"/>
                    <w:rPr>
                      <w:b/>
                      <w:bCs/>
                    </w:rPr>
                  </w:pPr>
                </w:p>
              </w:tc>
              <w:tc>
                <w:tcPr>
                  <w:tcW w:w="498" w:type="pct"/>
                  <w:shd w:val="clear" w:color="auto" w:fill="auto"/>
                  <w:vAlign w:val="center"/>
                </w:tcPr>
                <w:p>
                  <w:pPr>
                    <w:spacing w:line="300" w:lineRule="auto"/>
                    <w:jc w:val="center"/>
                    <w:rPr>
                      <w:b/>
                      <w:bCs/>
                    </w:rPr>
                  </w:pPr>
                  <w:r>
                    <w:rPr>
                      <w:rFonts w:hint="eastAsia"/>
                      <w:b/>
                      <w:bCs/>
                    </w:rPr>
                    <w:t>浓度</w:t>
                  </w:r>
                </w:p>
                <w:p>
                  <w:pPr>
                    <w:spacing w:line="300" w:lineRule="auto"/>
                    <w:jc w:val="center"/>
                    <w:rPr>
                      <w:b/>
                      <w:bCs/>
                    </w:rPr>
                  </w:pPr>
                  <w:r>
                    <w:rPr>
                      <w:rFonts w:hint="eastAsia"/>
                      <w:b/>
                      <w:bCs/>
                    </w:rPr>
                    <w:t>mg/m</w:t>
                  </w:r>
                  <w:r>
                    <w:rPr>
                      <w:rFonts w:hint="eastAsia"/>
                      <w:b/>
                      <w:bCs/>
                      <w:vertAlign w:val="superscript"/>
                    </w:rPr>
                    <w:t>3</w:t>
                  </w:r>
                </w:p>
              </w:tc>
              <w:tc>
                <w:tcPr>
                  <w:tcW w:w="495" w:type="pct"/>
                  <w:shd w:val="clear" w:color="auto" w:fill="auto"/>
                  <w:vAlign w:val="center"/>
                </w:tcPr>
                <w:p>
                  <w:pPr>
                    <w:spacing w:line="300" w:lineRule="auto"/>
                    <w:jc w:val="center"/>
                    <w:rPr>
                      <w:b/>
                      <w:bCs/>
                    </w:rPr>
                  </w:pPr>
                  <w:r>
                    <w:rPr>
                      <w:rFonts w:hint="eastAsia"/>
                      <w:b/>
                      <w:bCs/>
                    </w:rPr>
                    <w:t>速率</w:t>
                  </w:r>
                </w:p>
                <w:p>
                  <w:pPr>
                    <w:spacing w:line="300" w:lineRule="auto"/>
                    <w:jc w:val="center"/>
                    <w:rPr>
                      <w:b/>
                      <w:bCs/>
                    </w:rPr>
                  </w:pPr>
                  <w:r>
                    <w:rPr>
                      <w:rFonts w:hint="eastAsia"/>
                      <w:b/>
                      <w:bCs/>
                    </w:rPr>
                    <w:t>kg/h</w:t>
                  </w:r>
                </w:p>
              </w:tc>
              <w:tc>
                <w:tcPr>
                  <w:tcW w:w="561" w:type="pct"/>
                  <w:shd w:val="clear" w:color="auto" w:fill="auto"/>
                  <w:vAlign w:val="center"/>
                </w:tcPr>
                <w:p>
                  <w:pPr>
                    <w:spacing w:line="300" w:lineRule="auto"/>
                    <w:jc w:val="center"/>
                    <w:rPr>
                      <w:b/>
                      <w:bCs/>
                    </w:rPr>
                  </w:pPr>
                  <w:r>
                    <w:rPr>
                      <w:rFonts w:hint="eastAsia"/>
                      <w:b/>
                      <w:bCs/>
                    </w:rPr>
                    <w:t>产生量t/a</w:t>
                  </w:r>
                </w:p>
              </w:tc>
              <w:tc>
                <w:tcPr>
                  <w:tcW w:w="266" w:type="pct"/>
                  <w:vMerge w:val="continue"/>
                  <w:shd w:val="clear" w:color="auto" w:fill="auto"/>
                  <w:vAlign w:val="center"/>
                </w:tcPr>
                <w:p>
                  <w:pPr>
                    <w:spacing w:line="300" w:lineRule="auto"/>
                    <w:jc w:val="center"/>
                    <w:rPr>
                      <w:b/>
                      <w:bCs/>
                    </w:rPr>
                  </w:pPr>
                </w:p>
              </w:tc>
              <w:tc>
                <w:tcPr>
                  <w:tcW w:w="397" w:type="pct"/>
                  <w:vMerge w:val="continue"/>
                  <w:shd w:val="clear" w:color="auto" w:fill="auto"/>
                  <w:vAlign w:val="center"/>
                </w:tcPr>
                <w:p>
                  <w:pPr>
                    <w:spacing w:line="300" w:lineRule="auto"/>
                    <w:jc w:val="center"/>
                    <w:rPr>
                      <w:b/>
                      <w:bCs/>
                    </w:rPr>
                  </w:pPr>
                </w:p>
              </w:tc>
              <w:tc>
                <w:tcPr>
                  <w:tcW w:w="498" w:type="pct"/>
                  <w:shd w:val="clear" w:color="auto" w:fill="auto"/>
                  <w:vAlign w:val="center"/>
                </w:tcPr>
                <w:p>
                  <w:pPr>
                    <w:spacing w:line="300" w:lineRule="auto"/>
                    <w:jc w:val="center"/>
                    <w:rPr>
                      <w:b/>
                      <w:bCs/>
                    </w:rPr>
                  </w:pPr>
                  <w:r>
                    <w:rPr>
                      <w:rFonts w:hint="eastAsia"/>
                      <w:b/>
                      <w:bCs/>
                    </w:rPr>
                    <w:t>浓度</w:t>
                  </w:r>
                </w:p>
                <w:p>
                  <w:pPr>
                    <w:spacing w:line="300" w:lineRule="auto"/>
                    <w:jc w:val="center"/>
                    <w:rPr>
                      <w:b/>
                      <w:bCs/>
                    </w:rPr>
                  </w:pPr>
                  <w:r>
                    <w:rPr>
                      <w:rFonts w:hint="eastAsia"/>
                      <w:b/>
                      <w:bCs/>
                    </w:rPr>
                    <w:t>mg/m</w:t>
                  </w:r>
                  <w:r>
                    <w:rPr>
                      <w:rFonts w:hint="eastAsia"/>
                      <w:b/>
                      <w:bCs/>
                      <w:vertAlign w:val="superscript"/>
                    </w:rPr>
                    <w:t>3</w:t>
                  </w:r>
                </w:p>
              </w:tc>
              <w:tc>
                <w:tcPr>
                  <w:tcW w:w="495" w:type="pct"/>
                  <w:shd w:val="clear" w:color="auto" w:fill="auto"/>
                  <w:vAlign w:val="center"/>
                </w:tcPr>
                <w:p>
                  <w:pPr>
                    <w:spacing w:line="300" w:lineRule="auto"/>
                    <w:jc w:val="center"/>
                    <w:rPr>
                      <w:b/>
                      <w:bCs/>
                    </w:rPr>
                  </w:pPr>
                  <w:r>
                    <w:rPr>
                      <w:rFonts w:hint="eastAsia"/>
                      <w:b/>
                      <w:bCs/>
                    </w:rPr>
                    <w:t>速率</w:t>
                  </w:r>
                </w:p>
                <w:p>
                  <w:pPr>
                    <w:spacing w:line="300" w:lineRule="auto"/>
                    <w:jc w:val="center"/>
                    <w:rPr>
                      <w:b/>
                      <w:bCs/>
                    </w:rPr>
                  </w:pPr>
                  <w:r>
                    <w:rPr>
                      <w:rFonts w:hint="eastAsia"/>
                      <w:b/>
                      <w:bCs/>
                    </w:rPr>
                    <w:t>kg/h</w:t>
                  </w:r>
                </w:p>
              </w:tc>
              <w:tc>
                <w:tcPr>
                  <w:tcW w:w="558" w:type="pct"/>
                  <w:shd w:val="clear" w:color="auto" w:fill="auto"/>
                  <w:vAlign w:val="center"/>
                </w:tcPr>
                <w:p>
                  <w:pPr>
                    <w:spacing w:line="300" w:lineRule="auto"/>
                    <w:jc w:val="center"/>
                    <w:rPr>
                      <w:b/>
                      <w:bCs/>
                    </w:rPr>
                  </w:pPr>
                  <w:r>
                    <w:rPr>
                      <w:rFonts w:hint="eastAsia"/>
                      <w:b/>
                      <w:bCs/>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spacing w:line="300" w:lineRule="auto"/>
                    <w:jc w:val="center"/>
                  </w:pPr>
                  <w:r>
                    <w:rPr>
                      <w:rFonts w:hint="eastAsia"/>
                    </w:rPr>
                    <w:t>炒制</w:t>
                  </w:r>
                </w:p>
              </w:tc>
              <w:tc>
                <w:tcPr>
                  <w:tcW w:w="520" w:type="pct"/>
                  <w:vMerge w:val="restart"/>
                  <w:shd w:val="clear" w:color="auto" w:fill="auto"/>
                  <w:vAlign w:val="center"/>
                </w:tcPr>
                <w:p>
                  <w:pPr>
                    <w:spacing w:line="300" w:lineRule="auto"/>
                    <w:jc w:val="center"/>
                  </w:pPr>
                  <w:r>
                    <w:rPr>
                      <w:rFonts w:hint="eastAsia"/>
                    </w:rPr>
                    <w:t>DA001</w:t>
                  </w:r>
                </w:p>
              </w:tc>
              <w:tc>
                <w:tcPr>
                  <w:tcW w:w="387" w:type="pct"/>
                  <w:shd w:val="clear" w:color="auto" w:fill="auto"/>
                  <w:vAlign w:val="center"/>
                </w:tcPr>
                <w:p>
                  <w:pPr>
                    <w:spacing w:line="300" w:lineRule="auto"/>
                    <w:jc w:val="center"/>
                  </w:pPr>
                  <w:r>
                    <w:t>颗粒物</w:t>
                  </w:r>
                </w:p>
              </w:tc>
              <w:tc>
                <w:tcPr>
                  <w:tcW w:w="498" w:type="pct"/>
                  <w:shd w:val="clear" w:color="auto" w:fill="auto"/>
                  <w:vAlign w:val="center"/>
                </w:tcPr>
                <w:p>
                  <w:pPr>
                    <w:spacing w:line="300" w:lineRule="auto"/>
                    <w:jc w:val="center"/>
                  </w:pPr>
                  <w:r>
                    <w:rPr>
                      <w:rFonts w:hint="eastAsia"/>
                    </w:rPr>
                    <w:t>230</w:t>
                  </w:r>
                </w:p>
              </w:tc>
              <w:tc>
                <w:tcPr>
                  <w:tcW w:w="495" w:type="pct"/>
                  <w:shd w:val="clear" w:color="auto" w:fill="auto"/>
                  <w:vAlign w:val="center"/>
                </w:tcPr>
                <w:p>
                  <w:pPr>
                    <w:spacing w:line="300" w:lineRule="auto"/>
                    <w:jc w:val="center"/>
                  </w:pPr>
                  <w:r>
                    <w:rPr>
                      <w:rFonts w:hint="eastAsia"/>
                    </w:rPr>
                    <w:t>3.45</w:t>
                  </w:r>
                </w:p>
              </w:tc>
              <w:tc>
                <w:tcPr>
                  <w:tcW w:w="561" w:type="pct"/>
                  <w:shd w:val="clear" w:color="auto" w:fill="auto"/>
                  <w:vAlign w:val="center"/>
                </w:tcPr>
                <w:p>
                  <w:pPr>
                    <w:spacing w:line="300" w:lineRule="auto"/>
                    <w:jc w:val="center"/>
                  </w:pPr>
                  <w:r>
                    <w:rPr>
                      <w:rFonts w:hint="eastAsia"/>
                    </w:rPr>
                    <w:t>5.52</w:t>
                  </w:r>
                </w:p>
              </w:tc>
              <w:tc>
                <w:tcPr>
                  <w:tcW w:w="266" w:type="pct"/>
                  <w:shd w:val="clear" w:color="auto" w:fill="auto"/>
                  <w:vAlign w:val="center"/>
                </w:tcPr>
                <w:p>
                  <w:pPr>
                    <w:spacing w:line="300" w:lineRule="auto"/>
                    <w:jc w:val="center"/>
                  </w:pPr>
                  <w:r>
                    <w:t>喷淋除尘</w:t>
                  </w:r>
                </w:p>
              </w:tc>
              <w:tc>
                <w:tcPr>
                  <w:tcW w:w="397" w:type="pct"/>
                  <w:vMerge w:val="restart"/>
                  <w:shd w:val="clear" w:color="auto" w:fill="auto"/>
                  <w:vAlign w:val="center"/>
                </w:tcPr>
                <w:p>
                  <w:pPr>
                    <w:spacing w:line="300" w:lineRule="auto"/>
                    <w:jc w:val="center"/>
                  </w:pPr>
                  <w:r>
                    <w:rPr>
                      <w:rFonts w:hint="eastAsia"/>
                    </w:rPr>
                    <w:t>15000</w:t>
                  </w:r>
                </w:p>
              </w:tc>
              <w:tc>
                <w:tcPr>
                  <w:tcW w:w="498" w:type="pct"/>
                  <w:shd w:val="clear" w:color="auto" w:fill="auto"/>
                  <w:vAlign w:val="center"/>
                </w:tcPr>
                <w:p>
                  <w:pPr>
                    <w:spacing w:line="300" w:lineRule="auto"/>
                    <w:jc w:val="center"/>
                  </w:pPr>
                  <w:r>
                    <w:rPr>
                      <w:rFonts w:hint="eastAsia"/>
                    </w:rPr>
                    <w:t>4.67</w:t>
                  </w:r>
                </w:p>
              </w:tc>
              <w:tc>
                <w:tcPr>
                  <w:tcW w:w="495" w:type="pct"/>
                  <w:shd w:val="clear" w:color="auto" w:fill="auto"/>
                  <w:vAlign w:val="center"/>
                </w:tcPr>
                <w:p>
                  <w:pPr>
                    <w:spacing w:line="300" w:lineRule="auto"/>
                    <w:jc w:val="center"/>
                  </w:pPr>
                  <w:r>
                    <w:rPr>
                      <w:rFonts w:hint="eastAsia"/>
                    </w:rPr>
                    <w:t>0.07</w:t>
                  </w:r>
                </w:p>
              </w:tc>
              <w:tc>
                <w:tcPr>
                  <w:tcW w:w="558" w:type="pct"/>
                  <w:shd w:val="clear" w:color="auto" w:fill="auto"/>
                  <w:vAlign w:val="center"/>
                </w:tcPr>
                <w:p>
                  <w:pPr>
                    <w:spacing w:line="300" w:lineRule="auto"/>
                    <w:jc w:val="center"/>
                  </w:pPr>
                  <w:r>
                    <w:rPr>
                      <w:rFonts w:hint="eastAsia"/>
                    </w:rPr>
                    <w:t>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spacing w:line="300" w:lineRule="auto"/>
                    <w:jc w:val="center"/>
                  </w:pPr>
                  <w:r>
                    <w:rPr>
                      <w:rFonts w:hint="eastAsia"/>
                    </w:rPr>
                    <w:t>油炸</w:t>
                  </w:r>
                </w:p>
              </w:tc>
              <w:tc>
                <w:tcPr>
                  <w:tcW w:w="520" w:type="pct"/>
                  <w:vMerge w:val="continue"/>
                  <w:shd w:val="clear" w:color="auto" w:fill="auto"/>
                  <w:vAlign w:val="center"/>
                </w:tcPr>
                <w:p>
                  <w:pPr>
                    <w:spacing w:line="300" w:lineRule="auto"/>
                    <w:jc w:val="center"/>
                  </w:pPr>
                </w:p>
              </w:tc>
              <w:tc>
                <w:tcPr>
                  <w:tcW w:w="462" w:type="pct"/>
                  <w:shd w:val="clear" w:color="auto" w:fill="auto"/>
                  <w:vAlign w:val="center"/>
                </w:tcPr>
                <w:p>
                  <w:pPr>
                    <w:spacing w:line="300" w:lineRule="auto"/>
                    <w:jc w:val="center"/>
                  </w:pPr>
                  <w:r>
                    <w:rPr>
                      <w:rFonts w:hint="eastAsia"/>
                    </w:rPr>
                    <w:t>油烟</w:t>
                  </w:r>
                </w:p>
              </w:tc>
              <w:tc>
                <w:tcPr>
                  <w:tcW w:w="498" w:type="pct"/>
                  <w:shd w:val="clear" w:color="auto" w:fill="auto"/>
                  <w:vAlign w:val="center"/>
                </w:tcPr>
                <w:p>
                  <w:pPr>
                    <w:spacing w:line="300" w:lineRule="auto"/>
                    <w:jc w:val="center"/>
                  </w:pPr>
                  <w:r>
                    <w:rPr>
                      <w:rFonts w:hint="eastAsia"/>
                    </w:rPr>
                    <w:t>16.7</w:t>
                  </w:r>
                </w:p>
              </w:tc>
              <w:tc>
                <w:tcPr>
                  <w:tcW w:w="495" w:type="pct"/>
                  <w:shd w:val="clear" w:color="auto" w:fill="auto"/>
                  <w:vAlign w:val="center"/>
                </w:tcPr>
                <w:p>
                  <w:pPr>
                    <w:spacing w:line="300" w:lineRule="auto"/>
                    <w:jc w:val="center"/>
                  </w:pPr>
                  <w:r>
                    <w:rPr>
                      <w:rFonts w:hint="eastAsia"/>
                    </w:rPr>
                    <w:t>0.25</w:t>
                  </w:r>
                </w:p>
              </w:tc>
              <w:tc>
                <w:tcPr>
                  <w:tcW w:w="561" w:type="pct"/>
                  <w:shd w:val="clear" w:color="auto" w:fill="auto"/>
                  <w:vAlign w:val="center"/>
                </w:tcPr>
                <w:p>
                  <w:pPr>
                    <w:spacing w:line="300" w:lineRule="auto"/>
                    <w:jc w:val="center"/>
                  </w:pPr>
                  <w:r>
                    <w:rPr>
                      <w:rFonts w:hint="eastAsia"/>
                    </w:rPr>
                    <w:t>0.4</w:t>
                  </w:r>
                </w:p>
              </w:tc>
              <w:tc>
                <w:tcPr>
                  <w:tcW w:w="266" w:type="pct"/>
                  <w:shd w:val="clear" w:color="auto" w:fill="auto"/>
                  <w:vAlign w:val="center"/>
                </w:tcPr>
                <w:p>
                  <w:pPr>
                    <w:spacing w:line="300" w:lineRule="auto"/>
                    <w:jc w:val="center"/>
                  </w:pPr>
                  <w:r>
                    <w:t>水雾除油</w:t>
                  </w:r>
                  <w:r>
                    <w:rPr>
                      <w:rFonts w:hint="eastAsia"/>
                    </w:rPr>
                    <w:t>+离心除油</w:t>
                  </w:r>
                </w:p>
              </w:tc>
              <w:tc>
                <w:tcPr>
                  <w:tcW w:w="397" w:type="pct"/>
                  <w:vMerge w:val="continue"/>
                  <w:shd w:val="clear" w:color="auto" w:fill="auto"/>
                  <w:vAlign w:val="center"/>
                </w:tcPr>
                <w:p>
                  <w:pPr>
                    <w:spacing w:line="300" w:lineRule="auto"/>
                    <w:jc w:val="center"/>
                  </w:pPr>
                </w:p>
              </w:tc>
              <w:tc>
                <w:tcPr>
                  <w:tcW w:w="498" w:type="pct"/>
                  <w:shd w:val="clear" w:color="auto" w:fill="auto"/>
                  <w:vAlign w:val="center"/>
                </w:tcPr>
                <w:p>
                  <w:pPr>
                    <w:spacing w:line="300" w:lineRule="auto"/>
                    <w:jc w:val="center"/>
                  </w:pPr>
                  <w:r>
                    <w:rPr>
                      <w:rFonts w:hint="eastAsia"/>
                    </w:rPr>
                    <w:t>1.67</w:t>
                  </w:r>
                </w:p>
              </w:tc>
              <w:tc>
                <w:tcPr>
                  <w:tcW w:w="495" w:type="pct"/>
                  <w:shd w:val="clear" w:color="auto" w:fill="auto"/>
                  <w:vAlign w:val="center"/>
                </w:tcPr>
                <w:p>
                  <w:pPr>
                    <w:spacing w:line="300" w:lineRule="auto"/>
                    <w:jc w:val="center"/>
                  </w:pPr>
                  <w:r>
                    <w:rPr>
                      <w:rFonts w:hint="eastAsia"/>
                    </w:rPr>
                    <w:t>0.025</w:t>
                  </w:r>
                </w:p>
              </w:tc>
              <w:tc>
                <w:tcPr>
                  <w:tcW w:w="483" w:type="pct"/>
                  <w:shd w:val="clear" w:color="auto" w:fill="auto"/>
                  <w:vAlign w:val="center"/>
                </w:tcPr>
                <w:p>
                  <w:pPr>
                    <w:spacing w:line="300" w:lineRule="auto"/>
                    <w:jc w:val="center"/>
                  </w:pPr>
                  <w:r>
                    <w:rPr>
                      <w:rFonts w:hint="eastAsia"/>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Merge w:val="restart"/>
                  <w:shd w:val="clear" w:color="auto" w:fill="auto"/>
                  <w:vAlign w:val="center"/>
                </w:tcPr>
                <w:p>
                  <w:pPr>
                    <w:spacing w:line="300" w:lineRule="auto"/>
                    <w:jc w:val="center"/>
                  </w:pPr>
                  <w:r>
                    <w:rPr>
                      <w:rFonts w:hint="eastAsia"/>
                    </w:rPr>
                    <w:t>燃烧废气</w:t>
                  </w:r>
                </w:p>
              </w:tc>
              <w:tc>
                <w:tcPr>
                  <w:tcW w:w="520" w:type="pct"/>
                  <w:vMerge w:val="restart"/>
                  <w:shd w:val="clear" w:color="auto" w:fill="auto"/>
                  <w:vAlign w:val="center"/>
                </w:tcPr>
                <w:p>
                  <w:pPr>
                    <w:spacing w:line="300" w:lineRule="auto"/>
                    <w:jc w:val="center"/>
                  </w:pPr>
                  <w:r>
                    <w:rPr>
                      <w:rFonts w:hint="eastAsia"/>
                    </w:rPr>
                    <w:t>DA002</w:t>
                  </w:r>
                </w:p>
              </w:tc>
              <w:tc>
                <w:tcPr>
                  <w:tcW w:w="462" w:type="pct"/>
                  <w:shd w:val="clear" w:color="auto" w:fill="auto"/>
                  <w:vAlign w:val="center"/>
                </w:tcPr>
                <w:p>
                  <w:pPr>
                    <w:spacing w:line="300" w:lineRule="auto"/>
                    <w:jc w:val="center"/>
                  </w:pPr>
                  <w:r>
                    <w:rPr>
                      <w:rFonts w:hint="eastAsia"/>
                    </w:rPr>
                    <w:t>SO</w:t>
                  </w:r>
                  <w:r>
                    <w:rPr>
                      <w:rFonts w:hint="eastAsia"/>
                      <w:vertAlign w:val="subscript"/>
                    </w:rPr>
                    <w:t>2</w:t>
                  </w:r>
                </w:p>
              </w:tc>
              <w:tc>
                <w:tcPr>
                  <w:tcW w:w="498" w:type="pct"/>
                  <w:shd w:val="clear" w:color="auto" w:fill="auto"/>
                  <w:vAlign w:val="center"/>
                </w:tcPr>
                <w:p>
                  <w:pPr>
                    <w:spacing w:line="300" w:lineRule="auto"/>
                    <w:jc w:val="center"/>
                  </w:pPr>
                  <w:r>
                    <w:rPr>
                      <w:rFonts w:hint="eastAsia"/>
                    </w:rPr>
                    <w:t>37</w:t>
                  </w:r>
                </w:p>
              </w:tc>
              <w:tc>
                <w:tcPr>
                  <w:tcW w:w="495" w:type="pct"/>
                  <w:shd w:val="clear" w:color="auto" w:fill="auto"/>
                  <w:vAlign w:val="center"/>
                </w:tcPr>
                <w:p>
                  <w:pPr>
                    <w:spacing w:line="300" w:lineRule="auto"/>
                    <w:jc w:val="center"/>
                  </w:pPr>
                  <w:r>
                    <w:rPr>
                      <w:rFonts w:hint="eastAsia"/>
                    </w:rPr>
                    <w:t>0.285</w:t>
                  </w:r>
                </w:p>
              </w:tc>
              <w:tc>
                <w:tcPr>
                  <w:tcW w:w="561" w:type="pct"/>
                  <w:shd w:val="clear" w:color="auto" w:fill="auto"/>
                  <w:vAlign w:val="center"/>
                </w:tcPr>
                <w:p>
                  <w:pPr>
                    <w:spacing w:line="300" w:lineRule="auto"/>
                    <w:jc w:val="center"/>
                  </w:pPr>
                  <w:r>
                    <w:rPr>
                      <w:rFonts w:hint="eastAsia"/>
                    </w:rPr>
                    <w:t>0.456</w:t>
                  </w:r>
                </w:p>
              </w:tc>
              <w:tc>
                <w:tcPr>
                  <w:tcW w:w="266" w:type="pct"/>
                  <w:vMerge w:val="restart"/>
                  <w:shd w:val="clear" w:color="auto" w:fill="auto"/>
                  <w:vAlign w:val="center"/>
                </w:tcPr>
                <w:p>
                  <w:pPr>
                    <w:spacing w:line="300" w:lineRule="auto"/>
                    <w:jc w:val="center"/>
                  </w:pPr>
                  <w:r>
                    <w:rPr>
                      <w:rFonts w:hint="eastAsia"/>
                    </w:rPr>
                    <w:t>低氮燃烧</w:t>
                  </w:r>
                </w:p>
              </w:tc>
              <w:tc>
                <w:tcPr>
                  <w:tcW w:w="397" w:type="pct"/>
                  <w:vMerge w:val="restart"/>
                  <w:shd w:val="clear" w:color="auto" w:fill="auto"/>
                  <w:vAlign w:val="center"/>
                </w:tcPr>
                <w:p>
                  <w:pPr>
                    <w:spacing w:line="300" w:lineRule="auto"/>
                    <w:jc w:val="center"/>
                  </w:pPr>
                  <w:r>
                    <w:rPr>
                      <w:rFonts w:hint="eastAsia"/>
                    </w:rPr>
                    <w:t>7688</w:t>
                  </w:r>
                </w:p>
              </w:tc>
              <w:tc>
                <w:tcPr>
                  <w:tcW w:w="498" w:type="pct"/>
                  <w:shd w:val="clear" w:color="auto" w:fill="auto"/>
                  <w:vAlign w:val="center"/>
                </w:tcPr>
                <w:p>
                  <w:pPr>
                    <w:spacing w:line="300" w:lineRule="auto"/>
                    <w:jc w:val="center"/>
                  </w:pPr>
                  <w:r>
                    <w:rPr>
                      <w:rFonts w:hint="eastAsia"/>
                    </w:rPr>
                    <w:t>37</w:t>
                  </w:r>
                </w:p>
              </w:tc>
              <w:tc>
                <w:tcPr>
                  <w:tcW w:w="495" w:type="pct"/>
                  <w:shd w:val="clear" w:color="auto" w:fill="auto"/>
                  <w:vAlign w:val="center"/>
                </w:tcPr>
                <w:p>
                  <w:pPr>
                    <w:spacing w:line="300" w:lineRule="auto"/>
                    <w:jc w:val="center"/>
                  </w:pPr>
                  <w:r>
                    <w:rPr>
                      <w:rFonts w:hint="eastAsia"/>
                    </w:rPr>
                    <w:t>0.285</w:t>
                  </w:r>
                </w:p>
              </w:tc>
              <w:tc>
                <w:tcPr>
                  <w:tcW w:w="483" w:type="pct"/>
                  <w:shd w:val="clear" w:color="auto" w:fill="auto"/>
                  <w:vAlign w:val="center"/>
                </w:tcPr>
                <w:p>
                  <w:pPr>
                    <w:spacing w:line="300" w:lineRule="auto"/>
                    <w:jc w:val="center"/>
                  </w:pPr>
                  <w:r>
                    <w:rPr>
                      <w:rFonts w:hint="eastAsia"/>
                    </w:rPr>
                    <w:t>0.456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Merge w:val="continue"/>
                  <w:shd w:val="clear" w:color="auto" w:fill="auto"/>
                  <w:vAlign w:val="center"/>
                </w:tcPr>
                <w:p>
                  <w:pPr>
                    <w:spacing w:line="300" w:lineRule="auto"/>
                    <w:jc w:val="center"/>
                  </w:pPr>
                </w:p>
              </w:tc>
              <w:tc>
                <w:tcPr>
                  <w:tcW w:w="520" w:type="pct"/>
                  <w:vMerge w:val="continue"/>
                  <w:shd w:val="clear" w:color="auto" w:fill="auto"/>
                  <w:vAlign w:val="center"/>
                </w:tcPr>
                <w:p>
                  <w:pPr>
                    <w:spacing w:line="300" w:lineRule="auto"/>
                    <w:jc w:val="center"/>
                  </w:pPr>
                </w:p>
              </w:tc>
              <w:tc>
                <w:tcPr>
                  <w:tcW w:w="462" w:type="pct"/>
                  <w:shd w:val="clear" w:color="auto" w:fill="auto"/>
                  <w:vAlign w:val="center"/>
                </w:tcPr>
                <w:p>
                  <w:pPr>
                    <w:spacing w:line="300" w:lineRule="auto"/>
                    <w:jc w:val="center"/>
                  </w:pPr>
                  <w:r>
                    <w:rPr>
                      <w:rFonts w:hint="eastAsia"/>
                    </w:rPr>
                    <w:t>NO</w:t>
                  </w:r>
                  <w:r>
                    <w:rPr>
                      <w:rFonts w:hint="eastAsia"/>
                      <w:vertAlign w:val="subscript"/>
                    </w:rPr>
                    <w:t>X</w:t>
                  </w:r>
                </w:p>
              </w:tc>
              <w:tc>
                <w:tcPr>
                  <w:tcW w:w="498" w:type="pct"/>
                  <w:shd w:val="clear" w:color="auto" w:fill="auto"/>
                  <w:vAlign w:val="center"/>
                </w:tcPr>
                <w:p>
                  <w:pPr>
                    <w:spacing w:line="300" w:lineRule="auto"/>
                    <w:jc w:val="center"/>
                  </w:pPr>
                  <w:r>
                    <w:rPr>
                      <w:rFonts w:hint="eastAsia"/>
                    </w:rPr>
                    <w:t>147</w:t>
                  </w:r>
                </w:p>
              </w:tc>
              <w:tc>
                <w:tcPr>
                  <w:tcW w:w="495" w:type="pct"/>
                  <w:shd w:val="clear" w:color="auto" w:fill="auto"/>
                  <w:vAlign w:val="center"/>
                </w:tcPr>
                <w:p>
                  <w:pPr>
                    <w:spacing w:line="300" w:lineRule="auto"/>
                    <w:jc w:val="center"/>
                  </w:pPr>
                  <w:r>
                    <w:rPr>
                      <w:rFonts w:hint="eastAsia"/>
                    </w:rPr>
                    <w:t>1.13</w:t>
                  </w:r>
                </w:p>
              </w:tc>
              <w:tc>
                <w:tcPr>
                  <w:tcW w:w="561" w:type="pct"/>
                  <w:shd w:val="clear" w:color="auto" w:fill="auto"/>
                  <w:vAlign w:val="center"/>
                </w:tcPr>
                <w:p>
                  <w:pPr>
                    <w:spacing w:line="300" w:lineRule="auto"/>
                    <w:jc w:val="center"/>
                  </w:pPr>
                  <w:r>
                    <w:rPr>
                      <w:rFonts w:hint="eastAsia"/>
                    </w:rPr>
                    <w:t>1.81</w:t>
                  </w:r>
                </w:p>
              </w:tc>
              <w:tc>
                <w:tcPr>
                  <w:tcW w:w="266" w:type="pct"/>
                  <w:vMerge w:val="continue"/>
                  <w:shd w:val="clear" w:color="auto" w:fill="auto"/>
                  <w:vAlign w:val="center"/>
                </w:tcPr>
                <w:p>
                  <w:pPr>
                    <w:spacing w:line="300" w:lineRule="auto"/>
                    <w:jc w:val="center"/>
                  </w:pPr>
                </w:p>
              </w:tc>
              <w:tc>
                <w:tcPr>
                  <w:tcW w:w="397" w:type="pct"/>
                  <w:vMerge w:val="continue"/>
                  <w:shd w:val="clear" w:color="auto" w:fill="auto"/>
                  <w:vAlign w:val="center"/>
                </w:tcPr>
                <w:p>
                  <w:pPr>
                    <w:spacing w:line="300" w:lineRule="auto"/>
                    <w:jc w:val="center"/>
                  </w:pPr>
                </w:p>
              </w:tc>
              <w:tc>
                <w:tcPr>
                  <w:tcW w:w="498" w:type="pct"/>
                  <w:shd w:val="clear" w:color="auto" w:fill="auto"/>
                  <w:vAlign w:val="center"/>
                </w:tcPr>
                <w:p>
                  <w:pPr>
                    <w:spacing w:line="300" w:lineRule="auto"/>
                    <w:jc w:val="center"/>
                  </w:pPr>
                  <w:r>
                    <w:rPr>
                      <w:rFonts w:hint="eastAsia"/>
                    </w:rPr>
                    <w:t>147</w:t>
                  </w:r>
                </w:p>
              </w:tc>
              <w:tc>
                <w:tcPr>
                  <w:tcW w:w="495" w:type="pct"/>
                  <w:shd w:val="clear" w:color="auto" w:fill="auto"/>
                  <w:vAlign w:val="center"/>
                </w:tcPr>
                <w:p>
                  <w:pPr>
                    <w:spacing w:line="300" w:lineRule="auto"/>
                    <w:jc w:val="center"/>
                  </w:pPr>
                  <w:r>
                    <w:rPr>
                      <w:rFonts w:hint="eastAsia"/>
                    </w:rPr>
                    <w:t>1.13</w:t>
                  </w:r>
                </w:p>
              </w:tc>
              <w:tc>
                <w:tcPr>
                  <w:tcW w:w="483" w:type="pct"/>
                  <w:shd w:val="clear" w:color="auto" w:fill="auto"/>
                  <w:vAlign w:val="center"/>
                </w:tcPr>
                <w:p>
                  <w:pPr>
                    <w:spacing w:line="300" w:lineRule="auto"/>
                    <w:jc w:val="center"/>
                  </w:pPr>
                  <w:r>
                    <w:rPr>
                      <w:rFonts w:hint="eastAsia"/>
                    </w:rPr>
                    <w:t>1.81</w:t>
                  </w:r>
                </w:p>
              </w:tc>
            </w:tr>
          </w:tbl>
          <w:p>
            <w:pPr>
              <w:snapToGrid w:val="0"/>
              <w:spacing w:line="360" w:lineRule="auto"/>
              <w:ind w:firstLine="420"/>
              <w:rPr>
                <w:color w:val="FF0000"/>
              </w:rPr>
            </w:pPr>
          </w:p>
          <w:p>
            <w:pPr>
              <w:adjustRightInd w:val="0"/>
              <w:snapToGrid w:val="0"/>
              <w:spacing w:before="156" w:beforeLines="50" w:line="360" w:lineRule="auto"/>
              <w:ind w:firstLine="420"/>
              <w:rPr>
                <w:rFonts w:hAnsiTheme="minorEastAsia" w:eastAsiaTheme="minorEastAsia"/>
              </w:rPr>
            </w:pPr>
            <w:r>
              <w:rPr>
                <w:rFonts w:hint="eastAsia" w:hAnsiTheme="minorEastAsia" w:eastAsiaTheme="minorEastAsia"/>
              </w:rPr>
              <w:t>（2）废气影响分析</w:t>
            </w:r>
          </w:p>
          <w:p>
            <w:pPr>
              <w:snapToGrid w:val="0"/>
              <w:spacing w:line="360" w:lineRule="auto"/>
              <w:ind w:firstLine="420"/>
            </w:pPr>
            <w:r>
              <w:t>项目位于达标区，空气环境质量良好。</w:t>
            </w:r>
            <w:r>
              <w:rPr>
                <w:rFonts w:hint="eastAsia"/>
              </w:rPr>
              <w:t>本项目炒制、油炸工序会产生废气，油烟、颗粒物废气经处理后通过20m高排气筒DA001排放，颗粒物满足《大气污染物综合排放标准》（GB16297-1996）表2二级标准，油烟满足《饮食业油烟排放标准》（GB18483-2001）的限值要求。</w:t>
            </w:r>
          </w:p>
          <w:p>
            <w:pPr>
              <w:snapToGrid w:val="0"/>
              <w:spacing w:line="360" w:lineRule="auto"/>
              <w:ind w:firstLine="420"/>
            </w:pPr>
            <w:r>
              <w:rPr>
                <w:rFonts w:hint="eastAsia"/>
              </w:rPr>
              <w:t>项目炒制、油炸过程使用天然气作为燃料，属于清洁能源，项目使用低氮燃烧器，燃烧废气通过20m高排气筒DA002排放，排放废气满足《湖南省工业炉窑大气污染综合治理实施方案》（湘环发〔2020〕6号）附件中限值要求。</w:t>
            </w:r>
          </w:p>
          <w:p>
            <w:pPr>
              <w:snapToGrid w:val="0"/>
              <w:spacing w:line="360" w:lineRule="auto"/>
              <w:ind w:firstLine="420"/>
            </w:pPr>
            <w:r>
              <w:t>（</w:t>
            </w:r>
            <w:r>
              <w:rPr>
                <w:rFonts w:hint="eastAsia"/>
              </w:rPr>
              <w:t>3</w:t>
            </w:r>
            <w:r>
              <w:t>）废气治理措施的可行性分析</w:t>
            </w:r>
          </w:p>
          <w:p>
            <w:pPr>
              <w:snapToGrid w:val="0"/>
              <w:spacing w:line="360" w:lineRule="auto"/>
              <w:ind w:firstLine="420"/>
            </w:pPr>
            <w:r>
              <w:rPr>
                <w:rFonts w:hint="eastAsia"/>
              </w:rPr>
              <w:t>根据《</w:t>
            </w:r>
            <w:r>
              <w:fldChar w:fldCharType="begin"/>
            </w:r>
            <w:r>
              <w:instrText xml:space="preserve"> HYPERLINK "http://permit.mee.gov.cn/permitExt/images/20190828091823895.pdf" \t "_blank" </w:instrText>
            </w:r>
            <w:r>
              <w:fldChar w:fldCharType="separate"/>
            </w:r>
            <w:r>
              <w:rPr>
                <w:rFonts w:hint="eastAsia"/>
              </w:rPr>
              <w:t>排污许可证申请与核发技术规范 食品制造工业—方便食品、食品及饲料添加剂制造工业》（HJ 1030.3—2019）</w:t>
            </w:r>
            <w:r>
              <w:rPr>
                <w:rFonts w:hint="eastAsia"/>
              </w:rPr>
              <w:fldChar w:fldCharType="end"/>
            </w:r>
            <w:r>
              <w:t>表</w:t>
            </w:r>
            <w:r>
              <w:rPr>
                <w:rFonts w:hint="eastAsia"/>
              </w:rPr>
              <w:t>3-1可知，其他方便食品制造产生的颗粒物采用喷淋系统（本项目即采用喷淋除尘系统）除尘属于可行技术，油炸设备产生的油烟采用湿法油烟处理（本项目即采用水雾除油+离心除油）属于可行技术。</w:t>
            </w:r>
          </w:p>
          <w:p>
            <w:pPr>
              <w:snapToGrid w:val="0"/>
              <w:spacing w:line="360" w:lineRule="auto"/>
              <w:ind w:firstLine="420"/>
            </w:pPr>
            <w:r>
              <w:rPr>
                <w:rFonts w:hint="eastAsia"/>
              </w:rPr>
              <w:t>（4）大气污染源监测计划</w:t>
            </w:r>
          </w:p>
          <w:p>
            <w:pPr>
              <w:snapToGrid w:val="0"/>
              <w:spacing w:line="360" w:lineRule="auto"/>
              <w:ind w:firstLine="420"/>
            </w:pPr>
            <w:r>
              <w:rPr>
                <w:rFonts w:hint="eastAsia"/>
              </w:rPr>
              <w:t>根据《排污单位自行监测技术指南 总则》（HJ819-2017）、《排污许可证申请与核发技术规范 食品制造工业—方便食品、食品及饲料添加剂制造工业》（HJ 1030.3—2019）、《排污许可证申请与核发技术规范 工业炉窑》（HJ1121-2020）等规定的监测要求，本项目废气监测计划具体要求见下表。</w:t>
            </w:r>
          </w:p>
          <w:p>
            <w:pPr>
              <w:adjustRightInd w:val="0"/>
              <w:spacing w:line="360" w:lineRule="auto"/>
              <w:jc w:val="center"/>
              <w:rPr>
                <w:b/>
                <w:bCs/>
              </w:rPr>
            </w:pPr>
            <w:r>
              <w:rPr>
                <w:b/>
                <w:bCs/>
              </w:rPr>
              <w:t>表4-</w:t>
            </w:r>
            <w:r>
              <w:rPr>
                <w:rFonts w:hint="eastAsia"/>
                <w:b/>
                <w:bCs/>
              </w:rPr>
              <w:t xml:space="preserve">2 </w:t>
            </w:r>
            <w:r>
              <w:rPr>
                <w:b/>
                <w:bCs/>
              </w:rPr>
              <w:t>废气监测计划表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4172"/>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Align w:val="center"/>
                </w:tcPr>
                <w:p>
                  <w:pPr>
                    <w:spacing w:line="300" w:lineRule="auto"/>
                    <w:jc w:val="center"/>
                    <w:rPr>
                      <w:b/>
                      <w:szCs w:val="24"/>
                    </w:rPr>
                  </w:pPr>
                  <w:r>
                    <w:rPr>
                      <w:b/>
                      <w:szCs w:val="24"/>
                    </w:rPr>
                    <w:t>监测点位</w:t>
                  </w:r>
                </w:p>
              </w:tc>
              <w:tc>
                <w:tcPr>
                  <w:tcW w:w="2602" w:type="pct"/>
                  <w:vAlign w:val="center"/>
                </w:tcPr>
                <w:p>
                  <w:pPr>
                    <w:spacing w:line="300" w:lineRule="auto"/>
                    <w:jc w:val="center"/>
                    <w:rPr>
                      <w:b/>
                      <w:szCs w:val="24"/>
                    </w:rPr>
                  </w:pPr>
                  <w:r>
                    <w:rPr>
                      <w:b/>
                      <w:szCs w:val="24"/>
                    </w:rPr>
                    <w:t>监测因子</w:t>
                  </w:r>
                </w:p>
              </w:tc>
              <w:tc>
                <w:tcPr>
                  <w:tcW w:w="1206" w:type="pct"/>
                  <w:vAlign w:val="center"/>
                </w:tcPr>
                <w:p>
                  <w:pPr>
                    <w:spacing w:line="300" w:lineRule="auto"/>
                    <w:jc w:val="center"/>
                    <w:rPr>
                      <w:b/>
                      <w:szCs w:val="24"/>
                    </w:rPr>
                  </w:pPr>
                  <w:r>
                    <w:rPr>
                      <w:b/>
                      <w:szCs w:val="24"/>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Align w:val="center"/>
                </w:tcPr>
                <w:p>
                  <w:pPr>
                    <w:spacing w:line="300" w:lineRule="auto"/>
                    <w:jc w:val="center"/>
                    <w:rPr>
                      <w:szCs w:val="24"/>
                    </w:rPr>
                  </w:pPr>
                  <w:r>
                    <w:rPr>
                      <w:rFonts w:hint="eastAsia"/>
                      <w:szCs w:val="24"/>
                    </w:rPr>
                    <w:t>DA001</w:t>
                  </w:r>
                  <w:r>
                    <w:rPr>
                      <w:szCs w:val="24"/>
                    </w:rPr>
                    <w:t>排气筒</w:t>
                  </w:r>
                </w:p>
              </w:tc>
              <w:tc>
                <w:tcPr>
                  <w:tcW w:w="2602" w:type="pct"/>
                  <w:vAlign w:val="center"/>
                </w:tcPr>
                <w:p>
                  <w:pPr>
                    <w:spacing w:line="300" w:lineRule="auto"/>
                    <w:jc w:val="center"/>
                    <w:rPr>
                      <w:szCs w:val="24"/>
                    </w:rPr>
                  </w:pPr>
                  <w:r>
                    <w:rPr>
                      <w:rFonts w:hint="eastAsia"/>
                      <w:szCs w:val="24"/>
                    </w:rPr>
                    <w:t>颗粒物、油烟</w:t>
                  </w:r>
                </w:p>
              </w:tc>
              <w:tc>
                <w:tcPr>
                  <w:tcW w:w="1206" w:type="pct"/>
                  <w:vAlign w:val="center"/>
                </w:tcPr>
                <w:p>
                  <w:pPr>
                    <w:spacing w:line="300" w:lineRule="auto"/>
                    <w:jc w:val="center"/>
                    <w:rPr>
                      <w:szCs w:val="24"/>
                    </w:rPr>
                  </w:pPr>
                  <w:r>
                    <w:rPr>
                      <w:szCs w:val="24"/>
                    </w:rPr>
                    <w:t>1次/</w:t>
                  </w:r>
                  <w:r>
                    <w:rPr>
                      <w:rFonts w:hint="eastAsia"/>
                      <w:szCs w:val="24"/>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192" w:type="pct"/>
                  <w:vAlign w:val="center"/>
                </w:tcPr>
                <w:p>
                  <w:pPr>
                    <w:spacing w:line="300" w:lineRule="auto"/>
                    <w:jc w:val="center"/>
                    <w:rPr>
                      <w:szCs w:val="24"/>
                    </w:rPr>
                  </w:pPr>
                  <w:r>
                    <w:rPr>
                      <w:rFonts w:hint="eastAsia"/>
                      <w:szCs w:val="24"/>
                    </w:rPr>
                    <w:t>DA002</w:t>
                  </w:r>
                  <w:r>
                    <w:rPr>
                      <w:szCs w:val="24"/>
                    </w:rPr>
                    <w:t>排气筒</w:t>
                  </w:r>
                </w:p>
              </w:tc>
              <w:tc>
                <w:tcPr>
                  <w:tcW w:w="2602" w:type="pct"/>
                  <w:vAlign w:val="center"/>
                </w:tcPr>
                <w:p>
                  <w:pPr>
                    <w:spacing w:line="300" w:lineRule="auto"/>
                    <w:jc w:val="center"/>
                    <w:rPr>
                      <w:szCs w:val="24"/>
                    </w:rPr>
                  </w:pPr>
                  <w:r>
                    <w:rPr>
                      <w:rFonts w:hint="eastAsia"/>
                      <w:szCs w:val="24"/>
                    </w:rPr>
                    <w:t>颗粒物、SO</w:t>
                  </w:r>
                  <w:r>
                    <w:rPr>
                      <w:rFonts w:hint="eastAsia"/>
                      <w:szCs w:val="24"/>
                      <w:vertAlign w:val="subscript"/>
                    </w:rPr>
                    <w:t>2</w:t>
                  </w:r>
                  <w:r>
                    <w:rPr>
                      <w:rFonts w:hint="eastAsia"/>
                      <w:szCs w:val="24"/>
                    </w:rPr>
                    <w:t>、NOx</w:t>
                  </w:r>
                </w:p>
              </w:tc>
              <w:tc>
                <w:tcPr>
                  <w:tcW w:w="1206" w:type="pct"/>
                  <w:vAlign w:val="center"/>
                </w:tcPr>
                <w:p>
                  <w:pPr>
                    <w:spacing w:line="300" w:lineRule="auto"/>
                    <w:jc w:val="center"/>
                    <w:rPr>
                      <w:szCs w:val="24"/>
                    </w:rPr>
                  </w:pPr>
                  <w:r>
                    <w:rPr>
                      <w:szCs w:val="24"/>
                    </w:rPr>
                    <w:t>1次/</w:t>
                  </w:r>
                  <w:r>
                    <w:rPr>
                      <w:rFonts w:hint="eastAsia"/>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192" w:type="pct"/>
                  <w:vAlign w:val="center"/>
                </w:tcPr>
                <w:p>
                  <w:pPr>
                    <w:spacing w:line="300" w:lineRule="auto"/>
                    <w:jc w:val="center"/>
                    <w:rPr>
                      <w:szCs w:val="24"/>
                    </w:rPr>
                  </w:pPr>
                  <w:r>
                    <w:rPr>
                      <w:rFonts w:hint="eastAsia"/>
                      <w:szCs w:val="24"/>
                    </w:rPr>
                    <w:t>厂界</w:t>
                  </w:r>
                </w:p>
              </w:tc>
              <w:tc>
                <w:tcPr>
                  <w:tcW w:w="2602" w:type="pct"/>
                  <w:vAlign w:val="center"/>
                </w:tcPr>
                <w:p>
                  <w:pPr>
                    <w:spacing w:line="300" w:lineRule="auto"/>
                    <w:jc w:val="center"/>
                    <w:rPr>
                      <w:szCs w:val="24"/>
                    </w:rPr>
                  </w:pPr>
                  <w:r>
                    <w:rPr>
                      <w:rFonts w:hint="eastAsia"/>
                      <w:szCs w:val="24"/>
                    </w:rPr>
                    <w:t>颗粒物</w:t>
                  </w:r>
                </w:p>
              </w:tc>
              <w:tc>
                <w:tcPr>
                  <w:tcW w:w="1206" w:type="pct"/>
                  <w:vAlign w:val="center"/>
                </w:tcPr>
                <w:p>
                  <w:pPr>
                    <w:spacing w:line="300" w:lineRule="auto"/>
                    <w:jc w:val="center"/>
                    <w:rPr>
                      <w:szCs w:val="24"/>
                    </w:rPr>
                  </w:pPr>
                  <w:r>
                    <w:rPr>
                      <w:szCs w:val="24"/>
                    </w:rPr>
                    <w:t>1次/</w:t>
                  </w:r>
                  <w:r>
                    <w:rPr>
                      <w:rFonts w:hint="eastAsia"/>
                      <w:szCs w:val="24"/>
                    </w:rPr>
                    <w:t>半年</w:t>
                  </w:r>
                </w:p>
              </w:tc>
            </w:tr>
          </w:tbl>
          <w:p>
            <w:pPr>
              <w:adjustRightInd w:val="0"/>
              <w:snapToGrid w:val="0"/>
              <w:spacing w:before="156" w:beforeLines="50" w:line="360" w:lineRule="auto"/>
              <w:rPr>
                <w:b/>
                <w:bCs/>
              </w:rPr>
            </w:pPr>
            <w:r>
              <w:rPr>
                <w:rFonts w:hint="eastAsia"/>
                <w:b/>
                <w:bCs/>
              </w:rPr>
              <w:t>2、废水</w:t>
            </w:r>
          </w:p>
          <w:p>
            <w:pPr>
              <w:snapToGrid w:val="0"/>
              <w:spacing w:line="360" w:lineRule="auto"/>
              <w:ind w:firstLine="420"/>
            </w:pPr>
            <w:r>
              <w:rPr>
                <w:rFonts w:hint="eastAsia"/>
              </w:rPr>
              <w:t>（1）源强核算</w:t>
            </w:r>
          </w:p>
          <w:p>
            <w:pPr>
              <w:snapToGrid w:val="0"/>
              <w:spacing w:line="360" w:lineRule="auto"/>
              <w:ind w:firstLine="420"/>
            </w:pPr>
            <w:r>
              <w:rPr>
                <w:rFonts w:hint="eastAsia"/>
              </w:rPr>
              <w:t>营运期项目废水主要为清洗浸泡废水、废气处理废水和员工生活污水。</w:t>
            </w:r>
          </w:p>
          <w:p>
            <w:pPr>
              <w:snapToGrid w:val="0"/>
              <w:spacing w:line="360" w:lineRule="auto"/>
              <w:ind w:firstLine="420"/>
            </w:pPr>
            <w:r>
              <w:rPr>
                <w:rFonts w:hint="eastAsia"/>
              </w:rPr>
              <w:t>清洗浸泡废水产生量为9000 m</w:t>
            </w:r>
            <w:r>
              <w:rPr>
                <w:rFonts w:hint="eastAsia"/>
                <w:vertAlign w:val="superscript"/>
              </w:rPr>
              <w:t>3</w:t>
            </w:r>
            <w:r>
              <w:rPr>
                <w:rFonts w:hint="eastAsia"/>
              </w:rPr>
              <w:t>/a。清洗浸泡过程不使用添加剂，仅清洗表面的灰尘，参考同行业清洗废水污染物浓度为SS 500mg/L，COD 600 mg/L。废气处理废水产生量为2000 m</w:t>
            </w:r>
            <w:r>
              <w:rPr>
                <w:rFonts w:hint="eastAsia"/>
                <w:vertAlign w:val="superscript"/>
              </w:rPr>
              <w:t>3</w:t>
            </w:r>
            <w:r>
              <w:rPr>
                <w:rFonts w:hint="eastAsia"/>
              </w:rPr>
              <w:t>/a，污染物浓度为SS 500mg/L，COD 600 mg/L，石油类100 mg/L。隔油沉淀池对COD</w:t>
            </w:r>
            <w:r>
              <w:rPr>
                <w:rFonts w:hint="eastAsia"/>
                <w:vertAlign w:val="subscript"/>
              </w:rPr>
              <w:t>Cr</w:t>
            </w:r>
            <w:r>
              <w:rPr>
                <w:rFonts w:hint="eastAsia"/>
              </w:rPr>
              <w:t>、SS、石油类的去除效率分别为25%、70%、65%。</w:t>
            </w:r>
          </w:p>
          <w:p>
            <w:pPr>
              <w:snapToGrid w:val="0"/>
              <w:spacing w:line="360" w:lineRule="auto"/>
              <w:ind w:firstLine="420"/>
            </w:pPr>
            <w:r>
              <w:rPr>
                <w:rFonts w:hint="eastAsia"/>
              </w:rPr>
              <w:t>根据水平衡分析，项目生活污水产生量为720m</w:t>
            </w:r>
            <w:r>
              <w:rPr>
                <w:rFonts w:hint="eastAsia"/>
                <w:vertAlign w:val="superscript"/>
              </w:rPr>
              <w:t>3</w:t>
            </w:r>
            <w:r>
              <w:rPr>
                <w:rFonts w:hint="eastAsia"/>
              </w:rPr>
              <w:t>/a。废水中污染因子主要含有COD</w:t>
            </w:r>
            <w:r>
              <w:rPr>
                <w:rFonts w:hint="eastAsia"/>
                <w:vertAlign w:val="subscript"/>
              </w:rPr>
              <w:t>Cr</w:t>
            </w:r>
            <w:r>
              <w:rPr>
                <w:rFonts w:hint="eastAsia"/>
              </w:rPr>
              <w:t>、BOD</w:t>
            </w:r>
            <w:r>
              <w:rPr>
                <w:rFonts w:hint="eastAsia"/>
                <w:vertAlign w:val="subscript"/>
              </w:rPr>
              <w:t>5</w:t>
            </w:r>
            <w:r>
              <w:rPr>
                <w:rFonts w:hint="eastAsia"/>
              </w:rPr>
              <w:t>、SS、NH</w:t>
            </w:r>
            <w:r>
              <w:rPr>
                <w:rFonts w:hint="eastAsia"/>
                <w:vertAlign w:val="subscript"/>
              </w:rPr>
              <w:t>3</w:t>
            </w:r>
            <w:r>
              <w:rPr>
                <w:rFonts w:hint="eastAsia"/>
              </w:rPr>
              <w:t>-N、动植物油等污染物。生活污水经化粪池预处理后纳入园区污水管网。生活污水的污染物浓度值为COD</w:t>
            </w:r>
            <w:r>
              <w:rPr>
                <w:rFonts w:hint="eastAsia"/>
                <w:vertAlign w:val="subscript"/>
              </w:rPr>
              <w:t>Cr</w:t>
            </w:r>
            <w:r>
              <w:rPr>
                <w:rFonts w:hint="eastAsia"/>
              </w:rPr>
              <w:t>：250mg/L，BOD</w:t>
            </w:r>
            <w:r>
              <w:rPr>
                <w:rFonts w:hint="eastAsia"/>
                <w:vertAlign w:val="subscript"/>
              </w:rPr>
              <w:t>5</w:t>
            </w:r>
            <w:r>
              <w:rPr>
                <w:rFonts w:hint="eastAsia"/>
              </w:rPr>
              <w:t>：120mg/L，SS：200mg/L，氨氮：25mg/L。化粪池对COD</w:t>
            </w:r>
            <w:r>
              <w:rPr>
                <w:rFonts w:hint="eastAsia"/>
                <w:vertAlign w:val="subscript"/>
              </w:rPr>
              <w:t>Cr</w:t>
            </w:r>
            <w:r>
              <w:rPr>
                <w:rFonts w:hint="eastAsia"/>
              </w:rPr>
              <w:t>、BOD</w:t>
            </w:r>
            <w:r>
              <w:rPr>
                <w:rFonts w:hint="eastAsia"/>
                <w:vertAlign w:val="subscript"/>
              </w:rPr>
              <w:t>5</w:t>
            </w:r>
            <w:r>
              <w:rPr>
                <w:rFonts w:hint="eastAsia"/>
              </w:rPr>
              <w:t>、SS、NH</w:t>
            </w:r>
            <w:r>
              <w:rPr>
                <w:rFonts w:hint="eastAsia"/>
                <w:vertAlign w:val="subscript"/>
              </w:rPr>
              <w:t>3</w:t>
            </w:r>
            <w:r>
              <w:rPr>
                <w:rFonts w:hint="eastAsia"/>
              </w:rPr>
              <w:t>-N的去除率分别为20%、20%、30%、5%。</w:t>
            </w:r>
            <w:r>
              <w:t>项目污水产生及排放情况见</w:t>
            </w:r>
            <w:r>
              <w:rPr>
                <w:rFonts w:hint="eastAsia"/>
              </w:rPr>
              <w:t>下表</w:t>
            </w:r>
            <w:r>
              <w:t>。</w:t>
            </w:r>
          </w:p>
          <w:p>
            <w:pPr>
              <w:pStyle w:val="17"/>
              <w:spacing w:beforeLines="0"/>
              <w:ind w:firstLine="0" w:firstLineChars="0"/>
              <w:jc w:val="center"/>
              <w:rPr>
                <w:rFonts w:hAnsi="宋体"/>
                <w:b/>
                <w:bCs/>
                <w:sz w:val="21"/>
                <w:szCs w:val="21"/>
              </w:rPr>
            </w:pPr>
            <w:r>
              <w:rPr>
                <w:rFonts w:hint="eastAsia" w:hAnsi="宋体"/>
                <w:b/>
                <w:bCs/>
                <w:sz w:val="21"/>
                <w:szCs w:val="21"/>
              </w:rPr>
              <w:t>表4-3  项目废水产生及排放情况一览表</w:t>
            </w:r>
          </w:p>
          <w:tbl>
            <w:tblPr>
              <w:tblStyle w:val="18"/>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937"/>
              <w:gridCol w:w="1156"/>
              <w:gridCol w:w="1063"/>
              <w:gridCol w:w="1067"/>
              <w:gridCol w:w="1299"/>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shd w:val="clear" w:color="auto" w:fill="auto"/>
                  <w:vAlign w:val="center"/>
                </w:tcPr>
                <w:p>
                  <w:pPr>
                    <w:spacing w:line="360" w:lineRule="auto"/>
                    <w:jc w:val="center"/>
                    <w:rPr>
                      <w:b/>
                      <w:bCs/>
                    </w:rPr>
                  </w:pPr>
                  <w:r>
                    <w:rPr>
                      <w:b/>
                      <w:bCs/>
                    </w:rPr>
                    <w:t>污染源</w:t>
                  </w:r>
                </w:p>
              </w:tc>
              <w:tc>
                <w:tcPr>
                  <w:tcW w:w="605" w:type="pct"/>
                  <w:shd w:val="clear" w:color="auto" w:fill="auto"/>
                  <w:vAlign w:val="center"/>
                </w:tcPr>
                <w:p>
                  <w:pPr>
                    <w:spacing w:line="360" w:lineRule="auto"/>
                    <w:jc w:val="center"/>
                    <w:rPr>
                      <w:b/>
                      <w:bCs/>
                    </w:rPr>
                  </w:pPr>
                  <w:r>
                    <w:rPr>
                      <w:b/>
                      <w:bCs/>
                    </w:rPr>
                    <w:t>产生量m</w:t>
                  </w:r>
                  <w:r>
                    <w:rPr>
                      <w:b/>
                      <w:bCs/>
                      <w:vertAlign w:val="superscript"/>
                    </w:rPr>
                    <w:t>3</w:t>
                  </w:r>
                  <w:r>
                    <w:rPr>
                      <w:b/>
                      <w:bCs/>
                    </w:rPr>
                    <w:t>/a</w:t>
                  </w:r>
                </w:p>
              </w:tc>
              <w:tc>
                <w:tcPr>
                  <w:tcW w:w="747" w:type="pct"/>
                  <w:shd w:val="clear" w:color="auto" w:fill="auto"/>
                  <w:vAlign w:val="center"/>
                </w:tcPr>
                <w:p>
                  <w:pPr>
                    <w:spacing w:line="360" w:lineRule="auto"/>
                    <w:jc w:val="center"/>
                    <w:rPr>
                      <w:b/>
                      <w:bCs/>
                    </w:rPr>
                  </w:pPr>
                  <w:r>
                    <w:rPr>
                      <w:b/>
                      <w:bCs/>
                    </w:rPr>
                    <w:t>污染物</w:t>
                  </w:r>
                </w:p>
              </w:tc>
              <w:tc>
                <w:tcPr>
                  <w:tcW w:w="687" w:type="pct"/>
                  <w:shd w:val="clear" w:color="auto" w:fill="auto"/>
                  <w:vAlign w:val="center"/>
                </w:tcPr>
                <w:p>
                  <w:pPr>
                    <w:spacing w:line="360" w:lineRule="auto"/>
                    <w:jc w:val="center"/>
                    <w:rPr>
                      <w:b/>
                      <w:bCs/>
                    </w:rPr>
                  </w:pPr>
                  <w:r>
                    <w:rPr>
                      <w:b/>
                      <w:bCs/>
                    </w:rPr>
                    <w:t>产生浓度mg/L</w:t>
                  </w:r>
                </w:p>
              </w:tc>
              <w:tc>
                <w:tcPr>
                  <w:tcW w:w="689" w:type="pct"/>
                  <w:shd w:val="clear" w:color="auto" w:fill="auto"/>
                  <w:vAlign w:val="center"/>
                </w:tcPr>
                <w:p>
                  <w:pPr>
                    <w:spacing w:line="360" w:lineRule="auto"/>
                    <w:jc w:val="center"/>
                    <w:rPr>
                      <w:b/>
                      <w:bCs/>
                    </w:rPr>
                  </w:pPr>
                  <w:r>
                    <w:rPr>
                      <w:b/>
                      <w:bCs/>
                    </w:rPr>
                    <w:t>产生量</w:t>
                  </w:r>
                </w:p>
                <w:p>
                  <w:pPr>
                    <w:spacing w:line="360" w:lineRule="auto"/>
                    <w:jc w:val="center"/>
                    <w:rPr>
                      <w:b/>
                      <w:bCs/>
                    </w:rPr>
                  </w:pPr>
                  <w:r>
                    <w:rPr>
                      <w:b/>
                      <w:bCs/>
                    </w:rPr>
                    <w:t>t/a</w:t>
                  </w:r>
                </w:p>
              </w:tc>
              <w:tc>
                <w:tcPr>
                  <w:tcW w:w="839" w:type="pct"/>
                  <w:shd w:val="clear" w:color="auto" w:fill="auto"/>
                  <w:vAlign w:val="center"/>
                </w:tcPr>
                <w:p>
                  <w:pPr>
                    <w:spacing w:line="360" w:lineRule="auto"/>
                    <w:jc w:val="center"/>
                    <w:rPr>
                      <w:b/>
                      <w:bCs/>
                    </w:rPr>
                  </w:pPr>
                  <w:r>
                    <w:rPr>
                      <w:b/>
                      <w:bCs/>
                    </w:rPr>
                    <w:t>治理措施</w:t>
                  </w:r>
                </w:p>
              </w:tc>
              <w:tc>
                <w:tcPr>
                  <w:tcW w:w="695" w:type="pct"/>
                  <w:shd w:val="clear" w:color="auto" w:fill="auto"/>
                  <w:vAlign w:val="center"/>
                </w:tcPr>
                <w:p>
                  <w:pPr>
                    <w:spacing w:line="360" w:lineRule="auto"/>
                    <w:jc w:val="center"/>
                    <w:rPr>
                      <w:b/>
                      <w:bCs/>
                    </w:rPr>
                  </w:pPr>
                  <w:r>
                    <w:rPr>
                      <w:b/>
                      <w:bCs/>
                    </w:rPr>
                    <w:t>去除率%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restart"/>
                  <w:shd w:val="clear" w:color="auto" w:fill="auto"/>
                  <w:vAlign w:val="center"/>
                </w:tcPr>
                <w:p>
                  <w:pPr>
                    <w:spacing w:line="360" w:lineRule="auto"/>
                    <w:jc w:val="center"/>
                    <w:rPr>
                      <w:bCs/>
                    </w:rPr>
                  </w:pPr>
                  <w:r>
                    <w:rPr>
                      <w:rFonts w:hint="eastAsia"/>
                    </w:rPr>
                    <w:t>清洗浸泡废水</w:t>
                  </w:r>
                </w:p>
              </w:tc>
              <w:tc>
                <w:tcPr>
                  <w:tcW w:w="605" w:type="pct"/>
                  <w:vMerge w:val="restart"/>
                  <w:shd w:val="clear" w:color="auto" w:fill="auto"/>
                  <w:vAlign w:val="center"/>
                </w:tcPr>
                <w:p>
                  <w:pPr>
                    <w:spacing w:line="360" w:lineRule="auto"/>
                    <w:jc w:val="center"/>
                    <w:rPr>
                      <w:bCs/>
                    </w:rPr>
                  </w:pPr>
                  <w:r>
                    <w:rPr>
                      <w:rFonts w:hint="eastAsia"/>
                      <w:bCs/>
                    </w:rPr>
                    <w:t>9000</w:t>
                  </w:r>
                </w:p>
              </w:tc>
              <w:tc>
                <w:tcPr>
                  <w:tcW w:w="747" w:type="pct"/>
                  <w:shd w:val="clear" w:color="auto" w:fill="auto"/>
                  <w:vAlign w:val="center"/>
                </w:tcPr>
                <w:p>
                  <w:pPr>
                    <w:spacing w:line="360" w:lineRule="auto"/>
                    <w:jc w:val="center"/>
                    <w:rPr>
                      <w:bCs/>
                    </w:rPr>
                  </w:pPr>
                  <w:r>
                    <w:rPr>
                      <w:rFonts w:hint="eastAsia"/>
                    </w:rPr>
                    <w:t>COD</w:t>
                  </w:r>
                  <w:r>
                    <w:rPr>
                      <w:rFonts w:hint="eastAsia"/>
                      <w:vertAlign w:val="subscript"/>
                    </w:rPr>
                    <w:t>Cr</w:t>
                  </w:r>
                </w:p>
              </w:tc>
              <w:tc>
                <w:tcPr>
                  <w:tcW w:w="687" w:type="pct"/>
                  <w:shd w:val="clear" w:color="auto" w:fill="auto"/>
                  <w:vAlign w:val="center"/>
                </w:tcPr>
                <w:p>
                  <w:pPr>
                    <w:spacing w:line="360" w:lineRule="auto"/>
                    <w:jc w:val="center"/>
                    <w:rPr>
                      <w:bCs/>
                    </w:rPr>
                  </w:pPr>
                  <w:r>
                    <w:rPr>
                      <w:rFonts w:hint="eastAsia"/>
                      <w:bCs/>
                    </w:rPr>
                    <w:t>600</w:t>
                  </w:r>
                </w:p>
              </w:tc>
              <w:tc>
                <w:tcPr>
                  <w:tcW w:w="689" w:type="pct"/>
                  <w:shd w:val="clear" w:color="auto" w:fill="auto"/>
                  <w:vAlign w:val="center"/>
                </w:tcPr>
                <w:p>
                  <w:pPr>
                    <w:spacing w:line="360" w:lineRule="auto"/>
                    <w:jc w:val="center"/>
                    <w:rPr>
                      <w:bCs/>
                    </w:rPr>
                  </w:pPr>
                  <w:r>
                    <w:rPr>
                      <w:rFonts w:hint="eastAsia"/>
                      <w:bCs/>
                    </w:rPr>
                    <w:t>5.4</w:t>
                  </w:r>
                </w:p>
              </w:tc>
              <w:tc>
                <w:tcPr>
                  <w:tcW w:w="839" w:type="pct"/>
                  <w:vMerge w:val="restart"/>
                  <w:shd w:val="clear" w:color="auto" w:fill="auto"/>
                  <w:vAlign w:val="center"/>
                </w:tcPr>
                <w:p>
                  <w:pPr>
                    <w:spacing w:line="360" w:lineRule="auto"/>
                    <w:jc w:val="center"/>
                    <w:rPr>
                      <w:bCs/>
                    </w:rPr>
                  </w:pPr>
                  <w:r>
                    <w:rPr>
                      <w:bCs/>
                    </w:rPr>
                    <w:t>隔油沉淀</w:t>
                  </w:r>
                </w:p>
              </w:tc>
              <w:tc>
                <w:tcPr>
                  <w:tcW w:w="695" w:type="pct"/>
                  <w:shd w:val="clear" w:color="auto" w:fill="auto"/>
                  <w:vAlign w:val="center"/>
                </w:tcPr>
                <w:p>
                  <w:pPr>
                    <w:spacing w:line="360" w:lineRule="auto"/>
                    <w:jc w:val="center"/>
                    <w:rPr>
                      <w:bCs/>
                    </w:rPr>
                  </w:pPr>
                  <w:r>
                    <w:rPr>
                      <w:rFonts w:hint="eastAsia"/>
                      <w:b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continue"/>
                  <w:shd w:val="clear" w:color="auto" w:fill="auto"/>
                  <w:vAlign w:val="center"/>
                </w:tcPr>
                <w:p>
                  <w:pPr>
                    <w:spacing w:line="360" w:lineRule="auto"/>
                    <w:jc w:val="center"/>
                    <w:rPr>
                      <w:bCs/>
                    </w:rPr>
                  </w:pPr>
                </w:p>
              </w:tc>
              <w:tc>
                <w:tcPr>
                  <w:tcW w:w="605" w:type="pct"/>
                  <w:vMerge w:val="continue"/>
                  <w:shd w:val="clear" w:color="auto" w:fill="auto"/>
                  <w:vAlign w:val="center"/>
                </w:tcPr>
                <w:p>
                  <w:pPr>
                    <w:spacing w:line="360" w:lineRule="auto"/>
                    <w:jc w:val="center"/>
                    <w:rPr>
                      <w:bCs/>
                    </w:rPr>
                  </w:pPr>
                </w:p>
              </w:tc>
              <w:tc>
                <w:tcPr>
                  <w:tcW w:w="747" w:type="pct"/>
                  <w:shd w:val="clear" w:color="auto" w:fill="auto"/>
                  <w:vAlign w:val="center"/>
                </w:tcPr>
                <w:p>
                  <w:pPr>
                    <w:spacing w:line="360" w:lineRule="auto"/>
                    <w:jc w:val="center"/>
                    <w:rPr>
                      <w:bCs/>
                    </w:rPr>
                  </w:pPr>
                  <w:r>
                    <w:rPr>
                      <w:rFonts w:hint="eastAsia"/>
                    </w:rPr>
                    <w:t>SS</w:t>
                  </w:r>
                </w:p>
              </w:tc>
              <w:tc>
                <w:tcPr>
                  <w:tcW w:w="687" w:type="pct"/>
                  <w:shd w:val="clear" w:color="auto" w:fill="auto"/>
                  <w:vAlign w:val="center"/>
                </w:tcPr>
                <w:p>
                  <w:pPr>
                    <w:spacing w:line="360" w:lineRule="auto"/>
                    <w:jc w:val="center"/>
                    <w:rPr>
                      <w:bCs/>
                    </w:rPr>
                  </w:pPr>
                  <w:r>
                    <w:rPr>
                      <w:rFonts w:hint="eastAsia"/>
                      <w:bCs/>
                    </w:rPr>
                    <w:t>500</w:t>
                  </w:r>
                </w:p>
              </w:tc>
              <w:tc>
                <w:tcPr>
                  <w:tcW w:w="689" w:type="pct"/>
                  <w:shd w:val="clear" w:color="auto" w:fill="auto"/>
                  <w:vAlign w:val="center"/>
                </w:tcPr>
                <w:p>
                  <w:pPr>
                    <w:spacing w:line="360" w:lineRule="auto"/>
                    <w:jc w:val="center"/>
                    <w:rPr>
                      <w:bCs/>
                    </w:rPr>
                  </w:pPr>
                  <w:r>
                    <w:rPr>
                      <w:rFonts w:hint="eastAsia"/>
                      <w:bCs/>
                    </w:rPr>
                    <w:t>4.5</w:t>
                  </w:r>
                </w:p>
              </w:tc>
              <w:tc>
                <w:tcPr>
                  <w:tcW w:w="839" w:type="pct"/>
                  <w:vMerge w:val="continue"/>
                  <w:shd w:val="clear" w:color="auto" w:fill="auto"/>
                  <w:vAlign w:val="center"/>
                </w:tcPr>
                <w:p>
                  <w:pPr>
                    <w:spacing w:line="360" w:lineRule="auto"/>
                    <w:jc w:val="center"/>
                    <w:rPr>
                      <w:bCs/>
                    </w:rPr>
                  </w:pPr>
                </w:p>
              </w:tc>
              <w:tc>
                <w:tcPr>
                  <w:tcW w:w="695" w:type="pct"/>
                  <w:shd w:val="clear" w:color="auto" w:fill="auto"/>
                  <w:vAlign w:val="center"/>
                </w:tcPr>
                <w:p>
                  <w:pPr>
                    <w:spacing w:line="360" w:lineRule="auto"/>
                    <w:jc w:val="center"/>
                    <w:rPr>
                      <w:bCs/>
                    </w:rPr>
                  </w:pPr>
                  <w:r>
                    <w:rPr>
                      <w:rFonts w:hint="eastAsia"/>
                      <w:bCs/>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restart"/>
                  <w:shd w:val="clear" w:color="auto" w:fill="auto"/>
                  <w:vAlign w:val="center"/>
                </w:tcPr>
                <w:p>
                  <w:pPr>
                    <w:spacing w:line="360" w:lineRule="auto"/>
                    <w:jc w:val="center"/>
                    <w:rPr>
                      <w:bCs/>
                    </w:rPr>
                  </w:pPr>
                  <w:r>
                    <w:rPr>
                      <w:rFonts w:hint="eastAsia"/>
                    </w:rPr>
                    <w:t>废气处理废水</w:t>
                  </w:r>
                </w:p>
              </w:tc>
              <w:tc>
                <w:tcPr>
                  <w:tcW w:w="605" w:type="pct"/>
                  <w:vMerge w:val="restart"/>
                  <w:shd w:val="clear" w:color="auto" w:fill="auto"/>
                  <w:vAlign w:val="center"/>
                </w:tcPr>
                <w:p>
                  <w:pPr>
                    <w:spacing w:line="360" w:lineRule="auto"/>
                    <w:jc w:val="center"/>
                    <w:rPr>
                      <w:bCs/>
                    </w:rPr>
                  </w:pPr>
                  <w:r>
                    <w:rPr>
                      <w:rFonts w:hint="eastAsia"/>
                      <w:bCs/>
                    </w:rPr>
                    <w:t>2000</w:t>
                  </w:r>
                </w:p>
              </w:tc>
              <w:tc>
                <w:tcPr>
                  <w:tcW w:w="747" w:type="pct"/>
                  <w:shd w:val="clear" w:color="auto" w:fill="auto"/>
                  <w:vAlign w:val="center"/>
                </w:tcPr>
                <w:p>
                  <w:pPr>
                    <w:spacing w:line="360" w:lineRule="auto"/>
                    <w:jc w:val="center"/>
                    <w:rPr>
                      <w:bCs/>
                    </w:rPr>
                  </w:pPr>
                  <w:r>
                    <w:rPr>
                      <w:rFonts w:hint="eastAsia"/>
                    </w:rPr>
                    <w:t>COD</w:t>
                  </w:r>
                  <w:r>
                    <w:rPr>
                      <w:rFonts w:hint="eastAsia"/>
                      <w:vertAlign w:val="subscript"/>
                    </w:rPr>
                    <w:t>Cr</w:t>
                  </w:r>
                </w:p>
              </w:tc>
              <w:tc>
                <w:tcPr>
                  <w:tcW w:w="687" w:type="pct"/>
                  <w:shd w:val="clear" w:color="auto" w:fill="auto"/>
                  <w:vAlign w:val="center"/>
                </w:tcPr>
                <w:p>
                  <w:pPr>
                    <w:spacing w:line="360" w:lineRule="auto"/>
                    <w:jc w:val="center"/>
                    <w:rPr>
                      <w:bCs/>
                    </w:rPr>
                  </w:pPr>
                  <w:r>
                    <w:rPr>
                      <w:rFonts w:hint="eastAsia"/>
                      <w:bCs/>
                    </w:rPr>
                    <w:t>600</w:t>
                  </w:r>
                </w:p>
              </w:tc>
              <w:tc>
                <w:tcPr>
                  <w:tcW w:w="689" w:type="pct"/>
                  <w:shd w:val="clear" w:color="auto" w:fill="auto"/>
                  <w:vAlign w:val="center"/>
                </w:tcPr>
                <w:p>
                  <w:pPr>
                    <w:spacing w:line="360" w:lineRule="auto"/>
                    <w:jc w:val="center"/>
                    <w:rPr>
                      <w:bCs/>
                    </w:rPr>
                  </w:pPr>
                  <w:r>
                    <w:rPr>
                      <w:rFonts w:hint="eastAsia"/>
                      <w:bCs/>
                    </w:rPr>
                    <w:t>1.2</w:t>
                  </w:r>
                </w:p>
              </w:tc>
              <w:tc>
                <w:tcPr>
                  <w:tcW w:w="839" w:type="pct"/>
                  <w:vMerge w:val="continue"/>
                  <w:shd w:val="clear" w:color="auto" w:fill="auto"/>
                  <w:vAlign w:val="center"/>
                </w:tcPr>
                <w:p>
                  <w:pPr>
                    <w:spacing w:line="360" w:lineRule="auto"/>
                    <w:jc w:val="center"/>
                    <w:rPr>
                      <w:bCs/>
                    </w:rPr>
                  </w:pPr>
                </w:p>
              </w:tc>
              <w:tc>
                <w:tcPr>
                  <w:tcW w:w="695" w:type="pct"/>
                  <w:shd w:val="clear" w:color="auto" w:fill="auto"/>
                  <w:vAlign w:val="center"/>
                </w:tcPr>
                <w:p>
                  <w:pPr>
                    <w:spacing w:line="360" w:lineRule="auto"/>
                    <w:jc w:val="center"/>
                    <w:rPr>
                      <w:bCs/>
                    </w:rPr>
                  </w:pPr>
                  <w:r>
                    <w:rPr>
                      <w:rFonts w:hint="eastAsia"/>
                      <w:b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continue"/>
                  <w:shd w:val="clear" w:color="auto" w:fill="auto"/>
                  <w:vAlign w:val="center"/>
                </w:tcPr>
                <w:p>
                  <w:pPr>
                    <w:spacing w:line="360" w:lineRule="auto"/>
                    <w:jc w:val="center"/>
                    <w:rPr>
                      <w:bCs/>
                    </w:rPr>
                  </w:pPr>
                </w:p>
              </w:tc>
              <w:tc>
                <w:tcPr>
                  <w:tcW w:w="605" w:type="pct"/>
                  <w:vMerge w:val="continue"/>
                  <w:shd w:val="clear" w:color="auto" w:fill="auto"/>
                  <w:vAlign w:val="center"/>
                </w:tcPr>
                <w:p>
                  <w:pPr>
                    <w:spacing w:line="360" w:lineRule="auto"/>
                    <w:jc w:val="center"/>
                    <w:rPr>
                      <w:bCs/>
                    </w:rPr>
                  </w:pPr>
                </w:p>
              </w:tc>
              <w:tc>
                <w:tcPr>
                  <w:tcW w:w="747" w:type="pct"/>
                  <w:shd w:val="clear" w:color="auto" w:fill="auto"/>
                  <w:vAlign w:val="center"/>
                </w:tcPr>
                <w:p>
                  <w:pPr>
                    <w:spacing w:line="360" w:lineRule="auto"/>
                    <w:jc w:val="center"/>
                    <w:rPr>
                      <w:bCs/>
                    </w:rPr>
                  </w:pPr>
                  <w:r>
                    <w:rPr>
                      <w:rFonts w:hint="eastAsia"/>
                    </w:rPr>
                    <w:t>SS</w:t>
                  </w:r>
                </w:p>
              </w:tc>
              <w:tc>
                <w:tcPr>
                  <w:tcW w:w="687" w:type="pct"/>
                  <w:shd w:val="clear" w:color="auto" w:fill="auto"/>
                  <w:vAlign w:val="center"/>
                </w:tcPr>
                <w:p>
                  <w:pPr>
                    <w:spacing w:line="360" w:lineRule="auto"/>
                    <w:jc w:val="center"/>
                    <w:rPr>
                      <w:bCs/>
                    </w:rPr>
                  </w:pPr>
                  <w:r>
                    <w:rPr>
                      <w:rFonts w:hint="eastAsia"/>
                      <w:bCs/>
                    </w:rPr>
                    <w:t>500</w:t>
                  </w:r>
                </w:p>
              </w:tc>
              <w:tc>
                <w:tcPr>
                  <w:tcW w:w="689" w:type="pct"/>
                  <w:shd w:val="clear" w:color="auto" w:fill="auto"/>
                  <w:vAlign w:val="center"/>
                </w:tcPr>
                <w:p>
                  <w:pPr>
                    <w:spacing w:line="360" w:lineRule="auto"/>
                    <w:jc w:val="center"/>
                    <w:rPr>
                      <w:bCs/>
                    </w:rPr>
                  </w:pPr>
                  <w:r>
                    <w:rPr>
                      <w:rFonts w:hint="eastAsia"/>
                      <w:bCs/>
                    </w:rPr>
                    <w:t>1.0</w:t>
                  </w:r>
                </w:p>
              </w:tc>
              <w:tc>
                <w:tcPr>
                  <w:tcW w:w="839" w:type="pct"/>
                  <w:vMerge w:val="continue"/>
                  <w:shd w:val="clear" w:color="auto" w:fill="auto"/>
                  <w:vAlign w:val="center"/>
                </w:tcPr>
                <w:p>
                  <w:pPr>
                    <w:spacing w:line="360" w:lineRule="auto"/>
                    <w:jc w:val="center"/>
                    <w:rPr>
                      <w:bCs/>
                    </w:rPr>
                  </w:pPr>
                </w:p>
              </w:tc>
              <w:tc>
                <w:tcPr>
                  <w:tcW w:w="695" w:type="pct"/>
                  <w:shd w:val="clear" w:color="auto" w:fill="auto"/>
                  <w:vAlign w:val="center"/>
                </w:tcPr>
                <w:p>
                  <w:pPr>
                    <w:spacing w:line="360" w:lineRule="auto"/>
                    <w:jc w:val="center"/>
                    <w:rPr>
                      <w:bCs/>
                    </w:rPr>
                  </w:pPr>
                  <w:r>
                    <w:rPr>
                      <w:rFonts w:hint="eastAsia"/>
                      <w:bCs/>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continue"/>
                  <w:shd w:val="clear" w:color="auto" w:fill="auto"/>
                  <w:vAlign w:val="center"/>
                </w:tcPr>
                <w:p>
                  <w:pPr>
                    <w:spacing w:line="360" w:lineRule="auto"/>
                    <w:jc w:val="center"/>
                    <w:rPr>
                      <w:bCs/>
                    </w:rPr>
                  </w:pPr>
                </w:p>
              </w:tc>
              <w:tc>
                <w:tcPr>
                  <w:tcW w:w="605" w:type="pct"/>
                  <w:vMerge w:val="continue"/>
                  <w:shd w:val="clear" w:color="auto" w:fill="auto"/>
                  <w:vAlign w:val="center"/>
                </w:tcPr>
                <w:p>
                  <w:pPr>
                    <w:spacing w:line="360" w:lineRule="auto"/>
                    <w:jc w:val="center"/>
                    <w:rPr>
                      <w:bCs/>
                    </w:rPr>
                  </w:pPr>
                </w:p>
              </w:tc>
              <w:tc>
                <w:tcPr>
                  <w:tcW w:w="747" w:type="pct"/>
                  <w:shd w:val="clear" w:color="auto" w:fill="auto"/>
                  <w:vAlign w:val="center"/>
                </w:tcPr>
                <w:p>
                  <w:pPr>
                    <w:spacing w:line="360" w:lineRule="auto"/>
                    <w:jc w:val="center"/>
                    <w:rPr>
                      <w:bCs/>
                    </w:rPr>
                  </w:pPr>
                  <w:r>
                    <w:rPr>
                      <w:bCs/>
                    </w:rPr>
                    <w:t>石油类</w:t>
                  </w:r>
                </w:p>
              </w:tc>
              <w:tc>
                <w:tcPr>
                  <w:tcW w:w="687" w:type="pct"/>
                  <w:shd w:val="clear" w:color="auto" w:fill="auto"/>
                  <w:vAlign w:val="center"/>
                </w:tcPr>
                <w:p>
                  <w:pPr>
                    <w:spacing w:line="360" w:lineRule="auto"/>
                    <w:jc w:val="center"/>
                    <w:rPr>
                      <w:bCs/>
                    </w:rPr>
                  </w:pPr>
                  <w:r>
                    <w:rPr>
                      <w:rFonts w:hint="eastAsia"/>
                      <w:bCs/>
                    </w:rPr>
                    <w:t>100</w:t>
                  </w:r>
                </w:p>
              </w:tc>
              <w:tc>
                <w:tcPr>
                  <w:tcW w:w="689" w:type="pct"/>
                  <w:shd w:val="clear" w:color="auto" w:fill="auto"/>
                  <w:vAlign w:val="center"/>
                </w:tcPr>
                <w:p>
                  <w:pPr>
                    <w:spacing w:line="360" w:lineRule="auto"/>
                    <w:jc w:val="center"/>
                    <w:rPr>
                      <w:bCs/>
                    </w:rPr>
                  </w:pPr>
                  <w:r>
                    <w:rPr>
                      <w:rFonts w:hint="eastAsia"/>
                      <w:bCs/>
                    </w:rPr>
                    <w:t>0.2</w:t>
                  </w:r>
                </w:p>
              </w:tc>
              <w:tc>
                <w:tcPr>
                  <w:tcW w:w="839" w:type="pct"/>
                  <w:vMerge w:val="continue"/>
                  <w:shd w:val="clear" w:color="auto" w:fill="auto"/>
                  <w:vAlign w:val="center"/>
                </w:tcPr>
                <w:p>
                  <w:pPr>
                    <w:spacing w:line="360" w:lineRule="auto"/>
                    <w:jc w:val="center"/>
                    <w:rPr>
                      <w:bCs/>
                    </w:rPr>
                  </w:pPr>
                </w:p>
              </w:tc>
              <w:tc>
                <w:tcPr>
                  <w:tcW w:w="695" w:type="pct"/>
                  <w:shd w:val="clear" w:color="auto" w:fill="auto"/>
                  <w:vAlign w:val="center"/>
                </w:tcPr>
                <w:p>
                  <w:pPr>
                    <w:spacing w:line="360" w:lineRule="auto"/>
                    <w:jc w:val="center"/>
                    <w:rPr>
                      <w:bCs/>
                    </w:rPr>
                  </w:pPr>
                  <w:r>
                    <w:rPr>
                      <w:rFonts w:hint="eastAsia"/>
                      <w:bCs/>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restart"/>
                  <w:shd w:val="clear" w:color="auto" w:fill="auto"/>
                  <w:vAlign w:val="center"/>
                </w:tcPr>
                <w:p>
                  <w:pPr>
                    <w:spacing w:line="360" w:lineRule="auto"/>
                    <w:jc w:val="center"/>
                  </w:pPr>
                  <w:r>
                    <w:t>生活</w:t>
                  </w:r>
                </w:p>
                <w:p>
                  <w:pPr>
                    <w:spacing w:line="360" w:lineRule="auto"/>
                    <w:jc w:val="center"/>
                  </w:pPr>
                  <w:r>
                    <w:t>污水</w:t>
                  </w:r>
                </w:p>
              </w:tc>
              <w:tc>
                <w:tcPr>
                  <w:tcW w:w="605" w:type="pct"/>
                  <w:vMerge w:val="restart"/>
                  <w:shd w:val="clear" w:color="auto" w:fill="auto"/>
                  <w:vAlign w:val="center"/>
                </w:tcPr>
                <w:p>
                  <w:pPr>
                    <w:spacing w:line="360" w:lineRule="auto"/>
                    <w:jc w:val="center"/>
                  </w:pPr>
                  <w:r>
                    <w:rPr>
                      <w:rFonts w:hint="eastAsia"/>
                    </w:rPr>
                    <w:t>720</w:t>
                  </w:r>
                </w:p>
              </w:tc>
              <w:tc>
                <w:tcPr>
                  <w:tcW w:w="747" w:type="pct"/>
                  <w:shd w:val="clear" w:color="auto" w:fill="auto"/>
                  <w:vAlign w:val="center"/>
                </w:tcPr>
                <w:p>
                  <w:pPr>
                    <w:spacing w:line="360" w:lineRule="auto"/>
                    <w:jc w:val="center"/>
                  </w:pPr>
                  <w:r>
                    <w:t>COD</w:t>
                  </w:r>
                  <w:r>
                    <w:rPr>
                      <w:vertAlign w:val="subscript"/>
                    </w:rPr>
                    <w:t>Cr</w:t>
                  </w:r>
                </w:p>
              </w:tc>
              <w:tc>
                <w:tcPr>
                  <w:tcW w:w="687" w:type="pct"/>
                  <w:shd w:val="clear" w:color="auto" w:fill="auto"/>
                  <w:vAlign w:val="center"/>
                </w:tcPr>
                <w:p>
                  <w:pPr>
                    <w:spacing w:line="360" w:lineRule="auto"/>
                    <w:jc w:val="center"/>
                  </w:pPr>
                  <w:r>
                    <w:t>250</w:t>
                  </w:r>
                </w:p>
              </w:tc>
              <w:tc>
                <w:tcPr>
                  <w:tcW w:w="689" w:type="pct"/>
                  <w:shd w:val="clear" w:color="auto" w:fill="auto"/>
                  <w:vAlign w:val="center"/>
                </w:tcPr>
                <w:p>
                  <w:pPr>
                    <w:spacing w:line="360" w:lineRule="auto"/>
                    <w:jc w:val="center"/>
                  </w:pPr>
                  <w:r>
                    <w:rPr>
                      <w:rFonts w:hint="eastAsia"/>
                    </w:rPr>
                    <w:t>0.18</w:t>
                  </w:r>
                </w:p>
              </w:tc>
              <w:tc>
                <w:tcPr>
                  <w:tcW w:w="839" w:type="pct"/>
                  <w:vMerge w:val="restart"/>
                  <w:shd w:val="clear" w:color="auto" w:fill="auto"/>
                  <w:vAlign w:val="center"/>
                </w:tcPr>
                <w:p>
                  <w:pPr>
                    <w:spacing w:line="360" w:lineRule="auto"/>
                    <w:jc w:val="center"/>
                  </w:pPr>
                  <w:r>
                    <w:t>化粪池</w:t>
                  </w:r>
                </w:p>
              </w:tc>
              <w:tc>
                <w:tcPr>
                  <w:tcW w:w="695" w:type="pct"/>
                  <w:shd w:val="clear" w:color="auto" w:fill="auto"/>
                  <w:vAlign w:val="center"/>
                </w:tcPr>
                <w:p>
                  <w:pPr>
                    <w:spacing w:line="360" w:lineRule="auto"/>
                    <w:jc w:val="cente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continue"/>
                  <w:shd w:val="clear" w:color="auto" w:fill="auto"/>
                  <w:vAlign w:val="center"/>
                </w:tcPr>
                <w:p>
                  <w:pPr>
                    <w:spacing w:line="360" w:lineRule="auto"/>
                    <w:jc w:val="center"/>
                  </w:pPr>
                </w:p>
              </w:tc>
              <w:tc>
                <w:tcPr>
                  <w:tcW w:w="605" w:type="pct"/>
                  <w:vMerge w:val="continue"/>
                  <w:shd w:val="clear" w:color="auto" w:fill="auto"/>
                  <w:vAlign w:val="center"/>
                </w:tcPr>
                <w:p>
                  <w:pPr>
                    <w:spacing w:line="360" w:lineRule="auto"/>
                    <w:jc w:val="center"/>
                  </w:pPr>
                </w:p>
              </w:tc>
              <w:tc>
                <w:tcPr>
                  <w:tcW w:w="747" w:type="pct"/>
                  <w:shd w:val="clear" w:color="auto" w:fill="auto"/>
                  <w:vAlign w:val="center"/>
                </w:tcPr>
                <w:p>
                  <w:pPr>
                    <w:spacing w:line="360" w:lineRule="auto"/>
                    <w:jc w:val="center"/>
                  </w:pPr>
                  <w:r>
                    <w:t>BOD</w:t>
                  </w:r>
                  <w:r>
                    <w:rPr>
                      <w:vertAlign w:val="subscript"/>
                    </w:rPr>
                    <w:t>5</w:t>
                  </w:r>
                </w:p>
              </w:tc>
              <w:tc>
                <w:tcPr>
                  <w:tcW w:w="687" w:type="pct"/>
                  <w:shd w:val="clear" w:color="auto" w:fill="auto"/>
                  <w:vAlign w:val="center"/>
                </w:tcPr>
                <w:p>
                  <w:pPr>
                    <w:spacing w:line="360" w:lineRule="auto"/>
                    <w:jc w:val="center"/>
                  </w:pPr>
                  <w:r>
                    <w:t>120</w:t>
                  </w:r>
                </w:p>
              </w:tc>
              <w:tc>
                <w:tcPr>
                  <w:tcW w:w="689" w:type="pct"/>
                  <w:shd w:val="clear" w:color="auto" w:fill="auto"/>
                  <w:vAlign w:val="center"/>
                </w:tcPr>
                <w:p>
                  <w:pPr>
                    <w:spacing w:line="360" w:lineRule="auto"/>
                    <w:jc w:val="center"/>
                  </w:pPr>
                  <w:r>
                    <w:rPr>
                      <w:rFonts w:hint="eastAsia"/>
                    </w:rPr>
                    <w:t>0.09</w:t>
                  </w:r>
                </w:p>
              </w:tc>
              <w:tc>
                <w:tcPr>
                  <w:tcW w:w="839" w:type="pct"/>
                  <w:vMerge w:val="continue"/>
                  <w:shd w:val="clear" w:color="auto" w:fill="auto"/>
                  <w:vAlign w:val="center"/>
                </w:tcPr>
                <w:p>
                  <w:pPr>
                    <w:spacing w:line="360" w:lineRule="auto"/>
                    <w:jc w:val="center"/>
                  </w:pPr>
                </w:p>
              </w:tc>
              <w:tc>
                <w:tcPr>
                  <w:tcW w:w="695" w:type="pct"/>
                  <w:shd w:val="clear" w:color="auto" w:fill="auto"/>
                  <w:vAlign w:val="center"/>
                </w:tcPr>
                <w:p>
                  <w:pPr>
                    <w:spacing w:line="360" w:lineRule="auto"/>
                    <w:jc w:val="cente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continue"/>
                  <w:shd w:val="clear" w:color="auto" w:fill="auto"/>
                  <w:vAlign w:val="center"/>
                </w:tcPr>
                <w:p>
                  <w:pPr>
                    <w:spacing w:line="360" w:lineRule="auto"/>
                    <w:jc w:val="center"/>
                  </w:pPr>
                </w:p>
              </w:tc>
              <w:tc>
                <w:tcPr>
                  <w:tcW w:w="605" w:type="pct"/>
                  <w:vMerge w:val="continue"/>
                  <w:shd w:val="clear" w:color="auto" w:fill="auto"/>
                  <w:vAlign w:val="center"/>
                </w:tcPr>
                <w:p>
                  <w:pPr>
                    <w:spacing w:line="360" w:lineRule="auto"/>
                    <w:jc w:val="center"/>
                  </w:pPr>
                </w:p>
              </w:tc>
              <w:tc>
                <w:tcPr>
                  <w:tcW w:w="747" w:type="pct"/>
                  <w:shd w:val="clear" w:color="auto" w:fill="auto"/>
                  <w:vAlign w:val="center"/>
                </w:tcPr>
                <w:p>
                  <w:pPr>
                    <w:spacing w:line="360" w:lineRule="auto"/>
                    <w:jc w:val="center"/>
                  </w:pPr>
                  <w:r>
                    <w:t>SS</w:t>
                  </w:r>
                </w:p>
              </w:tc>
              <w:tc>
                <w:tcPr>
                  <w:tcW w:w="687" w:type="pct"/>
                  <w:shd w:val="clear" w:color="auto" w:fill="auto"/>
                  <w:vAlign w:val="center"/>
                </w:tcPr>
                <w:p>
                  <w:pPr>
                    <w:spacing w:line="360" w:lineRule="auto"/>
                    <w:jc w:val="center"/>
                  </w:pPr>
                  <w:r>
                    <w:t>200</w:t>
                  </w:r>
                </w:p>
              </w:tc>
              <w:tc>
                <w:tcPr>
                  <w:tcW w:w="689" w:type="pct"/>
                  <w:shd w:val="clear" w:color="auto" w:fill="auto"/>
                  <w:vAlign w:val="center"/>
                </w:tcPr>
                <w:p>
                  <w:pPr>
                    <w:spacing w:line="360" w:lineRule="auto"/>
                    <w:jc w:val="center"/>
                  </w:pPr>
                  <w:r>
                    <w:rPr>
                      <w:rFonts w:hint="eastAsia"/>
                    </w:rPr>
                    <w:t>0.14</w:t>
                  </w:r>
                </w:p>
              </w:tc>
              <w:tc>
                <w:tcPr>
                  <w:tcW w:w="839" w:type="pct"/>
                  <w:vMerge w:val="continue"/>
                  <w:shd w:val="clear" w:color="auto" w:fill="auto"/>
                  <w:vAlign w:val="center"/>
                </w:tcPr>
                <w:p>
                  <w:pPr>
                    <w:spacing w:line="360" w:lineRule="auto"/>
                    <w:jc w:val="center"/>
                  </w:pPr>
                </w:p>
              </w:tc>
              <w:tc>
                <w:tcPr>
                  <w:tcW w:w="695" w:type="pct"/>
                  <w:shd w:val="clear" w:color="auto" w:fill="auto"/>
                  <w:vAlign w:val="center"/>
                </w:tcPr>
                <w:p>
                  <w:pPr>
                    <w:spacing w:line="360" w:lineRule="auto"/>
                    <w:jc w:val="center"/>
                  </w:pPr>
                  <w: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continue"/>
                  <w:shd w:val="clear" w:color="auto" w:fill="auto"/>
                  <w:vAlign w:val="center"/>
                </w:tcPr>
                <w:p>
                  <w:pPr>
                    <w:spacing w:line="360" w:lineRule="auto"/>
                    <w:jc w:val="center"/>
                  </w:pPr>
                </w:p>
              </w:tc>
              <w:tc>
                <w:tcPr>
                  <w:tcW w:w="605" w:type="pct"/>
                  <w:vMerge w:val="continue"/>
                  <w:shd w:val="clear" w:color="auto" w:fill="auto"/>
                  <w:vAlign w:val="center"/>
                </w:tcPr>
                <w:p>
                  <w:pPr>
                    <w:spacing w:line="360" w:lineRule="auto"/>
                    <w:jc w:val="center"/>
                  </w:pPr>
                </w:p>
              </w:tc>
              <w:tc>
                <w:tcPr>
                  <w:tcW w:w="747" w:type="pct"/>
                  <w:shd w:val="clear" w:color="auto" w:fill="auto"/>
                  <w:vAlign w:val="center"/>
                </w:tcPr>
                <w:p>
                  <w:pPr>
                    <w:spacing w:line="360" w:lineRule="auto"/>
                    <w:jc w:val="center"/>
                  </w:pPr>
                  <w:r>
                    <w:t>NH</w:t>
                  </w:r>
                  <w:r>
                    <w:rPr>
                      <w:vertAlign w:val="subscript"/>
                    </w:rPr>
                    <w:t>3</w:t>
                  </w:r>
                  <w:r>
                    <w:t>-N</w:t>
                  </w:r>
                </w:p>
              </w:tc>
              <w:tc>
                <w:tcPr>
                  <w:tcW w:w="687" w:type="pct"/>
                  <w:shd w:val="clear" w:color="auto" w:fill="auto"/>
                  <w:vAlign w:val="center"/>
                </w:tcPr>
                <w:p>
                  <w:pPr>
                    <w:spacing w:line="360" w:lineRule="auto"/>
                    <w:jc w:val="center"/>
                  </w:pPr>
                  <w:r>
                    <w:t>25</w:t>
                  </w:r>
                </w:p>
              </w:tc>
              <w:tc>
                <w:tcPr>
                  <w:tcW w:w="689" w:type="pct"/>
                  <w:shd w:val="clear" w:color="auto" w:fill="auto"/>
                  <w:vAlign w:val="center"/>
                </w:tcPr>
                <w:p>
                  <w:pPr>
                    <w:spacing w:line="360" w:lineRule="auto"/>
                    <w:jc w:val="center"/>
                  </w:pPr>
                  <w:r>
                    <w:rPr>
                      <w:rFonts w:hint="eastAsia"/>
                    </w:rPr>
                    <w:t>0.02</w:t>
                  </w:r>
                </w:p>
              </w:tc>
              <w:tc>
                <w:tcPr>
                  <w:tcW w:w="839" w:type="pct"/>
                  <w:vMerge w:val="continue"/>
                  <w:shd w:val="clear" w:color="auto" w:fill="auto"/>
                  <w:vAlign w:val="center"/>
                </w:tcPr>
                <w:p>
                  <w:pPr>
                    <w:spacing w:line="360" w:lineRule="auto"/>
                    <w:jc w:val="center"/>
                  </w:pPr>
                </w:p>
              </w:tc>
              <w:tc>
                <w:tcPr>
                  <w:tcW w:w="695" w:type="pct"/>
                  <w:shd w:val="clear" w:color="auto" w:fill="auto"/>
                  <w:vAlign w:val="center"/>
                </w:tcPr>
                <w:p>
                  <w:pPr>
                    <w:spacing w:line="360" w:lineRule="auto"/>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shd w:val="clear" w:color="auto" w:fill="auto"/>
                  <w:vAlign w:val="center"/>
                </w:tcPr>
                <w:p>
                  <w:pPr>
                    <w:spacing w:line="300" w:lineRule="auto"/>
                    <w:jc w:val="center"/>
                  </w:pPr>
                  <w:r>
                    <w:rPr>
                      <w:rFonts w:hint="eastAsia"/>
                    </w:rPr>
                    <w:t>/</w:t>
                  </w:r>
                </w:p>
              </w:tc>
              <w:tc>
                <w:tcPr>
                  <w:tcW w:w="605" w:type="pct"/>
                  <w:shd w:val="clear" w:color="auto" w:fill="auto"/>
                  <w:vAlign w:val="center"/>
                </w:tcPr>
                <w:p>
                  <w:pPr>
                    <w:spacing w:line="300" w:lineRule="auto"/>
                    <w:jc w:val="center"/>
                  </w:pPr>
                  <w:r>
                    <w:rPr>
                      <w:rFonts w:hint="eastAsia"/>
                      <w:b/>
                    </w:rPr>
                    <w:t>排放量</w:t>
                  </w:r>
                  <w:r>
                    <w:rPr>
                      <w:b/>
                      <w:bCs/>
                    </w:rPr>
                    <w:t>m</w:t>
                  </w:r>
                  <w:r>
                    <w:rPr>
                      <w:b/>
                      <w:bCs/>
                      <w:vertAlign w:val="superscript"/>
                    </w:rPr>
                    <w:t>3</w:t>
                  </w:r>
                  <w:r>
                    <w:rPr>
                      <w:b/>
                      <w:bCs/>
                    </w:rPr>
                    <w:t>/a</w:t>
                  </w:r>
                </w:p>
              </w:tc>
              <w:tc>
                <w:tcPr>
                  <w:tcW w:w="747" w:type="pct"/>
                  <w:shd w:val="clear" w:color="auto" w:fill="auto"/>
                  <w:vAlign w:val="center"/>
                </w:tcPr>
                <w:p>
                  <w:pPr>
                    <w:spacing w:line="300" w:lineRule="auto"/>
                    <w:jc w:val="center"/>
                  </w:pPr>
                  <w:r>
                    <w:rPr>
                      <w:b/>
                      <w:bCs/>
                    </w:rPr>
                    <w:t>污染物</w:t>
                  </w:r>
                </w:p>
              </w:tc>
              <w:tc>
                <w:tcPr>
                  <w:tcW w:w="687" w:type="pct"/>
                  <w:shd w:val="clear" w:color="auto" w:fill="auto"/>
                  <w:vAlign w:val="center"/>
                </w:tcPr>
                <w:p>
                  <w:pPr>
                    <w:spacing w:line="300" w:lineRule="auto"/>
                    <w:jc w:val="center"/>
                    <w:rPr>
                      <w:b/>
                      <w:bCs/>
                    </w:rPr>
                  </w:pPr>
                  <w:r>
                    <w:rPr>
                      <w:rFonts w:hint="eastAsia"/>
                      <w:b/>
                      <w:bCs/>
                    </w:rPr>
                    <w:t>排放浓度</w:t>
                  </w:r>
                  <w:r>
                    <w:rPr>
                      <w:b/>
                      <w:bCs/>
                    </w:rPr>
                    <w:t>mg/L</w:t>
                  </w:r>
                </w:p>
              </w:tc>
              <w:tc>
                <w:tcPr>
                  <w:tcW w:w="689" w:type="pct"/>
                  <w:shd w:val="clear" w:color="auto" w:fill="auto"/>
                  <w:vAlign w:val="center"/>
                </w:tcPr>
                <w:p>
                  <w:pPr>
                    <w:spacing w:line="300" w:lineRule="auto"/>
                    <w:jc w:val="center"/>
                    <w:rPr>
                      <w:b/>
                      <w:bCs/>
                    </w:rPr>
                  </w:pPr>
                  <w:r>
                    <w:rPr>
                      <w:rFonts w:hint="eastAsia"/>
                      <w:b/>
                      <w:bCs/>
                    </w:rPr>
                    <w:t>排放量</w:t>
                  </w:r>
                  <w:r>
                    <w:rPr>
                      <w:b/>
                      <w:bCs/>
                    </w:rPr>
                    <w:t>t/a</w:t>
                  </w:r>
                </w:p>
              </w:tc>
              <w:tc>
                <w:tcPr>
                  <w:tcW w:w="839" w:type="pct"/>
                  <w:shd w:val="clear" w:color="auto" w:fill="auto"/>
                  <w:vAlign w:val="center"/>
                </w:tcPr>
                <w:p>
                  <w:pPr>
                    <w:spacing w:line="300" w:lineRule="auto"/>
                    <w:jc w:val="center"/>
                  </w:pPr>
                  <w:r>
                    <w:rPr>
                      <w:rFonts w:hint="eastAsia"/>
                    </w:rPr>
                    <w:t>/</w:t>
                  </w:r>
                </w:p>
              </w:tc>
              <w:tc>
                <w:tcPr>
                  <w:tcW w:w="695" w:type="pct"/>
                  <w:shd w:val="clear" w:color="auto" w:fill="auto"/>
                  <w:vAlign w:val="center"/>
                </w:tcPr>
                <w:p>
                  <w:pPr>
                    <w:spacing w:line="30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restart"/>
                  <w:shd w:val="clear" w:color="auto" w:fill="auto"/>
                  <w:vAlign w:val="center"/>
                </w:tcPr>
                <w:p>
                  <w:pPr>
                    <w:spacing w:line="360" w:lineRule="auto"/>
                    <w:jc w:val="center"/>
                  </w:pPr>
                  <w:r>
                    <w:t>总排口</w:t>
                  </w:r>
                </w:p>
              </w:tc>
              <w:tc>
                <w:tcPr>
                  <w:tcW w:w="605" w:type="pct"/>
                  <w:vMerge w:val="restart"/>
                  <w:shd w:val="clear" w:color="auto" w:fill="auto"/>
                  <w:vAlign w:val="center"/>
                </w:tcPr>
                <w:p>
                  <w:pPr>
                    <w:spacing w:line="360" w:lineRule="auto"/>
                    <w:jc w:val="center"/>
                  </w:pPr>
                  <w:r>
                    <w:rPr>
                      <w:rFonts w:hint="eastAsia"/>
                    </w:rPr>
                    <w:t>11720</w:t>
                  </w:r>
                </w:p>
              </w:tc>
              <w:tc>
                <w:tcPr>
                  <w:tcW w:w="747" w:type="pct"/>
                  <w:shd w:val="clear" w:color="auto" w:fill="auto"/>
                  <w:vAlign w:val="center"/>
                </w:tcPr>
                <w:p>
                  <w:pPr>
                    <w:spacing w:line="360" w:lineRule="auto"/>
                    <w:jc w:val="center"/>
                  </w:pPr>
                  <w:r>
                    <w:t>COD</w:t>
                  </w:r>
                  <w:r>
                    <w:rPr>
                      <w:vertAlign w:val="subscript"/>
                    </w:rPr>
                    <w:t>Cr</w:t>
                  </w:r>
                </w:p>
              </w:tc>
              <w:tc>
                <w:tcPr>
                  <w:tcW w:w="687" w:type="pct"/>
                  <w:shd w:val="clear" w:color="auto" w:fill="auto"/>
                  <w:vAlign w:val="center"/>
                </w:tcPr>
                <w:p>
                  <w:pPr>
                    <w:spacing w:line="360" w:lineRule="auto"/>
                    <w:jc w:val="center"/>
                  </w:pPr>
                  <w:r>
                    <w:rPr>
                      <w:rFonts w:hint="eastAsia"/>
                    </w:rPr>
                    <w:t>353</w:t>
                  </w:r>
                </w:p>
              </w:tc>
              <w:tc>
                <w:tcPr>
                  <w:tcW w:w="689" w:type="pct"/>
                  <w:shd w:val="clear" w:color="auto" w:fill="auto"/>
                  <w:vAlign w:val="center"/>
                </w:tcPr>
                <w:p>
                  <w:pPr>
                    <w:spacing w:line="360" w:lineRule="auto"/>
                    <w:jc w:val="center"/>
                  </w:pPr>
                  <w:r>
                    <w:rPr>
                      <w:rFonts w:hint="eastAsia"/>
                    </w:rPr>
                    <w:t>4.14</w:t>
                  </w:r>
                </w:p>
              </w:tc>
              <w:tc>
                <w:tcPr>
                  <w:tcW w:w="839" w:type="pct"/>
                  <w:vMerge w:val="restart"/>
                  <w:shd w:val="clear" w:color="auto" w:fill="auto"/>
                  <w:vAlign w:val="center"/>
                </w:tcPr>
                <w:p>
                  <w:pPr>
                    <w:spacing w:line="360" w:lineRule="auto"/>
                    <w:jc w:val="center"/>
                  </w:pPr>
                  <w:r>
                    <w:rPr>
                      <w:rFonts w:hint="eastAsia"/>
                    </w:rPr>
                    <w:t>/</w:t>
                  </w:r>
                </w:p>
              </w:tc>
              <w:tc>
                <w:tcPr>
                  <w:tcW w:w="695" w:type="pct"/>
                  <w:vMerge w:val="restart"/>
                  <w:shd w:val="clear" w:color="auto" w:fill="auto"/>
                  <w:vAlign w:val="center"/>
                </w:tcPr>
                <w:p>
                  <w:pPr>
                    <w:spacing w:line="36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continue"/>
                  <w:shd w:val="clear" w:color="auto" w:fill="auto"/>
                  <w:vAlign w:val="center"/>
                </w:tcPr>
                <w:p>
                  <w:pPr>
                    <w:spacing w:line="360" w:lineRule="auto"/>
                    <w:jc w:val="center"/>
                  </w:pPr>
                </w:p>
              </w:tc>
              <w:tc>
                <w:tcPr>
                  <w:tcW w:w="605" w:type="pct"/>
                  <w:vMerge w:val="continue"/>
                  <w:shd w:val="clear" w:color="auto" w:fill="auto"/>
                  <w:vAlign w:val="center"/>
                </w:tcPr>
                <w:p>
                  <w:pPr>
                    <w:spacing w:line="360" w:lineRule="auto"/>
                    <w:jc w:val="center"/>
                  </w:pPr>
                </w:p>
              </w:tc>
              <w:tc>
                <w:tcPr>
                  <w:tcW w:w="747" w:type="pct"/>
                  <w:shd w:val="clear" w:color="auto" w:fill="auto"/>
                  <w:vAlign w:val="center"/>
                </w:tcPr>
                <w:p>
                  <w:pPr>
                    <w:spacing w:line="360" w:lineRule="auto"/>
                    <w:jc w:val="center"/>
                  </w:pPr>
                  <w:r>
                    <w:t>BOD</w:t>
                  </w:r>
                  <w:r>
                    <w:rPr>
                      <w:vertAlign w:val="subscript"/>
                    </w:rPr>
                    <w:t>5</w:t>
                  </w:r>
                </w:p>
              </w:tc>
              <w:tc>
                <w:tcPr>
                  <w:tcW w:w="687" w:type="pct"/>
                  <w:shd w:val="clear" w:color="auto" w:fill="auto"/>
                  <w:vAlign w:val="center"/>
                </w:tcPr>
                <w:p>
                  <w:pPr>
                    <w:spacing w:line="360" w:lineRule="auto"/>
                    <w:jc w:val="center"/>
                  </w:pPr>
                  <w:r>
                    <w:rPr>
                      <w:rFonts w:hint="eastAsia"/>
                    </w:rPr>
                    <w:t>6.14</w:t>
                  </w:r>
                </w:p>
              </w:tc>
              <w:tc>
                <w:tcPr>
                  <w:tcW w:w="689" w:type="pct"/>
                  <w:shd w:val="clear" w:color="auto" w:fill="auto"/>
                  <w:vAlign w:val="center"/>
                </w:tcPr>
                <w:p>
                  <w:pPr>
                    <w:spacing w:line="360" w:lineRule="auto"/>
                    <w:jc w:val="center"/>
                  </w:pPr>
                  <w:r>
                    <w:rPr>
                      <w:rFonts w:hint="eastAsia"/>
                    </w:rPr>
                    <w:t>0.072</w:t>
                  </w:r>
                </w:p>
              </w:tc>
              <w:tc>
                <w:tcPr>
                  <w:tcW w:w="839" w:type="pct"/>
                  <w:vMerge w:val="continue"/>
                  <w:shd w:val="clear" w:color="auto" w:fill="auto"/>
                  <w:vAlign w:val="center"/>
                </w:tcPr>
                <w:p>
                  <w:pPr>
                    <w:spacing w:line="360" w:lineRule="auto"/>
                    <w:jc w:val="center"/>
                  </w:pPr>
                </w:p>
              </w:tc>
              <w:tc>
                <w:tcPr>
                  <w:tcW w:w="695" w:type="pct"/>
                  <w:vMerge w:val="continue"/>
                  <w:shd w:val="clear" w:color="auto" w:fill="auto"/>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continue"/>
                  <w:shd w:val="clear" w:color="auto" w:fill="auto"/>
                  <w:vAlign w:val="center"/>
                </w:tcPr>
                <w:p>
                  <w:pPr>
                    <w:spacing w:line="360" w:lineRule="auto"/>
                    <w:jc w:val="center"/>
                  </w:pPr>
                </w:p>
              </w:tc>
              <w:tc>
                <w:tcPr>
                  <w:tcW w:w="605" w:type="pct"/>
                  <w:vMerge w:val="continue"/>
                  <w:shd w:val="clear" w:color="auto" w:fill="auto"/>
                  <w:vAlign w:val="center"/>
                </w:tcPr>
                <w:p>
                  <w:pPr>
                    <w:spacing w:line="360" w:lineRule="auto"/>
                    <w:jc w:val="center"/>
                  </w:pPr>
                </w:p>
              </w:tc>
              <w:tc>
                <w:tcPr>
                  <w:tcW w:w="747" w:type="pct"/>
                  <w:shd w:val="clear" w:color="auto" w:fill="auto"/>
                  <w:vAlign w:val="center"/>
                </w:tcPr>
                <w:p>
                  <w:pPr>
                    <w:spacing w:line="360" w:lineRule="auto"/>
                    <w:jc w:val="center"/>
                  </w:pPr>
                  <w:r>
                    <w:t>SS</w:t>
                  </w:r>
                </w:p>
              </w:tc>
              <w:tc>
                <w:tcPr>
                  <w:tcW w:w="687" w:type="pct"/>
                  <w:shd w:val="clear" w:color="auto" w:fill="auto"/>
                  <w:vAlign w:val="center"/>
                </w:tcPr>
                <w:p>
                  <w:pPr>
                    <w:spacing w:line="360" w:lineRule="auto"/>
                    <w:jc w:val="center"/>
                  </w:pPr>
                  <w:r>
                    <w:rPr>
                      <w:rFonts w:hint="eastAsia"/>
                    </w:rPr>
                    <w:t>106.9</w:t>
                  </w:r>
                </w:p>
              </w:tc>
              <w:tc>
                <w:tcPr>
                  <w:tcW w:w="689" w:type="pct"/>
                  <w:shd w:val="clear" w:color="auto" w:fill="auto"/>
                  <w:vAlign w:val="center"/>
                </w:tcPr>
                <w:p>
                  <w:pPr>
                    <w:spacing w:line="360" w:lineRule="auto"/>
                    <w:jc w:val="center"/>
                  </w:pPr>
                  <w:r>
                    <w:rPr>
                      <w:rFonts w:hint="eastAsia"/>
                    </w:rPr>
                    <w:t>1.253</w:t>
                  </w:r>
                </w:p>
              </w:tc>
              <w:tc>
                <w:tcPr>
                  <w:tcW w:w="839" w:type="pct"/>
                  <w:vMerge w:val="continue"/>
                  <w:shd w:val="clear" w:color="auto" w:fill="auto"/>
                  <w:vAlign w:val="center"/>
                </w:tcPr>
                <w:p>
                  <w:pPr>
                    <w:spacing w:line="360" w:lineRule="auto"/>
                    <w:jc w:val="center"/>
                  </w:pPr>
                </w:p>
              </w:tc>
              <w:tc>
                <w:tcPr>
                  <w:tcW w:w="695" w:type="pct"/>
                  <w:vMerge w:val="continue"/>
                  <w:shd w:val="clear" w:color="auto" w:fill="auto"/>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continue"/>
                  <w:shd w:val="clear" w:color="auto" w:fill="auto"/>
                  <w:vAlign w:val="center"/>
                </w:tcPr>
                <w:p>
                  <w:pPr>
                    <w:spacing w:line="360" w:lineRule="auto"/>
                    <w:jc w:val="center"/>
                  </w:pPr>
                </w:p>
              </w:tc>
              <w:tc>
                <w:tcPr>
                  <w:tcW w:w="605" w:type="pct"/>
                  <w:vMerge w:val="continue"/>
                  <w:shd w:val="clear" w:color="auto" w:fill="auto"/>
                  <w:vAlign w:val="center"/>
                </w:tcPr>
                <w:p>
                  <w:pPr>
                    <w:spacing w:line="360" w:lineRule="auto"/>
                    <w:jc w:val="center"/>
                  </w:pPr>
                </w:p>
              </w:tc>
              <w:tc>
                <w:tcPr>
                  <w:tcW w:w="747" w:type="pct"/>
                  <w:shd w:val="clear" w:color="auto" w:fill="auto"/>
                  <w:vAlign w:val="center"/>
                </w:tcPr>
                <w:p>
                  <w:pPr>
                    <w:spacing w:line="360" w:lineRule="auto"/>
                    <w:jc w:val="center"/>
                  </w:pPr>
                  <w:r>
                    <w:t>NH</w:t>
                  </w:r>
                  <w:r>
                    <w:rPr>
                      <w:vertAlign w:val="subscript"/>
                    </w:rPr>
                    <w:t>3</w:t>
                  </w:r>
                  <w:r>
                    <w:t>-N</w:t>
                  </w:r>
                </w:p>
              </w:tc>
              <w:tc>
                <w:tcPr>
                  <w:tcW w:w="687" w:type="pct"/>
                  <w:shd w:val="clear" w:color="auto" w:fill="auto"/>
                  <w:vAlign w:val="center"/>
                </w:tcPr>
                <w:p>
                  <w:pPr>
                    <w:spacing w:line="360" w:lineRule="auto"/>
                    <w:jc w:val="center"/>
                  </w:pPr>
                  <w:r>
                    <w:rPr>
                      <w:rFonts w:hint="eastAsia"/>
                    </w:rPr>
                    <w:t>1.62</w:t>
                  </w:r>
                </w:p>
              </w:tc>
              <w:tc>
                <w:tcPr>
                  <w:tcW w:w="689" w:type="pct"/>
                  <w:shd w:val="clear" w:color="auto" w:fill="auto"/>
                  <w:vAlign w:val="center"/>
                </w:tcPr>
                <w:p>
                  <w:pPr>
                    <w:spacing w:line="360" w:lineRule="auto"/>
                    <w:jc w:val="center"/>
                  </w:pPr>
                  <w:r>
                    <w:rPr>
                      <w:rFonts w:hint="eastAsia"/>
                    </w:rPr>
                    <w:t>0.019</w:t>
                  </w:r>
                </w:p>
              </w:tc>
              <w:tc>
                <w:tcPr>
                  <w:tcW w:w="839" w:type="pct"/>
                  <w:vMerge w:val="continue"/>
                  <w:shd w:val="clear" w:color="auto" w:fill="auto"/>
                  <w:vAlign w:val="center"/>
                </w:tcPr>
                <w:p>
                  <w:pPr>
                    <w:spacing w:line="360" w:lineRule="auto"/>
                    <w:jc w:val="center"/>
                  </w:pPr>
                </w:p>
              </w:tc>
              <w:tc>
                <w:tcPr>
                  <w:tcW w:w="695" w:type="pct"/>
                  <w:vMerge w:val="continue"/>
                  <w:shd w:val="clear" w:color="auto" w:fill="auto"/>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continue"/>
                  <w:shd w:val="clear" w:color="auto" w:fill="auto"/>
                  <w:vAlign w:val="center"/>
                </w:tcPr>
                <w:p>
                  <w:pPr>
                    <w:spacing w:line="360" w:lineRule="auto"/>
                    <w:jc w:val="center"/>
                  </w:pPr>
                </w:p>
              </w:tc>
              <w:tc>
                <w:tcPr>
                  <w:tcW w:w="605" w:type="pct"/>
                  <w:vMerge w:val="continue"/>
                  <w:shd w:val="clear" w:color="auto" w:fill="auto"/>
                  <w:vAlign w:val="center"/>
                </w:tcPr>
                <w:p>
                  <w:pPr>
                    <w:spacing w:line="360" w:lineRule="auto"/>
                    <w:jc w:val="center"/>
                  </w:pPr>
                </w:p>
              </w:tc>
              <w:tc>
                <w:tcPr>
                  <w:tcW w:w="747" w:type="pct"/>
                  <w:shd w:val="clear" w:color="auto" w:fill="auto"/>
                  <w:vAlign w:val="center"/>
                </w:tcPr>
                <w:p>
                  <w:pPr>
                    <w:spacing w:line="360" w:lineRule="auto"/>
                    <w:jc w:val="center"/>
                  </w:pPr>
                  <w:r>
                    <w:t>石油类</w:t>
                  </w:r>
                </w:p>
              </w:tc>
              <w:tc>
                <w:tcPr>
                  <w:tcW w:w="687" w:type="pct"/>
                  <w:shd w:val="clear" w:color="auto" w:fill="auto"/>
                  <w:vAlign w:val="center"/>
                </w:tcPr>
                <w:p>
                  <w:pPr>
                    <w:spacing w:line="360" w:lineRule="auto"/>
                    <w:jc w:val="center"/>
                  </w:pPr>
                  <w:r>
                    <w:rPr>
                      <w:rFonts w:hint="eastAsia"/>
                    </w:rPr>
                    <w:t>6.0</w:t>
                  </w:r>
                </w:p>
              </w:tc>
              <w:tc>
                <w:tcPr>
                  <w:tcW w:w="689" w:type="pct"/>
                  <w:shd w:val="clear" w:color="auto" w:fill="auto"/>
                  <w:vAlign w:val="center"/>
                </w:tcPr>
                <w:p>
                  <w:pPr>
                    <w:spacing w:line="360" w:lineRule="auto"/>
                    <w:jc w:val="center"/>
                  </w:pPr>
                  <w:r>
                    <w:rPr>
                      <w:rFonts w:hint="eastAsia"/>
                    </w:rPr>
                    <w:t>0.07</w:t>
                  </w:r>
                </w:p>
              </w:tc>
              <w:tc>
                <w:tcPr>
                  <w:tcW w:w="839" w:type="pct"/>
                  <w:vMerge w:val="continue"/>
                  <w:shd w:val="clear" w:color="auto" w:fill="auto"/>
                  <w:vAlign w:val="center"/>
                </w:tcPr>
                <w:p>
                  <w:pPr>
                    <w:spacing w:line="360" w:lineRule="auto"/>
                    <w:jc w:val="center"/>
                  </w:pPr>
                </w:p>
              </w:tc>
              <w:tc>
                <w:tcPr>
                  <w:tcW w:w="695" w:type="pct"/>
                  <w:vMerge w:val="continue"/>
                  <w:shd w:val="clear" w:color="auto" w:fill="auto"/>
                  <w:vAlign w:val="center"/>
                </w:tcPr>
                <w:p>
                  <w:pPr>
                    <w:spacing w:line="360" w:lineRule="auto"/>
                    <w:jc w:val="center"/>
                  </w:pPr>
                </w:p>
              </w:tc>
            </w:tr>
          </w:tbl>
          <w:p>
            <w:pPr>
              <w:adjustRightInd w:val="0"/>
              <w:snapToGrid w:val="0"/>
              <w:spacing w:before="156" w:beforeLines="50" w:line="360" w:lineRule="auto"/>
              <w:ind w:firstLine="420"/>
            </w:pPr>
            <w:r>
              <w:rPr>
                <w:rFonts w:hint="eastAsia"/>
              </w:rPr>
              <w:t>（2）废水影响分析及</w:t>
            </w:r>
            <w:r>
              <w:t>治理措施的可行性分析</w:t>
            </w:r>
          </w:p>
          <w:p>
            <w:pPr>
              <w:snapToGrid w:val="0"/>
              <w:spacing w:line="360" w:lineRule="auto"/>
              <w:ind w:firstLine="420"/>
              <w:rPr>
                <w:rFonts w:hAnsiTheme="minorEastAsia" w:eastAsiaTheme="minorEastAsia"/>
              </w:rPr>
            </w:pPr>
            <w:r>
              <w:rPr>
                <w:rFonts w:hint="eastAsia"/>
              </w:rPr>
              <w:t>项目废水总排口的COD</w:t>
            </w:r>
            <w:r>
              <w:rPr>
                <w:rFonts w:hint="eastAsia"/>
                <w:vertAlign w:val="subscript"/>
              </w:rPr>
              <w:t>Cr</w:t>
            </w:r>
            <w:r>
              <w:rPr>
                <w:rFonts w:hint="eastAsia"/>
              </w:rPr>
              <w:t>、BOD</w:t>
            </w:r>
            <w:r>
              <w:rPr>
                <w:rFonts w:hint="eastAsia"/>
                <w:vertAlign w:val="subscript"/>
              </w:rPr>
              <w:t>5</w:t>
            </w:r>
            <w:r>
              <w:rPr>
                <w:rFonts w:hint="eastAsia"/>
              </w:rPr>
              <w:t>、SS、NH</w:t>
            </w:r>
            <w:r>
              <w:rPr>
                <w:rFonts w:hint="eastAsia"/>
                <w:vertAlign w:val="subscript"/>
              </w:rPr>
              <w:t>3</w:t>
            </w:r>
            <w:r>
              <w:rPr>
                <w:rFonts w:hint="eastAsia"/>
              </w:rPr>
              <w:t>-N、石油类的排放浓度分别为353mg/L、6.14mg/L、106.9mg/L、1.62mg/L、6.0mg/L，均达到《污水综合排放标准》（GB8978-1996）三级标准及德山污水处理厂的进水水质要求，</w:t>
            </w:r>
            <w:r>
              <w:rPr>
                <w:rFonts w:hint="eastAsia" w:hAnsiTheme="minorEastAsia" w:eastAsiaTheme="minorEastAsia"/>
              </w:rPr>
              <w:t>不会对区域水环境产生不利影响。</w:t>
            </w:r>
          </w:p>
          <w:p>
            <w:pPr>
              <w:snapToGrid w:val="0"/>
              <w:spacing w:line="360" w:lineRule="auto"/>
              <w:ind w:firstLine="420"/>
            </w:pPr>
            <w:r>
              <w:rPr>
                <w:rFonts w:hint="eastAsia"/>
              </w:rPr>
              <w:t>本</w:t>
            </w:r>
            <w:r>
              <w:t>项目废水类别、排放形式及污染治理设施进行符合性分析，具体见下表。</w:t>
            </w:r>
            <w:r>
              <w:rPr>
                <w:rFonts w:hint="eastAsia"/>
              </w:rPr>
              <w:t xml:space="preserve"> </w:t>
            </w:r>
          </w:p>
          <w:p>
            <w:pPr>
              <w:pStyle w:val="17"/>
              <w:spacing w:beforeLines="0"/>
              <w:ind w:firstLine="0" w:firstLineChars="0"/>
              <w:jc w:val="center"/>
              <w:rPr>
                <w:rFonts w:hAnsi="宋体"/>
                <w:b/>
                <w:bCs/>
                <w:sz w:val="21"/>
                <w:szCs w:val="21"/>
              </w:rPr>
            </w:pPr>
            <w:r>
              <w:rPr>
                <w:rFonts w:hint="eastAsia" w:hAnsi="宋体"/>
                <w:b/>
                <w:bCs/>
                <w:sz w:val="21"/>
                <w:szCs w:val="21"/>
              </w:rPr>
              <w:t>表4-4  本项目</w:t>
            </w:r>
            <w:r>
              <w:rPr>
                <w:rFonts w:hAnsi="宋体"/>
                <w:b/>
                <w:bCs/>
                <w:sz w:val="21"/>
                <w:szCs w:val="21"/>
              </w:rPr>
              <w:t>废水排放</w:t>
            </w:r>
            <w:r>
              <w:rPr>
                <w:rFonts w:hint="eastAsia" w:hAnsi="宋体"/>
                <w:b/>
                <w:bCs/>
                <w:sz w:val="21"/>
                <w:szCs w:val="21"/>
              </w:rPr>
              <w:t>与排污许可技术</w:t>
            </w:r>
            <w:r>
              <w:rPr>
                <w:rFonts w:hAnsi="宋体"/>
                <w:b/>
                <w:bCs/>
                <w:sz w:val="21"/>
                <w:szCs w:val="21"/>
              </w:rPr>
              <w:t>规范符合性</w:t>
            </w:r>
            <w:r>
              <w:rPr>
                <w:rFonts w:hint="eastAsia" w:hAnsi="宋体"/>
                <w:b/>
                <w:bCs/>
                <w:sz w:val="21"/>
                <w:szCs w:val="21"/>
              </w:rPr>
              <w:t>分析</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1021"/>
              <w:gridCol w:w="1558"/>
              <w:gridCol w:w="1134"/>
              <w:gridCol w:w="1344"/>
              <w:gridCol w:w="1067"/>
              <w:gridCol w:w="993"/>
              <w:gridCol w:w="9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blHeader/>
                <w:jc w:val="center"/>
              </w:trPr>
              <w:tc>
                <w:tcPr>
                  <w:tcW w:w="637" w:type="pct"/>
                  <w:vMerge w:val="restart"/>
                  <w:vAlign w:val="center"/>
                </w:tcPr>
                <w:p>
                  <w:pPr>
                    <w:spacing w:line="360" w:lineRule="auto"/>
                    <w:jc w:val="center"/>
                    <w:rPr>
                      <w:b/>
                      <w:bCs/>
                    </w:rPr>
                  </w:pPr>
                  <w:r>
                    <w:rPr>
                      <w:b/>
                      <w:bCs/>
                    </w:rPr>
                    <w:t>污染源</w:t>
                  </w:r>
                </w:p>
              </w:tc>
              <w:tc>
                <w:tcPr>
                  <w:tcW w:w="972" w:type="pct"/>
                  <w:vMerge w:val="restart"/>
                  <w:vAlign w:val="center"/>
                </w:tcPr>
                <w:p>
                  <w:pPr>
                    <w:spacing w:line="360" w:lineRule="auto"/>
                    <w:jc w:val="center"/>
                    <w:rPr>
                      <w:b/>
                      <w:bCs/>
                    </w:rPr>
                  </w:pPr>
                  <w:r>
                    <w:rPr>
                      <w:b/>
                      <w:bCs/>
                    </w:rPr>
                    <w:t>污染物</w:t>
                  </w:r>
                </w:p>
              </w:tc>
              <w:tc>
                <w:tcPr>
                  <w:tcW w:w="1545" w:type="pct"/>
                  <w:gridSpan w:val="2"/>
                  <w:vAlign w:val="center"/>
                </w:tcPr>
                <w:p>
                  <w:pPr>
                    <w:spacing w:line="360" w:lineRule="auto"/>
                    <w:jc w:val="center"/>
                    <w:rPr>
                      <w:b/>
                      <w:bCs/>
                    </w:rPr>
                  </w:pPr>
                  <w:r>
                    <w:rPr>
                      <w:b/>
                      <w:bCs/>
                    </w:rPr>
                    <w:t>技术规范要求</w:t>
                  </w:r>
                </w:p>
              </w:tc>
              <w:tc>
                <w:tcPr>
                  <w:tcW w:w="1284" w:type="pct"/>
                  <w:gridSpan w:val="2"/>
                  <w:vAlign w:val="center"/>
                </w:tcPr>
                <w:p>
                  <w:pPr>
                    <w:spacing w:line="360" w:lineRule="auto"/>
                    <w:jc w:val="center"/>
                    <w:rPr>
                      <w:b/>
                      <w:bCs/>
                    </w:rPr>
                  </w:pPr>
                  <w:r>
                    <w:rPr>
                      <w:b/>
                      <w:bCs/>
                    </w:rPr>
                    <w:t>本项目</w:t>
                  </w:r>
                </w:p>
              </w:tc>
              <w:tc>
                <w:tcPr>
                  <w:tcW w:w="561" w:type="pct"/>
                  <w:vMerge w:val="restart"/>
                  <w:vAlign w:val="center"/>
                </w:tcPr>
                <w:p>
                  <w:pPr>
                    <w:spacing w:line="360" w:lineRule="auto"/>
                    <w:jc w:val="center"/>
                    <w:rPr>
                      <w:b/>
                      <w:bCs/>
                    </w:rPr>
                  </w:pPr>
                  <w:r>
                    <w:rPr>
                      <w:b/>
                      <w:bCs/>
                    </w:rPr>
                    <w:t>是否为可行技术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blHeader/>
                <w:jc w:val="center"/>
              </w:trPr>
              <w:tc>
                <w:tcPr>
                  <w:tcW w:w="637" w:type="pct"/>
                  <w:vMerge w:val="continue"/>
                  <w:vAlign w:val="center"/>
                </w:tcPr>
                <w:p>
                  <w:pPr>
                    <w:pStyle w:val="37"/>
                    <w:spacing w:before="31" w:after="31" w:line="360" w:lineRule="auto"/>
                    <w:rPr>
                      <w:rFonts w:ascii="Times New Roman" w:cs="Times New Roman"/>
                    </w:rPr>
                  </w:pPr>
                </w:p>
              </w:tc>
              <w:tc>
                <w:tcPr>
                  <w:tcW w:w="972" w:type="pct"/>
                  <w:vMerge w:val="continue"/>
                  <w:vAlign w:val="center"/>
                </w:tcPr>
                <w:p>
                  <w:pPr>
                    <w:pStyle w:val="37"/>
                    <w:spacing w:before="31" w:after="31" w:line="360" w:lineRule="auto"/>
                    <w:rPr>
                      <w:rFonts w:ascii="Times New Roman" w:cs="Times New Roman"/>
                    </w:rPr>
                  </w:pPr>
                </w:p>
              </w:tc>
              <w:tc>
                <w:tcPr>
                  <w:tcW w:w="707" w:type="pct"/>
                  <w:vAlign w:val="center"/>
                </w:tcPr>
                <w:p>
                  <w:pPr>
                    <w:pStyle w:val="37"/>
                    <w:spacing w:before="31" w:after="31" w:line="360" w:lineRule="auto"/>
                    <w:rPr>
                      <w:rFonts w:ascii="Times New Roman" w:cs="Times New Roman"/>
                    </w:rPr>
                  </w:pPr>
                  <w:r>
                    <w:rPr>
                      <w:rFonts w:ascii="Times New Roman" w:cs="Times New Roman"/>
                    </w:rPr>
                    <w:t>排放去向</w:t>
                  </w:r>
                </w:p>
              </w:tc>
              <w:tc>
                <w:tcPr>
                  <w:tcW w:w="838" w:type="pct"/>
                  <w:vAlign w:val="center"/>
                </w:tcPr>
                <w:p>
                  <w:pPr>
                    <w:pStyle w:val="37"/>
                    <w:spacing w:before="31" w:after="31" w:line="360" w:lineRule="auto"/>
                    <w:rPr>
                      <w:rFonts w:ascii="Times New Roman" w:cs="Times New Roman"/>
                    </w:rPr>
                  </w:pPr>
                  <w:r>
                    <w:rPr>
                      <w:rFonts w:ascii="Times New Roman" w:cs="Times New Roman"/>
                    </w:rPr>
                    <w:t>治理措施</w:t>
                  </w:r>
                </w:p>
              </w:tc>
              <w:tc>
                <w:tcPr>
                  <w:tcW w:w="665" w:type="pct"/>
                  <w:vAlign w:val="center"/>
                </w:tcPr>
                <w:p>
                  <w:pPr>
                    <w:pStyle w:val="37"/>
                    <w:spacing w:before="31" w:after="31" w:line="360" w:lineRule="auto"/>
                    <w:rPr>
                      <w:rFonts w:ascii="Times New Roman" w:cs="Times New Roman"/>
                    </w:rPr>
                  </w:pPr>
                  <w:r>
                    <w:rPr>
                      <w:rFonts w:ascii="Times New Roman" w:cs="Times New Roman"/>
                    </w:rPr>
                    <w:t>排放去向</w:t>
                  </w:r>
                </w:p>
              </w:tc>
              <w:tc>
                <w:tcPr>
                  <w:tcW w:w="619" w:type="pct"/>
                  <w:vAlign w:val="center"/>
                </w:tcPr>
                <w:p>
                  <w:pPr>
                    <w:pStyle w:val="37"/>
                    <w:spacing w:before="31" w:after="31" w:line="360" w:lineRule="auto"/>
                    <w:rPr>
                      <w:rFonts w:ascii="Times New Roman" w:cs="Times New Roman"/>
                    </w:rPr>
                  </w:pPr>
                  <w:r>
                    <w:rPr>
                      <w:rFonts w:ascii="Times New Roman" w:cs="Times New Roman"/>
                    </w:rPr>
                    <w:t>治理措施</w:t>
                  </w:r>
                </w:p>
              </w:tc>
              <w:tc>
                <w:tcPr>
                  <w:tcW w:w="561" w:type="pct"/>
                  <w:vMerge w:val="continue"/>
                  <w:vAlign w:val="center"/>
                </w:tcPr>
                <w:p>
                  <w:pPr>
                    <w:pStyle w:val="37"/>
                    <w:spacing w:before="31" w:after="31" w:line="360" w:lineRule="auto"/>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637" w:type="pct"/>
                  <w:vAlign w:val="center"/>
                </w:tcPr>
                <w:p>
                  <w:pPr>
                    <w:pStyle w:val="37"/>
                    <w:spacing w:before="31" w:after="31" w:line="360" w:lineRule="auto"/>
                    <w:rPr>
                      <w:rFonts w:ascii="Times New Roman" w:cs="Times New Roman"/>
                    </w:rPr>
                  </w:pPr>
                  <w:r>
                    <w:rPr>
                      <w:rFonts w:ascii="Times New Roman" w:cs="Times New Roman"/>
                    </w:rPr>
                    <w:t>生产废水</w:t>
                  </w:r>
                </w:p>
              </w:tc>
              <w:tc>
                <w:tcPr>
                  <w:tcW w:w="972" w:type="pct"/>
                  <w:vAlign w:val="center"/>
                </w:tcPr>
                <w:p>
                  <w:pPr>
                    <w:pStyle w:val="37"/>
                    <w:spacing w:before="31" w:after="31" w:line="360" w:lineRule="auto"/>
                    <w:rPr>
                      <w:rFonts w:ascii="Times New Roman" w:cs="Times New Roman"/>
                    </w:rPr>
                  </w:pPr>
                  <w:r>
                    <w:rPr>
                      <w:rFonts w:ascii="Times New Roman" w:cs="Times New Roman"/>
                    </w:rPr>
                    <w:t>COD</w:t>
                  </w:r>
                  <w:r>
                    <w:rPr>
                      <w:rFonts w:ascii="Times New Roman" w:cs="Times New Roman"/>
                      <w:vertAlign w:val="subscript"/>
                    </w:rPr>
                    <w:t>cr</w:t>
                  </w:r>
                  <w:r>
                    <w:rPr>
                      <w:rFonts w:ascii="Times New Roman" w:cs="Times New Roman"/>
                    </w:rPr>
                    <w:t>、SS、石油类</w:t>
                  </w:r>
                </w:p>
              </w:tc>
              <w:tc>
                <w:tcPr>
                  <w:tcW w:w="707" w:type="pct"/>
                  <w:vAlign w:val="center"/>
                </w:tcPr>
                <w:p>
                  <w:pPr>
                    <w:pStyle w:val="37"/>
                    <w:spacing w:before="31" w:after="31" w:line="360" w:lineRule="auto"/>
                    <w:rPr>
                      <w:rFonts w:ascii="Times New Roman" w:cs="Times New Roman"/>
                    </w:rPr>
                  </w:pPr>
                  <w:r>
                    <w:rPr>
                      <w:rFonts w:ascii="Times New Roman" w:cs="Times New Roman"/>
                    </w:rPr>
                    <w:t>市政污水处理厂</w:t>
                  </w:r>
                </w:p>
              </w:tc>
              <w:tc>
                <w:tcPr>
                  <w:tcW w:w="838" w:type="pct"/>
                  <w:vAlign w:val="center"/>
                </w:tcPr>
                <w:p>
                  <w:pPr>
                    <w:pStyle w:val="37"/>
                    <w:spacing w:before="31" w:after="31" w:line="360" w:lineRule="auto"/>
                    <w:rPr>
                      <w:rFonts w:ascii="Times New Roman" w:cs="Times New Roman"/>
                    </w:rPr>
                  </w:pPr>
                  <w:r>
                    <w:rPr>
                      <w:rFonts w:ascii="Times New Roman" w:cs="Times New Roman"/>
                    </w:rPr>
                    <w:t>隔油沉淀</w:t>
                  </w:r>
                </w:p>
              </w:tc>
              <w:tc>
                <w:tcPr>
                  <w:tcW w:w="665" w:type="pct"/>
                  <w:vAlign w:val="center"/>
                </w:tcPr>
                <w:p>
                  <w:pPr>
                    <w:pStyle w:val="37"/>
                    <w:spacing w:before="31" w:after="31" w:line="360" w:lineRule="auto"/>
                    <w:rPr>
                      <w:rFonts w:ascii="Times New Roman" w:cs="Times New Roman"/>
                    </w:rPr>
                  </w:pPr>
                  <w:r>
                    <w:rPr>
                      <w:rFonts w:hint="eastAsia"/>
                    </w:rPr>
                    <w:t>德山污水处理厂</w:t>
                  </w:r>
                </w:p>
              </w:tc>
              <w:tc>
                <w:tcPr>
                  <w:tcW w:w="619" w:type="pct"/>
                  <w:vAlign w:val="center"/>
                </w:tcPr>
                <w:p>
                  <w:pPr>
                    <w:pStyle w:val="37"/>
                    <w:spacing w:before="31" w:after="31" w:line="360" w:lineRule="auto"/>
                    <w:rPr>
                      <w:rFonts w:ascii="Times New Roman" w:cs="Times New Roman"/>
                    </w:rPr>
                  </w:pPr>
                  <w:r>
                    <w:rPr>
                      <w:rFonts w:ascii="Times New Roman" w:cs="Times New Roman"/>
                    </w:rPr>
                    <w:t>隔油沉淀</w:t>
                  </w:r>
                </w:p>
              </w:tc>
              <w:tc>
                <w:tcPr>
                  <w:tcW w:w="561" w:type="pct"/>
                  <w:vAlign w:val="center"/>
                </w:tcPr>
                <w:p>
                  <w:pPr>
                    <w:pStyle w:val="37"/>
                    <w:spacing w:before="31" w:after="31" w:line="360" w:lineRule="auto"/>
                    <w:rPr>
                      <w:rFonts w:ascii="Times New Roman" w:cs="Times New Roman"/>
                    </w:rPr>
                  </w:pPr>
                  <w:r>
                    <w:rPr>
                      <w:rFonts w:ascii="Times New Roman" w:cs="Times New Roman"/>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637" w:type="pct"/>
                  <w:vAlign w:val="center"/>
                </w:tcPr>
                <w:p>
                  <w:pPr>
                    <w:pStyle w:val="37"/>
                    <w:spacing w:before="31" w:after="31" w:line="360" w:lineRule="auto"/>
                    <w:rPr>
                      <w:rFonts w:ascii="Times New Roman" w:cs="Times New Roman"/>
                    </w:rPr>
                  </w:pPr>
                  <w:r>
                    <w:rPr>
                      <w:rFonts w:ascii="Times New Roman" w:cs="Times New Roman"/>
                    </w:rPr>
                    <w:t>生活污水</w:t>
                  </w:r>
                </w:p>
              </w:tc>
              <w:tc>
                <w:tcPr>
                  <w:tcW w:w="972" w:type="pct"/>
                  <w:vAlign w:val="center"/>
                </w:tcPr>
                <w:p>
                  <w:pPr>
                    <w:pStyle w:val="37"/>
                    <w:spacing w:before="31" w:after="31" w:line="360" w:lineRule="auto"/>
                    <w:rPr>
                      <w:rFonts w:ascii="Times New Roman" w:cs="Times New Roman"/>
                    </w:rPr>
                  </w:pPr>
                  <w:r>
                    <w:rPr>
                      <w:rFonts w:ascii="Times New Roman" w:cs="Times New Roman"/>
                    </w:rPr>
                    <w:t>COD</w:t>
                  </w:r>
                  <w:r>
                    <w:rPr>
                      <w:rFonts w:ascii="Times New Roman" w:cs="Times New Roman"/>
                      <w:vertAlign w:val="subscript"/>
                    </w:rPr>
                    <w:t>cr</w:t>
                  </w:r>
                  <w:r>
                    <w:rPr>
                      <w:rFonts w:ascii="Times New Roman" w:cs="Times New Roman"/>
                    </w:rPr>
                    <w:t>、BOD</w:t>
                  </w:r>
                  <w:r>
                    <w:rPr>
                      <w:rFonts w:ascii="Times New Roman" w:cs="Times New Roman"/>
                      <w:vertAlign w:val="subscript"/>
                    </w:rPr>
                    <w:t>5</w:t>
                  </w:r>
                  <w:r>
                    <w:rPr>
                      <w:rFonts w:ascii="Times New Roman" w:cs="Times New Roman"/>
                    </w:rPr>
                    <w:t>、SS、氨氮</w:t>
                  </w:r>
                </w:p>
              </w:tc>
              <w:tc>
                <w:tcPr>
                  <w:tcW w:w="707" w:type="pct"/>
                  <w:vAlign w:val="center"/>
                </w:tcPr>
                <w:p>
                  <w:pPr>
                    <w:pStyle w:val="37"/>
                    <w:spacing w:before="31" w:after="31" w:line="360" w:lineRule="auto"/>
                    <w:rPr>
                      <w:rFonts w:ascii="Times New Roman" w:cs="Times New Roman"/>
                    </w:rPr>
                  </w:pPr>
                  <w:r>
                    <w:rPr>
                      <w:rFonts w:ascii="Times New Roman" w:cs="Times New Roman"/>
                    </w:rPr>
                    <w:t>市政污水处理厂</w:t>
                  </w:r>
                </w:p>
              </w:tc>
              <w:tc>
                <w:tcPr>
                  <w:tcW w:w="838" w:type="pct"/>
                  <w:vAlign w:val="center"/>
                </w:tcPr>
                <w:p>
                  <w:pPr>
                    <w:pStyle w:val="37"/>
                    <w:spacing w:before="31" w:after="31" w:line="360" w:lineRule="auto"/>
                    <w:rPr>
                      <w:rFonts w:ascii="Times New Roman" w:cs="Times New Roman"/>
                    </w:rPr>
                  </w:pPr>
                  <w:r>
                    <w:rPr>
                      <w:rFonts w:ascii="Times New Roman" w:cs="Times New Roman"/>
                    </w:rPr>
                    <w:t>/</w:t>
                  </w:r>
                </w:p>
              </w:tc>
              <w:tc>
                <w:tcPr>
                  <w:tcW w:w="665" w:type="pct"/>
                  <w:vAlign w:val="center"/>
                </w:tcPr>
                <w:p>
                  <w:pPr>
                    <w:pStyle w:val="37"/>
                    <w:spacing w:before="31" w:after="31" w:line="360" w:lineRule="auto"/>
                    <w:rPr>
                      <w:rFonts w:ascii="Times New Roman" w:cs="Times New Roman"/>
                    </w:rPr>
                  </w:pPr>
                  <w:r>
                    <w:rPr>
                      <w:rFonts w:hint="eastAsia"/>
                    </w:rPr>
                    <w:t>德山污水处理厂</w:t>
                  </w:r>
                </w:p>
              </w:tc>
              <w:tc>
                <w:tcPr>
                  <w:tcW w:w="619" w:type="pct"/>
                  <w:vAlign w:val="center"/>
                </w:tcPr>
                <w:p>
                  <w:pPr>
                    <w:pStyle w:val="37"/>
                    <w:spacing w:before="31" w:after="31" w:line="360" w:lineRule="auto"/>
                    <w:rPr>
                      <w:rFonts w:ascii="Times New Roman" w:cs="Times New Roman"/>
                    </w:rPr>
                  </w:pPr>
                  <w:r>
                    <w:rPr>
                      <w:rFonts w:ascii="Times New Roman" w:cs="Times New Roman"/>
                    </w:rPr>
                    <w:t>化粪池</w:t>
                  </w:r>
                </w:p>
              </w:tc>
              <w:tc>
                <w:tcPr>
                  <w:tcW w:w="561" w:type="pct"/>
                  <w:vAlign w:val="center"/>
                </w:tcPr>
                <w:p>
                  <w:pPr>
                    <w:pStyle w:val="37"/>
                    <w:spacing w:before="31" w:after="31" w:line="360" w:lineRule="auto"/>
                    <w:rPr>
                      <w:rFonts w:ascii="Times New Roman" w:cs="Times New Roman"/>
                    </w:rPr>
                  </w:pPr>
                  <w:r>
                    <w:rPr>
                      <w:rFonts w:ascii="Times New Roman" w:cs="Times New Roman"/>
                    </w:rPr>
                    <w:t>是</w:t>
                  </w:r>
                </w:p>
              </w:tc>
            </w:tr>
          </w:tbl>
          <w:p>
            <w:pPr>
              <w:adjustRightInd w:val="0"/>
              <w:snapToGrid w:val="0"/>
              <w:spacing w:before="156" w:beforeLines="50" w:line="360" w:lineRule="auto"/>
              <w:ind w:firstLine="420"/>
              <w:rPr>
                <w:rFonts w:hAnsi="宋体" w:cstheme="minorBidi"/>
              </w:rPr>
            </w:pPr>
            <w:r>
              <w:rPr>
                <w:rFonts w:hAnsi="宋体" w:cstheme="minorBidi"/>
              </w:rPr>
              <w:t>（3）废水接纳可行性分析</w:t>
            </w:r>
          </w:p>
          <w:p>
            <w:pPr>
              <w:snapToGrid w:val="0"/>
              <w:spacing w:line="360" w:lineRule="auto"/>
              <w:ind w:firstLine="420"/>
              <w:rPr>
                <w:rFonts w:hAnsi="宋体" w:cstheme="minorBidi"/>
              </w:rPr>
            </w:pPr>
            <w:r>
              <w:rPr>
                <w:rFonts w:hint="eastAsia" w:hAnsi="宋体" w:cstheme="minorBidi"/>
              </w:rPr>
              <w:t>德山污水处理厂位于常德市五一村，樟桥路东侧、新中路西侧及政德路南侧，由常德清蓝水务有限公司负责运营管理，德山污水处理厂于</w:t>
            </w:r>
            <w:r>
              <w:rPr>
                <w:rFonts w:hAnsi="宋体" w:cstheme="minorBidi"/>
              </w:rPr>
              <w:t>2005</w:t>
            </w:r>
            <w:r>
              <w:rPr>
                <w:rFonts w:hint="eastAsia" w:hAnsi="宋体" w:cstheme="minorBidi"/>
              </w:rPr>
              <w:t>年</w:t>
            </w:r>
            <w:r>
              <w:rPr>
                <w:rFonts w:hAnsi="宋体" w:cstheme="minorBidi"/>
              </w:rPr>
              <w:t>5</w:t>
            </w:r>
            <w:r>
              <w:rPr>
                <w:rFonts w:hint="eastAsia" w:hAnsi="宋体" w:cstheme="minorBidi"/>
              </w:rPr>
              <w:t>月取得湖南省环保厅环评批复（湘环评</w:t>
            </w:r>
            <w:r>
              <w:rPr>
                <w:rFonts w:hAnsi="宋体" w:cstheme="minorBidi"/>
              </w:rPr>
              <w:t>[2005]44</w:t>
            </w:r>
            <w:r>
              <w:rPr>
                <w:rFonts w:hint="eastAsia" w:hAnsi="宋体" w:cstheme="minorBidi"/>
              </w:rPr>
              <w:t>号），</w:t>
            </w:r>
            <w:r>
              <w:rPr>
                <w:rFonts w:hAnsi="宋体" w:cstheme="minorBidi"/>
              </w:rPr>
              <w:t>2010</w:t>
            </w:r>
            <w:r>
              <w:rPr>
                <w:rFonts w:hint="eastAsia" w:hAnsi="宋体" w:cstheme="minorBidi"/>
              </w:rPr>
              <w:t>年</w:t>
            </w:r>
            <w:r>
              <w:rPr>
                <w:rFonts w:hAnsi="宋体" w:cstheme="minorBidi"/>
              </w:rPr>
              <w:t>4</w:t>
            </w:r>
            <w:r>
              <w:rPr>
                <w:rFonts w:hint="eastAsia" w:hAnsi="宋体" w:cstheme="minorBidi"/>
              </w:rPr>
              <w:t>月开工建设，</w:t>
            </w:r>
            <w:r>
              <w:rPr>
                <w:rFonts w:hAnsi="宋体" w:cstheme="minorBidi"/>
              </w:rPr>
              <w:t>2011</w:t>
            </w:r>
            <w:r>
              <w:rPr>
                <w:rFonts w:hint="eastAsia" w:hAnsi="宋体" w:cstheme="minorBidi"/>
              </w:rPr>
              <w:t>年</w:t>
            </w:r>
            <w:r>
              <w:rPr>
                <w:rFonts w:hAnsi="宋体" w:cstheme="minorBidi"/>
              </w:rPr>
              <w:t>9</w:t>
            </w:r>
            <w:r>
              <w:rPr>
                <w:rFonts w:hint="eastAsia" w:hAnsi="宋体" w:cstheme="minorBidi"/>
              </w:rPr>
              <w:t>月建成调试，</w:t>
            </w:r>
            <w:r>
              <w:rPr>
                <w:rFonts w:hAnsi="宋体" w:cstheme="minorBidi"/>
              </w:rPr>
              <w:t>2013</w:t>
            </w:r>
            <w:r>
              <w:rPr>
                <w:rFonts w:hint="eastAsia" w:hAnsi="宋体" w:cstheme="minorBidi"/>
              </w:rPr>
              <w:t>年</w:t>
            </w:r>
            <w:r>
              <w:rPr>
                <w:rFonts w:hAnsi="宋体" w:cstheme="minorBidi"/>
              </w:rPr>
              <w:t>1</w:t>
            </w:r>
            <w:r>
              <w:rPr>
                <w:rFonts w:hint="eastAsia" w:hAnsi="宋体" w:cstheme="minorBidi"/>
              </w:rPr>
              <w:t>月经常德市环保局同意投入试生产，</w:t>
            </w:r>
            <w:r>
              <w:rPr>
                <w:rFonts w:hAnsi="宋体" w:cstheme="minorBidi"/>
              </w:rPr>
              <w:t>2013</w:t>
            </w:r>
            <w:r>
              <w:rPr>
                <w:rFonts w:hint="eastAsia" w:hAnsi="宋体" w:cstheme="minorBidi"/>
              </w:rPr>
              <w:t>年</w:t>
            </w:r>
            <w:r>
              <w:rPr>
                <w:rFonts w:hAnsi="宋体" w:cstheme="minorBidi"/>
              </w:rPr>
              <w:t>9</w:t>
            </w:r>
            <w:r>
              <w:rPr>
                <w:rFonts w:hint="eastAsia" w:hAnsi="宋体" w:cstheme="minorBidi"/>
              </w:rPr>
              <w:t>月</w:t>
            </w:r>
            <w:r>
              <w:rPr>
                <w:rFonts w:hAnsi="宋体" w:cstheme="minorBidi"/>
              </w:rPr>
              <w:t>3</w:t>
            </w:r>
            <w:r>
              <w:rPr>
                <w:rFonts w:hint="eastAsia" w:hAnsi="宋体" w:cstheme="minorBidi"/>
              </w:rPr>
              <w:t>日通过了湖南省环境保护厅关于常德市德山污水处理厂一期工程阶段性竣工环境保护验收意见的函（湘环评验</w:t>
            </w:r>
            <w:r>
              <w:rPr>
                <w:rFonts w:hAnsi="宋体" w:cstheme="minorBidi"/>
              </w:rPr>
              <w:t>[2013]56</w:t>
            </w:r>
            <w:r>
              <w:rPr>
                <w:rFonts w:hint="eastAsia" w:hAnsi="宋体" w:cstheme="minorBidi"/>
              </w:rPr>
              <w:t>号）。德山污水处理厂服务范围为整个常德经济技术开发区（生活污水与经预处理的工业废水）。</w:t>
            </w:r>
          </w:p>
          <w:p>
            <w:pPr>
              <w:snapToGrid w:val="0"/>
              <w:spacing w:line="360" w:lineRule="auto"/>
              <w:ind w:firstLine="420"/>
              <w:rPr>
                <w:rFonts w:hAnsi="宋体" w:cstheme="minorBidi"/>
              </w:rPr>
            </w:pPr>
            <w:r>
              <w:rPr>
                <w:rFonts w:hAnsi="宋体" w:cstheme="minorBidi"/>
              </w:rPr>
              <w:t>2018</w:t>
            </w:r>
            <w:r>
              <w:rPr>
                <w:rFonts w:hint="eastAsia" w:hAnsi="宋体" w:cstheme="minorBidi"/>
              </w:rPr>
              <w:t>年</w:t>
            </w:r>
            <w:r>
              <w:rPr>
                <w:rFonts w:hAnsi="宋体" w:cstheme="minorBidi"/>
              </w:rPr>
              <w:t>7</w:t>
            </w:r>
            <w:r>
              <w:rPr>
                <w:rFonts w:hint="eastAsia" w:hAnsi="宋体" w:cstheme="minorBidi"/>
              </w:rPr>
              <w:t>月，德山污水处理厂进行尾水提标改造，新增高效沉淀池</w:t>
            </w:r>
            <w:r>
              <w:rPr>
                <w:rFonts w:hAnsi="宋体" w:cstheme="minorBidi"/>
              </w:rPr>
              <w:t>+</w:t>
            </w:r>
            <w:r>
              <w:rPr>
                <w:rFonts w:hint="eastAsia" w:hAnsi="宋体" w:cstheme="minorBidi"/>
              </w:rPr>
              <w:t>滤布滤池深度处理系统，改造后处理工艺采用水解酸化</w:t>
            </w:r>
            <w:r>
              <w:rPr>
                <w:rFonts w:hAnsi="宋体" w:cstheme="minorBidi"/>
              </w:rPr>
              <w:t>+</w:t>
            </w:r>
            <w:r>
              <w:rPr>
                <w:rFonts w:hint="eastAsia" w:hAnsi="宋体" w:cstheme="minorBidi"/>
              </w:rPr>
              <w:t>改良型氧化沟</w:t>
            </w:r>
            <w:r>
              <w:rPr>
                <w:rFonts w:hAnsi="宋体" w:cstheme="minorBidi"/>
              </w:rPr>
              <w:t>+</w:t>
            </w:r>
            <w:r>
              <w:rPr>
                <w:rFonts w:hint="eastAsia" w:hAnsi="宋体" w:cstheme="minorBidi"/>
              </w:rPr>
              <w:t>二沉池</w:t>
            </w:r>
            <w:r>
              <w:rPr>
                <w:rFonts w:hAnsi="宋体" w:cstheme="minorBidi"/>
              </w:rPr>
              <w:t>+</w:t>
            </w:r>
            <w:r>
              <w:rPr>
                <w:rFonts w:hint="eastAsia" w:hAnsi="宋体" w:cstheme="minorBidi"/>
              </w:rPr>
              <w:t>深度处理，出水水质达到《城镇污水处理厂污染物排放标准》（</w:t>
            </w:r>
            <w:r>
              <w:rPr>
                <w:rFonts w:hAnsi="宋体" w:cstheme="minorBidi"/>
              </w:rPr>
              <w:t>GB18918-2002</w:t>
            </w:r>
            <w:r>
              <w:rPr>
                <w:rFonts w:hint="eastAsia" w:hAnsi="宋体" w:cstheme="minorBidi"/>
              </w:rPr>
              <w:t>）一级</w:t>
            </w:r>
            <w:r>
              <w:rPr>
                <w:rFonts w:hAnsi="宋体" w:cstheme="minorBidi"/>
              </w:rPr>
              <w:t>A</w:t>
            </w:r>
            <w:r>
              <w:rPr>
                <w:rFonts w:hint="eastAsia" w:hAnsi="宋体" w:cstheme="minorBidi"/>
              </w:rPr>
              <w:t>标准，尾水由厂区北面向东排入东风河，再由东风河向北约</w:t>
            </w:r>
            <w:r>
              <w:rPr>
                <w:rFonts w:hAnsi="宋体" w:cstheme="minorBidi"/>
              </w:rPr>
              <w:t>1km</w:t>
            </w:r>
            <w:r>
              <w:rPr>
                <w:rFonts w:hint="eastAsia" w:hAnsi="宋体" w:cstheme="minorBidi"/>
              </w:rPr>
              <w:t>进入沅江。该工程已于</w:t>
            </w:r>
            <w:r>
              <w:rPr>
                <w:rFonts w:hAnsi="宋体" w:cstheme="minorBidi"/>
              </w:rPr>
              <w:t>2019</w:t>
            </w:r>
            <w:r>
              <w:rPr>
                <w:rFonts w:hint="eastAsia" w:hAnsi="宋体" w:cstheme="minorBidi"/>
              </w:rPr>
              <w:t>年</w:t>
            </w:r>
            <w:r>
              <w:rPr>
                <w:rFonts w:hAnsi="宋体" w:cstheme="minorBidi"/>
              </w:rPr>
              <w:t>12</w:t>
            </w:r>
            <w:r>
              <w:rPr>
                <w:rFonts w:hint="eastAsia" w:hAnsi="宋体" w:cstheme="minorBidi"/>
              </w:rPr>
              <w:t>月由常德清蓝水务有限公司组织自主验收。</w:t>
            </w:r>
          </w:p>
          <w:p>
            <w:pPr>
              <w:snapToGrid w:val="0"/>
              <w:spacing w:line="360" w:lineRule="auto"/>
              <w:ind w:firstLine="420"/>
              <w:rPr>
                <w:rFonts w:hAnsi="宋体" w:cstheme="minorBidi"/>
              </w:rPr>
            </w:pPr>
            <w:r>
              <w:rPr>
                <w:rFonts w:hint="eastAsia" w:hAnsi="宋体" w:cstheme="minorBidi"/>
              </w:rPr>
              <w:t>目前德山污水处理厂处理能力为</w:t>
            </w:r>
            <w:r>
              <w:rPr>
                <w:rFonts w:hAnsi="宋体" w:cstheme="minorBidi"/>
              </w:rPr>
              <w:t>5</w:t>
            </w:r>
            <w:r>
              <w:rPr>
                <w:rFonts w:hint="eastAsia" w:hAnsi="宋体" w:cstheme="minorBidi"/>
              </w:rPr>
              <w:t>万</w:t>
            </w:r>
            <w:r>
              <w:rPr>
                <w:rFonts w:hAnsi="宋体" w:cstheme="minorBidi"/>
              </w:rPr>
              <w:t>m</w:t>
            </w:r>
            <w:r>
              <w:rPr>
                <w:rFonts w:hAnsi="宋体" w:cstheme="minorBidi"/>
                <w:vertAlign w:val="superscript"/>
              </w:rPr>
              <w:t>3</w:t>
            </w:r>
            <w:r>
              <w:rPr>
                <w:rFonts w:hAnsi="宋体" w:cstheme="minorBidi"/>
              </w:rPr>
              <w:t>/d</w:t>
            </w:r>
            <w:r>
              <w:rPr>
                <w:rFonts w:hint="eastAsia" w:hAnsi="宋体" w:cstheme="minorBidi"/>
              </w:rPr>
              <w:t>，实际废水处理量为</w:t>
            </w:r>
            <w:r>
              <w:rPr>
                <w:rFonts w:hAnsi="宋体" w:cstheme="minorBidi"/>
              </w:rPr>
              <w:t>4.3</w:t>
            </w:r>
            <w:r>
              <w:rPr>
                <w:rFonts w:hint="eastAsia" w:hAnsi="宋体" w:cstheme="minorBidi"/>
              </w:rPr>
              <w:t>万</w:t>
            </w:r>
            <w:r>
              <w:rPr>
                <w:rFonts w:hAnsi="宋体" w:cstheme="minorBidi"/>
              </w:rPr>
              <w:t>m</w:t>
            </w:r>
            <w:r>
              <w:rPr>
                <w:rFonts w:hAnsi="宋体" w:cstheme="minorBidi"/>
                <w:vertAlign w:val="superscript"/>
              </w:rPr>
              <w:t>3</w:t>
            </w:r>
            <w:r>
              <w:rPr>
                <w:rFonts w:hAnsi="宋体" w:cstheme="minorBidi"/>
              </w:rPr>
              <w:t>/d</w:t>
            </w:r>
            <w:r>
              <w:rPr>
                <w:rFonts w:hint="eastAsia" w:hAnsi="宋体" w:cstheme="minorBidi"/>
              </w:rPr>
              <w:t>左右，富余</w:t>
            </w:r>
            <w:r>
              <w:rPr>
                <w:rFonts w:hAnsi="宋体" w:cstheme="minorBidi"/>
              </w:rPr>
              <w:t>0.7</w:t>
            </w:r>
            <w:r>
              <w:rPr>
                <w:rFonts w:hint="eastAsia" w:hAnsi="宋体" w:cstheme="minorBidi"/>
              </w:rPr>
              <w:t>万</w:t>
            </w:r>
            <w:r>
              <w:rPr>
                <w:rFonts w:hAnsi="宋体" w:cstheme="minorBidi"/>
              </w:rPr>
              <w:t>m</w:t>
            </w:r>
            <w:r>
              <w:rPr>
                <w:rFonts w:hAnsi="宋体" w:cstheme="minorBidi"/>
                <w:vertAlign w:val="superscript"/>
              </w:rPr>
              <w:t>3</w:t>
            </w:r>
            <w:r>
              <w:rPr>
                <w:rFonts w:hAnsi="宋体" w:cstheme="minorBidi"/>
              </w:rPr>
              <w:t>/d</w:t>
            </w:r>
            <w:r>
              <w:rPr>
                <w:rFonts w:hint="eastAsia" w:hAnsi="宋体" w:cstheme="minorBidi"/>
              </w:rPr>
              <w:t>左右的处理能力。</w:t>
            </w:r>
          </w:p>
          <w:p>
            <w:pPr>
              <w:snapToGrid w:val="0"/>
              <w:spacing w:line="360" w:lineRule="auto"/>
              <w:ind w:firstLine="420"/>
              <w:rPr>
                <w:rFonts w:hAnsi="宋体" w:cstheme="minorBidi"/>
              </w:rPr>
            </w:pPr>
            <w:r>
              <w:rPr>
                <w:rFonts w:hint="eastAsia" w:hAnsi="宋体" w:cstheme="minorBidi"/>
              </w:rPr>
              <w:t>本项目位于常德经济技术开发区，本项目区域污水管网配套齐全，属于德山污水处理厂纳污范围。本项目污水排放量为58.6</w:t>
            </w:r>
            <w:r>
              <w:rPr>
                <w:rFonts w:hAnsi="宋体" w:cstheme="minorBidi"/>
              </w:rPr>
              <w:t>m</w:t>
            </w:r>
            <w:r>
              <w:rPr>
                <w:rFonts w:hAnsi="宋体" w:cstheme="minorBidi"/>
                <w:vertAlign w:val="superscript"/>
              </w:rPr>
              <w:t>3</w:t>
            </w:r>
            <w:r>
              <w:rPr>
                <w:rFonts w:hAnsi="宋体" w:cstheme="minorBidi"/>
              </w:rPr>
              <w:t>/d</w:t>
            </w:r>
            <w:r>
              <w:rPr>
                <w:rFonts w:hint="eastAsia" w:hAnsi="宋体" w:cstheme="minorBidi"/>
              </w:rPr>
              <w:t>，占富余处理能力</w:t>
            </w:r>
            <w:r>
              <w:rPr>
                <w:rFonts w:hAnsi="宋体" w:cstheme="minorBidi"/>
              </w:rPr>
              <w:t>0.</w:t>
            </w:r>
            <w:r>
              <w:rPr>
                <w:rFonts w:hint="eastAsia" w:hAnsi="宋体" w:cstheme="minorBidi"/>
              </w:rPr>
              <w:t>8</w:t>
            </w:r>
            <w:r>
              <w:rPr>
                <w:rFonts w:hAnsi="宋体" w:cstheme="minorBidi"/>
              </w:rPr>
              <w:t>%</w:t>
            </w:r>
            <w:r>
              <w:rPr>
                <w:rFonts w:hint="eastAsia" w:hAnsi="宋体" w:cstheme="minorBidi"/>
              </w:rPr>
              <w:t>，德山污水处理厂能处理本项目废水。同时，本项目废水可满《污水综合排放标准》（</w:t>
            </w:r>
            <w:r>
              <w:rPr>
                <w:rFonts w:hAnsi="宋体" w:cstheme="minorBidi"/>
              </w:rPr>
              <w:t>GB8978-1996</w:t>
            </w:r>
            <w:r>
              <w:rPr>
                <w:rFonts w:hint="eastAsia" w:hAnsi="宋体" w:cstheme="minorBidi"/>
              </w:rPr>
              <w:t>）中的三级排放标准和德山污水处理厂进水水质标准要求，因此，</w:t>
            </w:r>
            <w:r>
              <w:rPr>
                <w:rFonts w:hAnsi="宋体" w:cstheme="minorBidi"/>
              </w:rPr>
              <w:t>综上所述，从处理能力、工艺、水质等方面分析，项目废水依托德山污水处理厂处理合理可行。</w:t>
            </w:r>
          </w:p>
          <w:p>
            <w:pPr>
              <w:snapToGrid w:val="0"/>
              <w:spacing w:line="360" w:lineRule="auto"/>
              <w:ind w:firstLine="420"/>
            </w:pPr>
            <w:r>
              <w:rPr>
                <w:rFonts w:hint="eastAsia"/>
              </w:rPr>
              <w:t>（4）</w:t>
            </w:r>
            <w:r>
              <w:rPr>
                <w:rFonts w:hAnsi="宋体"/>
              </w:rPr>
              <w:t>污水排放口信息</w:t>
            </w:r>
          </w:p>
          <w:p>
            <w:pPr>
              <w:pStyle w:val="17"/>
              <w:spacing w:beforeLines="0"/>
              <w:ind w:firstLine="0" w:firstLineChars="0"/>
              <w:jc w:val="center"/>
              <w:rPr>
                <w:b/>
                <w:bCs/>
                <w:sz w:val="21"/>
                <w:szCs w:val="21"/>
              </w:rPr>
            </w:pPr>
            <w:r>
              <w:rPr>
                <w:rFonts w:hint="eastAsia"/>
                <w:b/>
                <w:bCs/>
                <w:sz w:val="21"/>
                <w:szCs w:val="21"/>
              </w:rPr>
              <w:t xml:space="preserve">表4-5  </w:t>
            </w:r>
            <w:r>
              <w:rPr>
                <w:rFonts w:hint="eastAsia"/>
                <w:b/>
                <w:sz w:val="21"/>
                <w:szCs w:val="21"/>
              </w:rPr>
              <w:t>废水类别、污染物及污染治理设施信息表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62"/>
              <w:gridCol w:w="976"/>
              <w:gridCol w:w="689"/>
              <w:gridCol w:w="971"/>
              <w:gridCol w:w="689"/>
              <w:gridCol w:w="689"/>
              <w:gridCol w:w="693"/>
              <w:gridCol w:w="956"/>
              <w:gridCol w:w="847"/>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restart"/>
                  <w:vAlign w:val="center"/>
                </w:tcPr>
                <w:p>
                  <w:pPr>
                    <w:spacing w:line="360" w:lineRule="auto"/>
                    <w:jc w:val="center"/>
                    <w:rPr>
                      <w:rFonts w:eastAsiaTheme="minorEastAsia"/>
                      <w:b/>
                    </w:rPr>
                  </w:pPr>
                  <w:r>
                    <w:rPr>
                      <w:rFonts w:hAnsiTheme="minorEastAsia" w:eastAsiaTheme="minorEastAsia"/>
                      <w:b/>
                    </w:rPr>
                    <w:t>序号</w:t>
                  </w:r>
                </w:p>
              </w:tc>
              <w:tc>
                <w:tcPr>
                  <w:tcW w:w="290" w:type="pct"/>
                  <w:vMerge w:val="restart"/>
                  <w:vAlign w:val="center"/>
                </w:tcPr>
                <w:p>
                  <w:pPr>
                    <w:spacing w:line="360" w:lineRule="auto"/>
                    <w:jc w:val="center"/>
                    <w:rPr>
                      <w:rFonts w:eastAsiaTheme="minorEastAsia"/>
                      <w:b/>
                    </w:rPr>
                  </w:pPr>
                  <w:r>
                    <w:rPr>
                      <w:rFonts w:hAnsiTheme="minorEastAsia" w:eastAsiaTheme="minorEastAsia"/>
                      <w:b/>
                    </w:rPr>
                    <w:t>废水类别</w:t>
                  </w:r>
                </w:p>
              </w:tc>
              <w:tc>
                <w:tcPr>
                  <w:tcW w:w="611" w:type="pct"/>
                  <w:vMerge w:val="restart"/>
                  <w:vAlign w:val="center"/>
                </w:tcPr>
                <w:p>
                  <w:pPr>
                    <w:spacing w:line="360" w:lineRule="auto"/>
                    <w:jc w:val="center"/>
                    <w:rPr>
                      <w:rFonts w:eastAsiaTheme="minorEastAsia"/>
                      <w:b/>
                    </w:rPr>
                  </w:pPr>
                  <w:r>
                    <w:rPr>
                      <w:rFonts w:hAnsiTheme="minorEastAsia" w:eastAsiaTheme="minorEastAsia"/>
                      <w:b/>
                    </w:rPr>
                    <w:t>污染物种类</w:t>
                  </w:r>
                </w:p>
              </w:tc>
              <w:tc>
                <w:tcPr>
                  <w:tcW w:w="431" w:type="pct"/>
                  <w:vMerge w:val="restart"/>
                  <w:vAlign w:val="center"/>
                </w:tcPr>
                <w:p>
                  <w:pPr>
                    <w:spacing w:line="360" w:lineRule="auto"/>
                    <w:jc w:val="center"/>
                    <w:rPr>
                      <w:rFonts w:eastAsiaTheme="minorEastAsia"/>
                      <w:b/>
                    </w:rPr>
                  </w:pPr>
                  <w:r>
                    <w:rPr>
                      <w:rFonts w:hAnsiTheme="minorEastAsia" w:eastAsiaTheme="minorEastAsia"/>
                      <w:b/>
                    </w:rPr>
                    <w:t>排放去向</w:t>
                  </w:r>
                </w:p>
              </w:tc>
              <w:tc>
                <w:tcPr>
                  <w:tcW w:w="607" w:type="pct"/>
                  <w:vMerge w:val="restart"/>
                  <w:vAlign w:val="center"/>
                </w:tcPr>
                <w:p>
                  <w:pPr>
                    <w:spacing w:line="360" w:lineRule="auto"/>
                    <w:jc w:val="center"/>
                    <w:rPr>
                      <w:rFonts w:eastAsiaTheme="minorEastAsia"/>
                      <w:b/>
                    </w:rPr>
                  </w:pPr>
                  <w:r>
                    <w:rPr>
                      <w:rFonts w:hAnsiTheme="minorEastAsia" w:eastAsiaTheme="minorEastAsia"/>
                      <w:b/>
                    </w:rPr>
                    <w:t>排放规律</w:t>
                  </w:r>
                </w:p>
              </w:tc>
              <w:tc>
                <w:tcPr>
                  <w:tcW w:w="1296" w:type="pct"/>
                  <w:gridSpan w:val="3"/>
                  <w:vAlign w:val="center"/>
                </w:tcPr>
                <w:p>
                  <w:pPr>
                    <w:spacing w:line="360" w:lineRule="auto"/>
                    <w:jc w:val="center"/>
                    <w:rPr>
                      <w:rFonts w:eastAsiaTheme="minorEastAsia"/>
                      <w:b/>
                    </w:rPr>
                  </w:pPr>
                  <w:r>
                    <w:rPr>
                      <w:rFonts w:hAnsiTheme="minorEastAsia" w:eastAsiaTheme="minorEastAsia"/>
                      <w:b/>
                    </w:rPr>
                    <w:t>污染治理设施</w:t>
                  </w:r>
                </w:p>
              </w:tc>
              <w:tc>
                <w:tcPr>
                  <w:tcW w:w="598" w:type="pct"/>
                  <w:vMerge w:val="restart"/>
                  <w:vAlign w:val="center"/>
                </w:tcPr>
                <w:p>
                  <w:pPr>
                    <w:spacing w:line="360" w:lineRule="auto"/>
                    <w:jc w:val="center"/>
                    <w:rPr>
                      <w:rFonts w:eastAsiaTheme="minorEastAsia"/>
                      <w:b/>
                    </w:rPr>
                  </w:pPr>
                  <w:r>
                    <w:rPr>
                      <w:rFonts w:hAnsiTheme="minorEastAsia" w:eastAsiaTheme="minorEastAsia"/>
                      <w:b/>
                    </w:rPr>
                    <w:t>排放口编号</w:t>
                  </w:r>
                </w:p>
              </w:tc>
              <w:tc>
                <w:tcPr>
                  <w:tcW w:w="530" w:type="pct"/>
                  <w:vMerge w:val="restart"/>
                  <w:vAlign w:val="center"/>
                </w:tcPr>
                <w:p>
                  <w:pPr>
                    <w:spacing w:line="360" w:lineRule="auto"/>
                    <w:jc w:val="center"/>
                    <w:rPr>
                      <w:rFonts w:eastAsiaTheme="minorEastAsia"/>
                      <w:b/>
                    </w:rPr>
                  </w:pPr>
                  <w:r>
                    <w:rPr>
                      <w:rFonts w:hAnsiTheme="minorEastAsia" w:eastAsiaTheme="minorEastAsia"/>
                      <w:b/>
                    </w:rPr>
                    <w:t>排放口设置是否符合要求</w:t>
                  </w:r>
                </w:p>
              </w:tc>
              <w:tc>
                <w:tcPr>
                  <w:tcW w:w="371" w:type="pct"/>
                  <w:vMerge w:val="restart"/>
                  <w:vAlign w:val="center"/>
                </w:tcPr>
                <w:p>
                  <w:pPr>
                    <w:spacing w:line="360" w:lineRule="auto"/>
                    <w:jc w:val="center"/>
                    <w:rPr>
                      <w:rFonts w:eastAsiaTheme="minorEastAsia"/>
                      <w:b/>
                    </w:rPr>
                  </w:pPr>
                  <w:r>
                    <w:rPr>
                      <w:rFonts w:hAnsiTheme="minorEastAsia" w:eastAsiaTheme="minorEastAsia"/>
                      <w:b/>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vAlign w:val="center"/>
                </w:tcPr>
                <w:p>
                  <w:pPr>
                    <w:spacing w:line="360" w:lineRule="auto"/>
                    <w:jc w:val="center"/>
                    <w:rPr>
                      <w:rFonts w:eastAsiaTheme="minorEastAsia"/>
                      <w:b/>
                    </w:rPr>
                  </w:pPr>
                </w:p>
              </w:tc>
              <w:tc>
                <w:tcPr>
                  <w:tcW w:w="290" w:type="pct"/>
                  <w:vMerge w:val="continue"/>
                  <w:vAlign w:val="center"/>
                </w:tcPr>
                <w:p>
                  <w:pPr>
                    <w:spacing w:line="360" w:lineRule="auto"/>
                    <w:jc w:val="center"/>
                    <w:rPr>
                      <w:rFonts w:eastAsiaTheme="minorEastAsia"/>
                      <w:b/>
                    </w:rPr>
                  </w:pPr>
                </w:p>
              </w:tc>
              <w:tc>
                <w:tcPr>
                  <w:tcW w:w="611" w:type="pct"/>
                  <w:vMerge w:val="continue"/>
                  <w:vAlign w:val="center"/>
                </w:tcPr>
                <w:p>
                  <w:pPr>
                    <w:spacing w:line="360" w:lineRule="auto"/>
                    <w:jc w:val="center"/>
                    <w:rPr>
                      <w:rFonts w:eastAsiaTheme="minorEastAsia"/>
                      <w:b/>
                    </w:rPr>
                  </w:pPr>
                </w:p>
              </w:tc>
              <w:tc>
                <w:tcPr>
                  <w:tcW w:w="431" w:type="pct"/>
                  <w:vMerge w:val="continue"/>
                  <w:vAlign w:val="center"/>
                </w:tcPr>
                <w:p>
                  <w:pPr>
                    <w:spacing w:line="360" w:lineRule="auto"/>
                    <w:jc w:val="center"/>
                    <w:rPr>
                      <w:rFonts w:eastAsiaTheme="minorEastAsia"/>
                      <w:b/>
                    </w:rPr>
                  </w:pPr>
                </w:p>
              </w:tc>
              <w:tc>
                <w:tcPr>
                  <w:tcW w:w="607" w:type="pct"/>
                  <w:vMerge w:val="continue"/>
                  <w:vAlign w:val="center"/>
                </w:tcPr>
                <w:p>
                  <w:pPr>
                    <w:spacing w:line="360" w:lineRule="auto"/>
                    <w:jc w:val="center"/>
                    <w:rPr>
                      <w:rFonts w:eastAsiaTheme="minorEastAsia"/>
                      <w:b/>
                    </w:rPr>
                  </w:pPr>
                </w:p>
              </w:tc>
              <w:tc>
                <w:tcPr>
                  <w:tcW w:w="431" w:type="pct"/>
                  <w:vAlign w:val="center"/>
                </w:tcPr>
                <w:p>
                  <w:pPr>
                    <w:spacing w:line="360" w:lineRule="auto"/>
                    <w:jc w:val="center"/>
                    <w:rPr>
                      <w:rFonts w:eastAsiaTheme="minorEastAsia"/>
                      <w:b/>
                    </w:rPr>
                  </w:pPr>
                  <w:r>
                    <w:rPr>
                      <w:rFonts w:hAnsiTheme="minorEastAsia" w:eastAsiaTheme="minorEastAsia"/>
                      <w:b/>
                    </w:rPr>
                    <w:t>污染治理设施编号</w:t>
                  </w:r>
                </w:p>
              </w:tc>
              <w:tc>
                <w:tcPr>
                  <w:tcW w:w="431" w:type="pct"/>
                  <w:vAlign w:val="center"/>
                </w:tcPr>
                <w:p>
                  <w:pPr>
                    <w:spacing w:line="360" w:lineRule="auto"/>
                    <w:jc w:val="center"/>
                    <w:rPr>
                      <w:rFonts w:eastAsiaTheme="minorEastAsia"/>
                      <w:b/>
                    </w:rPr>
                  </w:pPr>
                  <w:r>
                    <w:rPr>
                      <w:rFonts w:hAnsiTheme="minorEastAsia" w:eastAsiaTheme="minorEastAsia"/>
                      <w:b/>
                    </w:rPr>
                    <w:t>污染治理设施名称</w:t>
                  </w:r>
                </w:p>
              </w:tc>
              <w:tc>
                <w:tcPr>
                  <w:tcW w:w="434" w:type="pct"/>
                  <w:vAlign w:val="center"/>
                </w:tcPr>
                <w:p>
                  <w:pPr>
                    <w:spacing w:line="360" w:lineRule="auto"/>
                    <w:jc w:val="center"/>
                    <w:rPr>
                      <w:rFonts w:eastAsiaTheme="minorEastAsia"/>
                      <w:b/>
                    </w:rPr>
                  </w:pPr>
                  <w:r>
                    <w:rPr>
                      <w:rFonts w:hAnsiTheme="minorEastAsia" w:eastAsiaTheme="minorEastAsia"/>
                      <w:b/>
                    </w:rPr>
                    <w:t>污染治理设施工艺</w:t>
                  </w:r>
                </w:p>
              </w:tc>
              <w:tc>
                <w:tcPr>
                  <w:tcW w:w="598" w:type="pct"/>
                  <w:vMerge w:val="continue"/>
                  <w:vAlign w:val="center"/>
                </w:tcPr>
                <w:p>
                  <w:pPr>
                    <w:spacing w:line="360" w:lineRule="auto"/>
                    <w:jc w:val="center"/>
                    <w:rPr>
                      <w:rFonts w:eastAsiaTheme="minorEastAsia"/>
                      <w:b/>
                    </w:rPr>
                  </w:pPr>
                </w:p>
              </w:tc>
              <w:tc>
                <w:tcPr>
                  <w:tcW w:w="530" w:type="pct"/>
                  <w:vMerge w:val="continue"/>
                  <w:vAlign w:val="center"/>
                </w:tcPr>
                <w:p>
                  <w:pPr>
                    <w:spacing w:line="360" w:lineRule="auto"/>
                    <w:jc w:val="center"/>
                    <w:rPr>
                      <w:rFonts w:eastAsiaTheme="minorEastAsia"/>
                      <w:b/>
                    </w:rPr>
                  </w:pPr>
                </w:p>
              </w:tc>
              <w:tc>
                <w:tcPr>
                  <w:tcW w:w="371" w:type="pct"/>
                  <w:vMerge w:val="continue"/>
                  <w:vAlign w:val="center"/>
                </w:tcPr>
                <w:p>
                  <w:pPr>
                    <w:spacing w:line="360" w:lineRule="auto"/>
                    <w:jc w:val="center"/>
                    <w:rPr>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spacing w:line="360" w:lineRule="auto"/>
                    <w:jc w:val="center"/>
                    <w:rPr>
                      <w:rFonts w:eastAsiaTheme="minorEastAsia"/>
                    </w:rPr>
                  </w:pPr>
                  <w:r>
                    <w:rPr>
                      <w:rFonts w:eastAsiaTheme="minorEastAsia"/>
                    </w:rPr>
                    <w:t>1</w:t>
                  </w:r>
                </w:p>
              </w:tc>
              <w:tc>
                <w:tcPr>
                  <w:tcW w:w="290" w:type="pct"/>
                  <w:vAlign w:val="center"/>
                </w:tcPr>
                <w:p>
                  <w:pPr>
                    <w:pStyle w:val="37"/>
                    <w:spacing w:before="31" w:after="31" w:line="360" w:lineRule="auto"/>
                    <w:rPr>
                      <w:rFonts w:ascii="Times New Roman" w:cs="Times New Roman"/>
                    </w:rPr>
                  </w:pPr>
                  <w:r>
                    <w:rPr>
                      <w:rFonts w:ascii="Times New Roman" w:cs="Times New Roman"/>
                    </w:rPr>
                    <w:t>生产废水</w:t>
                  </w:r>
                </w:p>
              </w:tc>
              <w:tc>
                <w:tcPr>
                  <w:tcW w:w="611" w:type="pct"/>
                  <w:vAlign w:val="center"/>
                </w:tcPr>
                <w:p>
                  <w:pPr>
                    <w:pStyle w:val="37"/>
                    <w:spacing w:before="31" w:after="31" w:line="360" w:lineRule="auto"/>
                    <w:rPr>
                      <w:rFonts w:ascii="Times New Roman" w:cs="Times New Roman"/>
                    </w:rPr>
                  </w:pPr>
                  <w:r>
                    <w:rPr>
                      <w:rFonts w:ascii="Times New Roman" w:cs="Times New Roman"/>
                    </w:rPr>
                    <w:t>COD</w:t>
                  </w:r>
                  <w:r>
                    <w:rPr>
                      <w:rFonts w:ascii="Times New Roman" w:cs="Times New Roman"/>
                      <w:vertAlign w:val="subscript"/>
                    </w:rPr>
                    <w:t>cr</w:t>
                  </w:r>
                  <w:r>
                    <w:rPr>
                      <w:rFonts w:ascii="Times New Roman" w:cs="Times New Roman"/>
                    </w:rPr>
                    <w:t>、SS、石油类</w:t>
                  </w:r>
                </w:p>
              </w:tc>
              <w:tc>
                <w:tcPr>
                  <w:tcW w:w="431" w:type="pct"/>
                  <w:vAlign w:val="center"/>
                </w:tcPr>
                <w:p>
                  <w:pPr>
                    <w:spacing w:line="360" w:lineRule="auto"/>
                    <w:jc w:val="center"/>
                    <w:rPr>
                      <w:rFonts w:hAnsiTheme="minorEastAsia" w:eastAsiaTheme="minorEastAsia"/>
                    </w:rPr>
                  </w:pPr>
                  <w:r>
                    <w:rPr>
                      <w:rFonts w:hAnsiTheme="minorEastAsia" w:eastAsiaTheme="minorEastAsia"/>
                    </w:rPr>
                    <w:t>园区</w:t>
                  </w:r>
                  <w:r>
                    <w:rPr>
                      <w:rFonts w:hint="eastAsia" w:hAnsiTheme="minorEastAsia" w:eastAsiaTheme="minorEastAsia"/>
                    </w:rPr>
                    <w:t>管网</w:t>
                  </w:r>
                </w:p>
              </w:tc>
              <w:tc>
                <w:tcPr>
                  <w:tcW w:w="607" w:type="pct"/>
                  <w:vAlign w:val="center"/>
                </w:tcPr>
                <w:p>
                  <w:pPr>
                    <w:spacing w:line="360" w:lineRule="auto"/>
                    <w:jc w:val="center"/>
                    <w:rPr>
                      <w:rFonts w:eastAsiaTheme="minorEastAsia"/>
                    </w:rPr>
                  </w:pPr>
                  <w:r>
                    <w:rPr>
                      <w:rFonts w:hAnsiTheme="minorEastAsia" w:eastAsiaTheme="minorEastAsia"/>
                    </w:rPr>
                    <w:t>间断排放，排放期间流量稳定</w:t>
                  </w:r>
                </w:p>
              </w:tc>
              <w:tc>
                <w:tcPr>
                  <w:tcW w:w="431" w:type="pct"/>
                  <w:vAlign w:val="center"/>
                </w:tcPr>
                <w:p>
                  <w:pPr>
                    <w:spacing w:line="360" w:lineRule="auto"/>
                    <w:jc w:val="center"/>
                    <w:rPr>
                      <w:rFonts w:hAnsiTheme="minorEastAsia" w:eastAsiaTheme="minorEastAsia"/>
                    </w:rPr>
                  </w:pPr>
                  <w:r>
                    <w:rPr>
                      <w:rFonts w:hint="eastAsia" w:hAnsiTheme="minorEastAsia" w:eastAsiaTheme="minorEastAsia"/>
                    </w:rPr>
                    <w:t>TW</w:t>
                  </w:r>
                </w:p>
                <w:p>
                  <w:pPr>
                    <w:spacing w:line="360" w:lineRule="auto"/>
                    <w:jc w:val="center"/>
                    <w:rPr>
                      <w:rFonts w:hAnsiTheme="minorEastAsia" w:eastAsiaTheme="minorEastAsia"/>
                    </w:rPr>
                  </w:pPr>
                  <w:r>
                    <w:rPr>
                      <w:rFonts w:hint="eastAsia" w:hAnsiTheme="minorEastAsia" w:eastAsiaTheme="minorEastAsia"/>
                    </w:rPr>
                    <w:t>001</w:t>
                  </w:r>
                </w:p>
              </w:tc>
              <w:tc>
                <w:tcPr>
                  <w:tcW w:w="431" w:type="pct"/>
                  <w:vAlign w:val="center"/>
                </w:tcPr>
                <w:p>
                  <w:pPr>
                    <w:spacing w:line="360" w:lineRule="auto"/>
                    <w:jc w:val="center"/>
                    <w:rPr>
                      <w:rFonts w:hAnsiTheme="minorEastAsia" w:eastAsiaTheme="minorEastAsia"/>
                    </w:rPr>
                  </w:pPr>
                  <w:r>
                    <w:rPr>
                      <w:rFonts w:hAnsiTheme="minorEastAsia" w:eastAsiaTheme="minorEastAsia"/>
                    </w:rPr>
                    <w:t>隔油沉淀池</w:t>
                  </w:r>
                </w:p>
              </w:tc>
              <w:tc>
                <w:tcPr>
                  <w:tcW w:w="434" w:type="pct"/>
                  <w:vAlign w:val="center"/>
                </w:tcPr>
                <w:p>
                  <w:pPr>
                    <w:spacing w:line="360" w:lineRule="auto"/>
                    <w:jc w:val="center"/>
                    <w:rPr>
                      <w:rFonts w:hAnsiTheme="minorEastAsia" w:eastAsiaTheme="minorEastAsia"/>
                    </w:rPr>
                  </w:pPr>
                  <w:r>
                    <w:rPr>
                      <w:rFonts w:hAnsiTheme="minorEastAsia" w:eastAsiaTheme="minorEastAsia"/>
                    </w:rPr>
                    <w:t>隔油沉淀</w:t>
                  </w:r>
                </w:p>
              </w:tc>
              <w:tc>
                <w:tcPr>
                  <w:tcW w:w="598" w:type="pct"/>
                  <w:vAlign w:val="center"/>
                </w:tcPr>
                <w:p>
                  <w:pPr>
                    <w:spacing w:line="360" w:lineRule="auto"/>
                    <w:jc w:val="center"/>
                    <w:rPr>
                      <w:rFonts w:eastAsiaTheme="minorEastAsia"/>
                    </w:rPr>
                  </w:pPr>
                  <w:r>
                    <w:rPr>
                      <w:rFonts w:eastAsiaTheme="minorEastAsia"/>
                    </w:rPr>
                    <w:t>DW001</w:t>
                  </w:r>
                </w:p>
              </w:tc>
              <w:tc>
                <w:tcPr>
                  <w:tcW w:w="530" w:type="pct"/>
                  <w:vAlign w:val="center"/>
                </w:tcPr>
                <w:p>
                  <w:pPr>
                    <w:spacing w:line="360" w:lineRule="auto"/>
                    <w:jc w:val="center"/>
                    <w:rPr>
                      <w:rFonts w:eastAsiaTheme="minorEastAsia"/>
                    </w:rPr>
                  </w:pPr>
                  <w:r>
                    <w:rPr>
                      <w:rFonts w:asciiTheme="minorEastAsia" w:hAnsiTheme="minorEastAsia" w:eastAsiaTheme="minorEastAsia"/>
                    </w:rPr>
                    <w:sym w:font="Wingdings" w:char="F0FE"/>
                  </w:r>
                  <w:r>
                    <w:rPr>
                      <w:rFonts w:hAnsiTheme="minorEastAsia" w:eastAsiaTheme="minorEastAsia"/>
                    </w:rPr>
                    <w:t>是</w:t>
                  </w:r>
                </w:p>
                <w:p>
                  <w:pPr>
                    <w:spacing w:line="360" w:lineRule="auto"/>
                    <w:jc w:val="center"/>
                    <w:rPr>
                      <w:rFonts w:eastAsiaTheme="minorEastAsia"/>
                    </w:rPr>
                  </w:pPr>
                  <w:r>
                    <w:rPr>
                      <w:rFonts w:asciiTheme="minorEastAsia" w:hAnsiTheme="minorEastAsia" w:eastAsiaTheme="minorEastAsia"/>
                    </w:rPr>
                    <w:t>□</w:t>
                  </w:r>
                  <w:r>
                    <w:rPr>
                      <w:rFonts w:hAnsiTheme="minorEastAsia" w:eastAsiaTheme="minorEastAsia"/>
                    </w:rPr>
                    <w:t>否</w:t>
                  </w:r>
                </w:p>
              </w:tc>
              <w:tc>
                <w:tcPr>
                  <w:tcW w:w="371" w:type="pct"/>
                  <w:vAlign w:val="center"/>
                </w:tcPr>
                <w:p>
                  <w:pPr>
                    <w:spacing w:line="360" w:lineRule="auto"/>
                    <w:jc w:val="center"/>
                    <w:rPr>
                      <w:rFonts w:eastAsiaTheme="minorEastAsia"/>
                    </w:rPr>
                  </w:pPr>
                  <w:r>
                    <w:rPr>
                      <w:rFonts w:asciiTheme="minorEastAsia" w:hAnsiTheme="minorEastAsia" w:eastAsiaTheme="minorEastAsia"/>
                    </w:rPr>
                    <w:sym w:font="Wingdings" w:char="F0FE"/>
                  </w:r>
                  <w:r>
                    <w:rPr>
                      <w:rFonts w:hAnsiTheme="minorEastAsia" w:eastAsiaTheme="minorEastAsia"/>
                    </w:rPr>
                    <w:t>企业总排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spacing w:line="360" w:lineRule="auto"/>
                    <w:jc w:val="center"/>
                    <w:rPr>
                      <w:rFonts w:eastAsiaTheme="minorEastAsia"/>
                    </w:rPr>
                  </w:pPr>
                  <w:r>
                    <w:rPr>
                      <w:rFonts w:hint="eastAsia" w:eastAsiaTheme="minorEastAsia"/>
                    </w:rPr>
                    <w:t>2</w:t>
                  </w:r>
                </w:p>
              </w:tc>
              <w:tc>
                <w:tcPr>
                  <w:tcW w:w="290" w:type="pct"/>
                  <w:vAlign w:val="center"/>
                </w:tcPr>
                <w:p>
                  <w:pPr>
                    <w:spacing w:line="360" w:lineRule="auto"/>
                    <w:jc w:val="center"/>
                    <w:rPr>
                      <w:rFonts w:eastAsiaTheme="minorEastAsia"/>
                    </w:rPr>
                  </w:pPr>
                  <w:r>
                    <w:rPr>
                      <w:rFonts w:hAnsiTheme="minorEastAsia" w:eastAsiaTheme="minorEastAsia"/>
                    </w:rPr>
                    <w:t>生活污水</w:t>
                  </w:r>
                </w:p>
              </w:tc>
              <w:tc>
                <w:tcPr>
                  <w:tcW w:w="611" w:type="pct"/>
                  <w:vAlign w:val="center"/>
                </w:tcPr>
                <w:p>
                  <w:pPr>
                    <w:spacing w:line="360" w:lineRule="auto"/>
                    <w:jc w:val="center"/>
                    <w:rPr>
                      <w:rFonts w:eastAsiaTheme="minorEastAsia"/>
                    </w:rPr>
                  </w:pPr>
                  <w:r>
                    <w:rPr>
                      <w:rFonts w:eastAsiaTheme="minorEastAsia"/>
                    </w:rPr>
                    <w:t>COD</w:t>
                  </w:r>
                  <w:r>
                    <w:rPr>
                      <w:rFonts w:hAnsiTheme="minorEastAsia" w:eastAsiaTheme="minorEastAsia"/>
                    </w:rPr>
                    <w:t>、</w:t>
                  </w:r>
                  <w:r>
                    <w:rPr>
                      <w:rFonts w:eastAsiaTheme="minorEastAsia"/>
                    </w:rPr>
                    <w:t>BOD</w:t>
                  </w:r>
                  <w:r>
                    <w:rPr>
                      <w:rFonts w:hAnsiTheme="minorEastAsia" w:eastAsiaTheme="minorEastAsia"/>
                    </w:rPr>
                    <w:t>、</w:t>
                  </w:r>
                  <w:r>
                    <w:rPr>
                      <w:rFonts w:eastAsiaTheme="minorEastAsia"/>
                    </w:rPr>
                    <w:t>SS</w:t>
                  </w:r>
                  <w:r>
                    <w:rPr>
                      <w:rFonts w:hAnsiTheme="minorEastAsia" w:eastAsiaTheme="minorEastAsia"/>
                    </w:rPr>
                    <w:t>、</w:t>
                  </w:r>
                  <w:r>
                    <w:rPr>
                      <w:rFonts w:hint="eastAsia" w:eastAsiaTheme="minorEastAsia"/>
                    </w:rPr>
                    <w:t>氨氮</w:t>
                  </w:r>
                </w:p>
              </w:tc>
              <w:tc>
                <w:tcPr>
                  <w:tcW w:w="431" w:type="pct"/>
                  <w:vAlign w:val="center"/>
                </w:tcPr>
                <w:p>
                  <w:pPr>
                    <w:spacing w:line="360" w:lineRule="auto"/>
                    <w:jc w:val="center"/>
                    <w:rPr>
                      <w:rFonts w:hAnsiTheme="minorEastAsia" w:eastAsiaTheme="minorEastAsia"/>
                    </w:rPr>
                  </w:pPr>
                  <w:r>
                    <w:rPr>
                      <w:rFonts w:hAnsiTheme="minorEastAsia" w:eastAsiaTheme="minorEastAsia"/>
                    </w:rPr>
                    <w:t>园区</w:t>
                  </w:r>
                  <w:r>
                    <w:rPr>
                      <w:rFonts w:hint="eastAsia" w:hAnsiTheme="minorEastAsia" w:eastAsiaTheme="minorEastAsia"/>
                    </w:rPr>
                    <w:t>管网</w:t>
                  </w:r>
                </w:p>
              </w:tc>
              <w:tc>
                <w:tcPr>
                  <w:tcW w:w="607" w:type="pct"/>
                  <w:vAlign w:val="center"/>
                </w:tcPr>
                <w:p>
                  <w:pPr>
                    <w:spacing w:line="360" w:lineRule="auto"/>
                    <w:jc w:val="center"/>
                    <w:rPr>
                      <w:rFonts w:eastAsiaTheme="minorEastAsia"/>
                    </w:rPr>
                  </w:pPr>
                  <w:r>
                    <w:rPr>
                      <w:rFonts w:hAnsiTheme="minorEastAsia" w:eastAsiaTheme="minorEastAsia"/>
                    </w:rPr>
                    <w:t>间断排放，排放期间流量稳定</w:t>
                  </w:r>
                </w:p>
              </w:tc>
              <w:tc>
                <w:tcPr>
                  <w:tcW w:w="431" w:type="pct"/>
                  <w:vAlign w:val="center"/>
                </w:tcPr>
                <w:p>
                  <w:pPr>
                    <w:spacing w:line="360" w:lineRule="auto"/>
                    <w:jc w:val="center"/>
                    <w:rPr>
                      <w:rFonts w:hAnsiTheme="minorEastAsia" w:eastAsiaTheme="minorEastAsia"/>
                    </w:rPr>
                  </w:pPr>
                  <w:r>
                    <w:rPr>
                      <w:rFonts w:hint="eastAsia" w:hAnsiTheme="minorEastAsia" w:eastAsiaTheme="minorEastAsia"/>
                    </w:rPr>
                    <w:t>TW</w:t>
                  </w:r>
                </w:p>
                <w:p>
                  <w:pPr>
                    <w:spacing w:line="360" w:lineRule="auto"/>
                    <w:jc w:val="center"/>
                    <w:rPr>
                      <w:rFonts w:hAnsiTheme="minorEastAsia" w:eastAsiaTheme="minorEastAsia"/>
                    </w:rPr>
                  </w:pPr>
                  <w:r>
                    <w:rPr>
                      <w:rFonts w:hint="eastAsia" w:hAnsiTheme="minorEastAsia" w:eastAsiaTheme="minorEastAsia"/>
                    </w:rPr>
                    <w:t>002</w:t>
                  </w:r>
                </w:p>
              </w:tc>
              <w:tc>
                <w:tcPr>
                  <w:tcW w:w="431" w:type="pct"/>
                  <w:vAlign w:val="center"/>
                </w:tcPr>
                <w:p>
                  <w:pPr>
                    <w:spacing w:line="360" w:lineRule="auto"/>
                    <w:jc w:val="center"/>
                    <w:rPr>
                      <w:rFonts w:eastAsiaTheme="minorEastAsia"/>
                    </w:rPr>
                  </w:pPr>
                  <w:r>
                    <w:rPr>
                      <w:rFonts w:hAnsiTheme="minorEastAsia" w:eastAsiaTheme="minorEastAsia"/>
                    </w:rPr>
                    <w:t>化粪池</w:t>
                  </w:r>
                </w:p>
              </w:tc>
              <w:tc>
                <w:tcPr>
                  <w:tcW w:w="434" w:type="pct"/>
                  <w:vAlign w:val="center"/>
                </w:tcPr>
                <w:p>
                  <w:pPr>
                    <w:spacing w:line="360" w:lineRule="auto"/>
                    <w:jc w:val="center"/>
                    <w:rPr>
                      <w:rFonts w:eastAsiaTheme="minorEastAsia"/>
                    </w:rPr>
                  </w:pPr>
                  <w:r>
                    <w:rPr>
                      <w:rFonts w:hAnsiTheme="minorEastAsia" w:eastAsiaTheme="minorEastAsia"/>
                    </w:rPr>
                    <w:t>厌氧</w:t>
                  </w:r>
                </w:p>
              </w:tc>
              <w:tc>
                <w:tcPr>
                  <w:tcW w:w="598" w:type="pct"/>
                  <w:vAlign w:val="center"/>
                </w:tcPr>
                <w:p>
                  <w:pPr>
                    <w:spacing w:line="360" w:lineRule="auto"/>
                    <w:jc w:val="center"/>
                    <w:rPr>
                      <w:rFonts w:eastAsiaTheme="minorEastAsia"/>
                    </w:rPr>
                  </w:pPr>
                  <w:r>
                    <w:rPr>
                      <w:rFonts w:eastAsiaTheme="minorEastAsia"/>
                    </w:rPr>
                    <w:t>DW001</w:t>
                  </w:r>
                </w:p>
              </w:tc>
              <w:tc>
                <w:tcPr>
                  <w:tcW w:w="530" w:type="pct"/>
                  <w:vAlign w:val="center"/>
                </w:tcPr>
                <w:p>
                  <w:pPr>
                    <w:spacing w:line="360" w:lineRule="auto"/>
                    <w:jc w:val="center"/>
                    <w:rPr>
                      <w:rFonts w:eastAsiaTheme="minorEastAsia"/>
                    </w:rPr>
                  </w:pPr>
                  <w:r>
                    <w:rPr>
                      <w:rFonts w:asciiTheme="minorEastAsia" w:hAnsiTheme="minorEastAsia" w:eastAsiaTheme="minorEastAsia"/>
                    </w:rPr>
                    <w:sym w:font="Wingdings" w:char="F0FE"/>
                  </w:r>
                  <w:r>
                    <w:rPr>
                      <w:rFonts w:hAnsiTheme="minorEastAsia" w:eastAsiaTheme="minorEastAsia"/>
                    </w:rPr>
                    <w:t>是</w:t>
                  </w:r>
                </w:p>
                <w:p>
                  <w:pPr>
                    <w:spacing w:line="360" w:lineRule="auto"/>
                    <w:jc w:val="center"/>
                    <w:rPr>
                      <w:rFonts w:eastAsiaTheme="minorEastAsia"/>
                    </w:rPr>
                  </w:pPr>
                  <w:r>
                    <w:rPr>
                      <w:rFonts w:asciiTheme="minorEastAsia" w:hAnsiTheme="minorEastAsia" w:eastAsiaTheme="minorEastAsia"/>
                    </w:rPr>
                    <w:t>□</w:t>
                  </w:r>
                  <w:r>
                    <w:rPr>
                      <w:rFonts w:hAnsiTheme="minorEastAsia" w:eastAsiaTheme="minorEastAsia"/>
                    </w:rPr>
                    <w:t>否</w:t>
                  </w:r>
                </w:p>
              </w:tc>
              <w:tc>
                <w:tcPr>
                  <w:tcW w:w="371" w:type="pct"/>
                  <w:vAlign w:val="center"/>
                </w:tcPr>
                <w:p>
                  <w:pPr>
                    <w:spacing w:line="360" w:lineRule="auto"/>
                    <w:jc w:val="center"/>
                    <w:rPr>
                      <w:rFonts w:eastAsiaTheme="minorEastAsia"/>
                    </w:rPr>
                  </w:pPr>
                  <w:r>
                    <w:rPr>
                      <w:rFonts w:asciiTheme="minorEastAsia" w:hAnsiTheme="minorEastAsia" w:eastAsiaTheme="minorEastAsia"/>
                    </w:rPr>
                    <w:sym w:font="Wingdings" w:char="F0FE"/>
                  </w:r>
                  <w:r>
                    <w:rPr>
                      <w:rFonts w:hAnsiTheme="minorEastAsia" w:eastAsiaTheme="minorEastAsia"/>
                    </w:rPr>
                    <w:t>企业总排</w:t>
                  </w:r>
                </w:p>
              </w:tc>
            </w:tr>
          </w:tbl>
          <w:p>
            <w:pPr>
              <w:adjustRightInd w:val="0"/>
              <w:snapToGrid w:val="0"/>
              <w:spacing w:before="156" w:beforeLines="50" w:line="360" w:lineRule="auto"/>
              <w:ind w:firstLine="420"/>
            </w:pPr>
            <w:r>
              <w:t>废水</w:t>
            </w:r>
            <w:r>
              <w:rPr>
                <w:rFonts w:hint="eastAsia"/>
              </w:rPr>
              <w:t>间接</w:t>
            </w:r>
            <w:r>
              <w:t>排放口基本情况见下表</w:t>
            </w:r>
            <w:r>
              <w:rPr>
                <w:rFonts w:hint="eastAsia"/>
              </w:rPr>
              <w:t>：</w:t>
            </w:r>
          </w:p>
          <w:p>
            <w:pPr>
              <w:pStyle w:val="17"/>
              <w:spacing w:beforeLines="0"/>
              <w:ind w:firstLine="0" w:firstLineChars="0"/>
              <w:jc w:val="center"/>
              <w:rPr>
                <w:b/>
                <w:bCs/>
                <w:sz w:val="21"/>
                <w:szCs w:val="21"/>
              </w:rPr>
            </w:pPr>
            <w:r>
              <w:rPr>
                <w:rFonts w:hint="eastAsia"/>
                <w:b/>
                <w:bCs/>
                <w:sz w:val="21"/>
                <w:szCs w:val="21"/>
              </w:rPr>
              <w:t>表4-6  废水间接排放口基本情况表</w:t>
            </w:r>
          </w:p>
          <w:tbl>
            <w:tblPr>
              <w:tblStyle w:val="18"/>
              <w:tblW w:w="7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314"/>
              <w:gridCol w:w="802"/>
              <w:gridCol w:w="862"/>
              <w:gridCol w:w="870"/>
              <w:gridCol w:w="850"/>
              <w:gridCol w:w="567"/>
              <w:gridCol w:w="710"/>
              <w:gridCol w:w="708"/>
              <w:gridCol w:w="753"/>
              <w:gridCol w:w="770"/>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3" w:hRule="atLeast"/>
                <w:jc w:val="center"/>
              </w:trPr>
              <w:tc>
                <w:tcPr>
                  <w:tcW w:w="314" w:type="dxa"/>
                  <w:vMerge w:val="restart"/>
                  <w:vAlign w:val="center"/>
                </w:tcPr>
                <w:p>
                  <w:pPr>
                    <w:spacing w:line="360" w:lineRule="auto"/>
                    <w:jc w:val="center"/>
                    <w:rPr>
                      <w:rFonts w:eastAsiaTheme="minorEastAsia"/>
                      <w:b/>
                    </w:rPr>
                  </w:pPr>
                  <w:r>
                    <w:rPr>
                      <w:rFonts w:hAnsiTheme="minorEastAsia" w:eastAsiaTheme="minorEastAsia"/>
                      <w:b/>
                    </w:rPr>
                    <w:t>序号</w:t>
                  </w:r>
                </w:p>
              </w:tc>
              <w:tc>
                <w:tcPr>
                  <w:tcW w:w="802" w:type="dxa"/>
                  <w:vMerge w:val="restart"/>
                  <w:vAlign w:val="center"/>
                </w:tcPr>
                <w:p>
                  <w:pPr>
                    <w:spacing w:line="360" w:lineRule="auto"/>
                    <w:jc w:val="center"/>
                    <w:rPr>
                      <w:rFonts w:eastAsiaTheme="minorEastAsia"/>
                      <w:b/>
                    </w:rPr>
                  </w:pPr>
                  <w:r>
                    <w:rPr>
                      <w:rFonts w:hAnsiTheme="minorEastAsia" w:eastAsiaTheme="minorEastAsia"/>
                      <w:b/>
                    </w:rPr>
                    <w:t>排放口编号</w:t>
                  </w:r>
                </w:p>
              </w:tc>
              <w:tc>
                <w:tcPr>
                  <w:tcW w:w="1732" w:type="dxa"/>
                  <w:gridSpan w:val="2"/>
                  <w:vAlign w:val="center"/>
                </w:tcPr>
                <w:p>
                  <w:pPr>
                    <w:spacing w:line="360" w:lineRule="auto"/>
                    <w:jc w:val="center"/>
                    <w:rPr>
                      <w:rFonts w:eastAsiaTheme="minorEastAsia"/>
                      <w:b/>
                    </w:rPr>
                  </w:pPr>
                  <w:r>
                    <w:rPr>
                      <w:rFonts w:hAnsiTheme="minorEastAsia" w:eastAsiaTheme="minorEastAsia"/>
                      <w:b/>
                    </w:rPr>
                    <w:t>排放口地理坐标</w:t>
                  </w:r>
                </w:p>
              </w:tc>
              <w:tc>
                <w:tcPr>
                  <w:tcW w:w="850" w:type="dxa"/>
                  <w:vMerge w:val="restart"/>
                  <w:vAlign w:val="center"/>
                </w:tcPr>
                <w:p>
                  <w:pPr>
                    <w:spacing w:line="360" w:lineRule="auto"/>
                    <w:jc w:val="center"/>
                    <w:rPr>
                      <w:rFonts w:eastAsiaTheme="minorEastAsia"/>
                      <w:b/>
                    </w:rPr>
                  </w:pPr>
                  <w:r>
                    <w:rPr>
                      <w:rFonts w:hAnsiTheme="minorEastAsia" w:eastAsiaTheme="minorEastAsia"/>
                      <w:b/>
                    </w:rPr>
                    <w:t>废水排放量</w:t>
                  </w:r>
                  <w:r>
                    <w:rPr>
                      <w:rFonts w:eastAsiaTheme="minorEastAsia"/>
                      <w:b/>
                    </w:rPr>
                    <w:t>t/a</w:t>
                  </w:r>
                </w:p>
              </w:tc>
              <w:tc>
                <w:tcPr>
                  <w:tcW w:w="567" w:type="dxa"/>
                  <w:vMerge w:val="restart"/>
                  <w:vAlign w:val="center"/>
                </w:tcPr>
                <w:p>
                  <w:pPr>
                    <w:spacing w:line="360" w:lineRule="auto"/>
                    <w:jc w:val="center"/>
                    <w:rPr>
                      <w:rFonts w:eastAsiaTheme="minorEastAsia"/>
                      <w:b/>
                    </w:rPr>
                  </w:pPr>
                  <w:r>
                    <w:rPr>
                      <w:rFonts w:hAnsiTheme="minorEastAsia" w:eastAsiaTheme="minorEastAsia"/>
                      <w:b/>
                    </w:rPr>
                    <w:t>排放去向</w:t>
                  </w:r>
                </w:p>
              </w:tc>
              <w:tc>
                <w:tcPr>
                  <w:tcW w:w="710" w:type="dxa"/>
                  <w:vMerge w:val="restart"/>
                  <w:vAlign w:val="center"/>
                </w:tcPr>
                <w:p>
                  <w:pPr>
                    <w:spacing w:line="360" w:lineRule="auto"/>
                    <w:jc w:val="center"/>
                    <w:rPr>
                      <w:rFonts w:eastAsiaTheme="minorEastAsia"/>
                      <w:b/>
                    </w:rPr>
                  </w:pPr>
                  <w:r>
                    <w:rPr>
                      <w:rFonts w:hAnsiTheme="minorEastAsia" w:eastAsiaTheme="minorEastAsia"/>
                      <w:b/>
                    </w:rPr>
                    <w:t>排放规律</w:t>
                  </w:r>
                </w:p>
              </w:tc>
              <w:tc>
                <w:tcPr>
                  <w:tcW w:w="708" w:type="dxa"/>
                  <w:vMerge w:val="restart"/>
                  <w:vAlign w:val="center"/>
                </w:tcPr>
                <w:p>
                  <w:pPr>
                    <w:spacing w:line="360" w:lineRule="auto"/>
                    <w:jc w:val="center"/>
                    <w:rPr>
                      <w:rFonts w:eastAsiaTheme="minorEastAsia"/>
                      <w:b/>
                    </w:rPr>
                  </w:pPr>
                  <w:r>
                    <w:rPr>
                      <w:rFonts w:hAnsiTheme="minorEastAsia" w:eastAsiaTheme="minorEastAsia"/>
                      <w:b/>
                    </w:rPr>
                    <w:t>间歇排放时段</w:t>
                  </w:r>
                </w:p>
              </w:tc>
              <w:tc>
                <w:tcPr>
                  <w:tcW w:w="2263" w:type="dxa"/>
                  <w:gridSpan w:val="3"/>
                  <w:vAlign w:val="center"/>
                </w:tcPr>
                <w:p>
                  <w:pPr>
                    <w:spacing w:line="360" w:lineRule="auto"/>
                    <w:jc w:val="center"/>
                    <w:rPr>
                      <w:rFonts w:eastAsiaTheme="minorEastAsia"/>
                      <w:b/>
                    </w:rPr>
                  </w:pPr>
                  <w:r>
                    <w:rPr>
                      <w:rFonts w:hAnsiTheme="minorEastAsia" w:eastAsiaTheme="minorEastAsia"/>
                      <w:b/>
                    </w:rPr>
                    <w:t>受纳污水处理厂信息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14" w:type="dxa"/>
                  <w:vMerge w:val="continue"/>
                  <w:vAlign w:val="center"/>
                </w:tcPr>
                <w:p>
                  <w:pPr>
                    <w:spacing w:line="360" w:lineRule="auto"/>
                    <w:jc w:val="center"/>
                    <w:rPr>
                      <w:rFonts w:eastAsiaTheme="minorEastAsia"/>
                      <w:b/>
                    </w:rPr>
                  </w:pPr>
                </w:p>
              </w:tc>
              <w:tc>
                <w:tcPr>
                  <w:tcW w:w="802" w:type="dxa"/>
                  <w:vMerge w:val="continue"/>
                  <w:vAlign w:val="center"/>
                </w:tcPr>
                <w:p>
                  <w:pPr>
                    <w:spacing w:line="360" w:lineRule="auto"/>
                    <w:jc w:val="center"/>
                    <w:rPr>
                      <w:rFonts w:eastAsiaTheme="minorEastAsia"/>
                      <w:b/>
                    </w:rPr>
                  </w:pPr>
                </w:p>
              </w:tc>
              <w:tc>
                <w:tcPr>
                  <w:tcW w:w="862" w:type="dxa"/>
                  <w:vAlign w:val="center"/>
                </w:tcPr>
                <w:p>
                  <w:pPr>
                    <w:spacing w:line="360" w:lineRule="auto"/>
                    <w:jc w:val="center"/>
                    <w:rPr>
                      <w:rFonts w:eastAsiaTheme="minorEastAsia"/>
                      <w:b/>
                    </w:rPr>
                  </w:pPr>
                  <w:r>
                    <w:rPr>
                      <w:rFonts w:hAnsiTheme="minorEastAsia" w:eastAsiaTheme="minorEastAsia"/>
                      <w:b/>
                    </w:rPr>
                    <w:t>经度</w:t>
                  </w:r>
                </w:p>
              </w:tc>
              <w:tc>
                <w:tcPr>
                  <w:tcW w:w="870" w:type="dxa"/>
                  <w:vAlign w:val="center"/>
                </w:tcPr>
                <w:p>
                  <w:pPr>
                    <w:spacing w:line="360" w:lineRule="auto"/>
                    <w:jc w:val="center"/>
                    <w:rPr>
                      <w:rFonts w:eastAsiaTheme="minorEastAsia"/>
                      <w:b/>
                    </w:rPr>
                  </w:pPr>
                  <w:r>
                    <w:rPr>
                      <w:rFonts w:hAnsiTheme="minorEastAsia" w:eastAsiaTheme="minorEastAsia"/>
                      <w:b/>
                    </w:rPr>
                    <w:t>纬度</w:t>
                  </w:r>
                </w:p>
              </w:tc>
              <w:tc>
                <w:tcPr>
                  <w:tcW w:w="850" w:type="dxa"/>
                  <w:vMerge w:val="continue"/>
                  <w:vAlign w:val="center"/>
                </w:tcPr>
                <w:p>
                  <w:pPr>
                    <w:spacing w:line="360" w:lineRule="auto"/>
                    <w:jc w:val="center"/>
                    <w:rPr>
                      <w:rFonts w:eastAsiaTheme="minorEastAsia"/>
                      <w:b/>
                    </w:rPr>
                  </w:pPr>
                </w:p>
              </w:tc>
              <w:tc>
                <w:tcPr>
                  <w:tcW w:w="567" w:type="dxa"/>
                  <w:vMerge w:val="continue"/>
                  <w:vAlign w:val="center"/>
                </w:tcPr>
                <w:p>
                  <w:pPr>
                    <w:spacing w:line="360" w:lineRule="auto"/>
                    <w:jc w:val="center"/>
                    <w:rPr>
                      <w:rFonts w:eastAsiaTheme="minorEastAsia"/>
                      <w:b/>
                    </w:rPr>
                  </w:pPr>
                </w:p>
              </w:tc>
              <w:tc>
                <w:tcPr>
                  <w:tcW w:w="710" w:type="dxa"/>
                  <w:vMerge w:val="continue"/>
                  <w:vAlign w:val="center"/>
                </w:tcPr>
                <w:p>
                  <w:pPr>
                    <w:spacing w:line="360" w:lineRule="auto"/>
                    <w:jc w:val="center"/>
                    <w:rPr>
                      <w:rFonts w:eastAsiaTheme="minorEastAsia"/>
                      <w:b/>
                    </w:rPr>
                  </w:pPr>
                </w:p>
              </w:tc>
              <w:tc>
                <w:tcPr>
                  <w:tcW w:w="708" w:type="dxa"/>
                  <w:vMerge w:val="continue"/>
                  <w:vAlign w:val="center"/>
                </w:tcPr>
                <w:p>
                  <w:pPr>
                    <w:spacing w:line="360" w:lineRule="auto"/>
                    <w:jc w:val="center"/>
                    <w:rPr>
                      <w:rFonts w:eastAsiaTheme="minorEastAsia"/>
                      <w:b/>
                    </w:rPr>
                  </w:pPr>
                </w:p>
              </w:tc>
              <w:tc>
                <w:tcPr>
                  <w:tcW w:w="753" w:type="dxa"/>
                  <w:vAlign w:val="center"/>
                </w:tcPr>
                <w:p>
                  <w:pPr>
                    <w:spacing w:line="360" w:lineRule="auto"/>
                    <w:jc w:val="center"/>
                    <w:rPr>
                      <w:rFonts w:eastAsiaTheme="minorEastAsia"/>
                      <w:b/>
                    </w:rPr>
                  </w:pPr>
                  <w:r>
                    <w:rPr>
                      <w:rFonts w:hAnsiTheme="minorEastAsia" w:eastAsiaTheme="minorEastAsia"/>
                      <w:b/>
                    </w:rPr>
                    <w:t>名称</w:t>
                  </w:r>
                </w:p>
              </w:tc>
              <w:tc>
                <w:tcPr>
                  <w:tcW w:w="770" w:type="dxa"/>
                  <w:vAlign w:val="center"/>
                </w:tcPr>
                <w:p>
                  <w:pPr>
                    <w:spacing w:line="360" w:lineRule="auto"/>
                    <w:jc w:val="center"/>
                    <w:rPr>
                      <w:rFonts w:eastAsiaTheme="minorEastAsia"/>
                      <w:b/>
                    </w:rPr>
                  </w:pPr>
                  <w:r>
                    <w:rPr>
                      <w:rFonts w:hAnsiTheme="minorEastAsia" w:eastAsiaTheme="minorEastAsia"/>
                      <w:b/>
                    </w:rPr>
                    <w:t>污染物种类</w:t>
                  </w:r>
                </w:p>
              </w:tc>
              <w:tc>
                <w:tcPr>
                  <w:tcW w:w="740" w:type="dxa"/>
                  <w:vAlign w:val="center"/>
                </w:tcPr>
                <w:p>
                  <w:pPr>
                    <w:spacing w:line="360" w:lineRule="auto"/>
                    <w:jc w:val="center"/>
                    <w:rPr>
                      <w:rFonts w:eastAsiaTheme="minorEastAsia"/>
                      <w:b/>
                    </w:rPr>
                  </w:pPr>
                  <w:r>
                    <w:rPr>
                      <w:rFonts w:hAnsiTheme="minorEastAsia" w:eastAsiaTheme="minorEastAsia"/>
                      <w:b/>
                    </w:rPr>
                    <w:t>排放标准浓度限值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81" w:hRule="atLeast"/>
                <w:jc w:val="center"/>
              </w:trPr>
              <w:tc>
                <w:tcPr>
                  <w:tcW w:w="314" w:type="dxa"/>
                  <w:vMerge w:val="restart"/>
                  <w:vAlign w:val="center"/>
                </w:tcPr>
                <w:p>
                  <w:pPr>
                    <w:spacing w:line="360" w:lineRule="auto"/>
                    <w:jc w:val="center"/>
                    <w:rPr>
                      <w:rFonts w:eastAsiaTheme="minorEastAsia"/>
                    </w:rPr>
                  </w:pPr>
                  <w:r>
                    <w:rPr>
                      <w:rFonts w:eastAsiaTheme="minorEastAsia"/>
                    </w:rPr>
                    <w:t>1</w:t>
                  </w:r>
                </w:p>
              </w:tc>
              <w:tc>
                <w:tcPr>
                  <w:tcW w:w="802" w:type="dxa"/>
                  <w:vMerge w:val="restart"/>
                  <w:vAlign w:val="center"/>
                </w:tcPr>
                <w:p>
                  <w:pPr>
                    <w:spacing w:line="360" w:lineRule="auto"/>
                    <w:jc w:val="center"/>
                    <w:rPr>
                      <w:rFonts w:eastAsiaTheme="minorEastAsia"/>
                    </w:rPr>
                  </w:pPr>
                  <w:r>
                    <w:rPr>
                      <w:rFonts w:eastAsiaTheme="minorEastAsia"/>
                    </w:rPr>
                    <w:t>DW001</w:t>
                  </w:r>
                </w:p>
              </w:tc>
              <w:tc>
                <w:tcPr>
                  <w:tcW w:w="1732" w:type="dxa"/>
                  <w:gridSpan w:val="2"/>
                  <w:vMerge w:val="restart"/>
                  <w:vAlign w:val="center"/>
                </w:tcPr>
                <w:p>
                  <w:pPr>
                    <w:spacing w:line="360" w:lineRule="auto"/>
                    <w:jc w:val="center"/>
                  </w:pPr>
                  <w:r>
                    <w:t>111</w:t>
                  </w:r>
                  <w:r>
                    <w:rPr>
                      <w:rFonts w:hint="eastAsia"/>
                    </w:rPr>
                    <w:t>.702784</w:t>
                  </w:r>
                  <w:r>
                    <w:t>E</w:t>
                  </w:r>
                </w:p>
                <w:p>
                  <w:pPr>
                    <w:spacing w:line="360" w:lineRule="auto"/>
                    <w:jc w:val="center"/>
                    <w:rPr>
                      <w:rFonts w:eastAsiaTheme="minorEastAsia"/>
                    </w:rPr>
                  </w:pPr>
                  <w:r>
                    <w:t>2</w:t>
                  </w:r>
                  <w:r>
                    <w:rPr>
                      <w:rFonts w:hint="eastAsia"/>
                    </w:rPr>
                    <w:t>8.900335N</w:t>
                  </w:r>
                </w:p>
              </w:tc>
              <w:tc>
                <w:tcPr>
                  <w:tcW w:w="850" w:type="dxa"/>
                  <w:vMerge w:val="restart"/>
                  <w:vAlign w:val="center"/>
                </w:tcPr>
                <w:p>
                  <w:pPr>
                    <w:spacing w:line="360" w:lineRule="auto"/>
                    <w:jc w:val="center"/>
                    <w:rPr>
                      <w:rFonts w:eastAsiaTheme="minorEastAsia"/>
                    </w:rPr>
                  </w:pPr>
                  <w:r>
                    <w:rPr>
                      <w:rFonts w:hint="eastAsia" w:eastAsiaTheme="minorEastAsia"/>
                    </w:rPr>
                    <w:t>11720</w:t>
                  </w:r>
                </w:p>
              </w:tc>
              <w:tc>
                <w:tcPr>
                  <w:tcW w:w="567" w:type="dxa"/>
                  <w:vMerge w:val="restart"/>
                  <w:vAlign w:val="center"/>
                </w:tcPr>
                <w:p>
                  <w:pPr>
                    <w:spacing w:line="360" w:lineRule="auto"/>
                    <w:jc w:val="center"/>
                    <w:rPr>
                      <w:rFonts w:eastAsiaTheme="minorEastAsia"/>
                    </w:rPr>
                  </w:pPr>
                  <w:r>
                    <w:rPr>
                      <w:rFonts w:hAnsiTheme="minorEastAsia" w:eastAsiaTheme="minorEastAsia"/>
                    </w:rPr>
                    <w:t>园区管网</w:t>
                  </w:r>
                </w:p>
              </w:tc>
              <w:tc>
                <w:tcPr>
                  <w:tcW w:w="710" w:type="dxa"/>
                  <w:vMerge w:val="restart"/>
                  <w:vAlign w:val="center"/>
                </w:tcPr>
                <w:p>
                  <w:pPr>
                    <w:spacing w:line="360" w:lineRule="auto"/>
                    <w:jc w:val="center"/>
                    <w:rPr>
                      <w:rFonts w:eastAsiaTheme="minorEastAsia"/>
                    </w:rPr>
                  </w:pPr>
                  <w:r>
                    <w:rPr>
                      <w:rFonts w:hAnsiTheme="minorEastAsia" w:eastAsiaTheme="minorEastAsia"/>
                    </w:rPr>
                    <w:t>间断排放期间流量稳定</w:t>
                  </w:r>
                </w:p>
              </w:tc>
              <w:tc>
                <w:tcPr>
                  <w:tcW w:w="708" w:type="dxa"/>
                  <w:vMerge w:val="restart"/>
                  <w:vAlign w:val="center"/>
                </w:tcPr>
                <w:p>
                  <w:pPr>
                    <w:spacing w:line="360" w:lineRule="auto"/>
                    <w:jc w:val="center"/>
                    <w:rPr>
                      <w:rFonts w:eastAsiaTheme="minorEastAsia"/>
                    </w:rPr>
                  </w:pPr>
                  <w:r>
                    <w:rPr>
                      <w:rFonts w:hAnsiTheme="minorEastAsia" w:eastAsiaTheme="minorEastAsia"/>
                    </w:rPr>
                    <w:t>昼夜</w:t>
                  </w:r>
                </w:p>
              </w:tc>
              <w:tc>
                <w:tcPr>
                  <w:tcW w:w="753" w:type="dxa"/>
                  <w:vMerge w:val="restart"/>
                  <w:vAlign w:val="center"/>
                </w:tcPr>
                <w:p>
                  <w:pPr>
                    <w:spacing w:line="360" w:lineRule="auto"/>
                    <w:jc w:val="center"/>
                    <w:rPr>
                      <w:rFonts w:eastAsiaTheme="minorEastAsia"/>
                    </w:rPr>
                  </w:pPr>
                  <w:r>
                    <w:rPr>
                      <w:rFonts w:hAnsiTheme="minorEastAsia" w:eastAsiaTheme="minorEastAsia"/>
                    </w:rPr>
                    <w:t>德山污水处理厂</w:t>
                  </w:r>
                </w:p>
              </w:tc>
              <w:tc>
                <w:tcPr>
                  <w:tcW w:w="770" w:type="dxa"/>
                  <w:vAlign w:val="center"/>
                </w:tcPr>
                <w:p>
                  <w:pPr>
                    <w:spacing w:line="360" w:lineRule="auto"/>
                    <w:jc w:val="center"/>
                    <w:rPr>
                      <w:rFonts w:eastAsiaTheme="minorEastAsia"/>
                    </w:rPr>
                  </w:pPr>
                  <w:r>
                    <w:rPr>
                      <w:rFonts w:eastAsiaTheme="minorEastAsia"/>
                    </w:rPr>
                    <w:t>pH</w:t>
                  </w:r>
                </w:p>
              </w:tc>
              <w:tc>
                <w:tcPr>
                  <w:tcW w:w="740" w:type="dxa"/>
                  <w:vAlign w:val="center"/>
                </w:tcPr>
                <w:p>
                  <w:pPr>
                    <w:spacing w:line="360" w:lineRule="auto"/>
                    <w:jc w:val="center"/>
                    <w:rPr>
                      <w:rFonts w:eastAsiaTheme="minorEastAsia"/>
                    </w:rPr>
                  </w:pPr>
                  <w:r>
                    <w:rPr>
                      <w:rFonts w:eastAsiaTheme="minorEastAsia"/>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81" w:hRule="atLeast"/>
                <w:jc w:val="center"/>
              </w:trPr>
              <w:tc>
                <w:tcPr>
                  <w:tcW w:w="314" w:type="dxa"/>
                  <w:vMerge w:val="continue"/>
                  <w:vAlign w:val="center"/>
                </w:tcPr>
                <w:p>
                  <w:pPr>
                    <w:spacing w:line="360" w:lineRule="auto"/>
                    <w:jc w:val="center"/>
                    <w:rPr>
                      <w:rFonts w:eastAsiaTheme="minorEastAsia"/>
                    </w:rPr>
                  </w:pPr>
                </w:p>
              </w:tc>
              <w:tc>
                <w:tcPr>
                  <w:tcW w:w="802" w:type="dxa"/>
                  <w:vMerge w:val="continue"/>
                  <w:vAlign w:val="center"/>
                </w:tcPr>
                <w:p>
                  <w:pPr>
                    <w:spacing w:line="360" w:lineRule="auto"/>
                    <w:jc w:val="center"/>
                    <w:rPr>
                      <w:rFonts w:eastAsiaTheme="minorEastAsia"/>
                    </w:rPr>
                  </w:pPr>
                </w:p>
              </w:tc>
              <w:tc>
                <w:tcPr>
                  <w:tcW w:w="1732" w:type="dxa"/>
                  <w:gridSpan w:val="2"/>
                  <w:vMerge w:val="continue"/>
                  <w:vAlign w:val="center"/>
                </w:tcPr>
                <w:p>
                  <w:pPr>
                    <w:spacing w:line="360" w:lineRule="auto"/>
                    <w:jc w:val="center"/>
                    <w:rPr>
                      <w:rFonts w:eastAsiaTheme="minorEastAsia"/>
                    </w:rPr>
                  </w:pPr>
                </w:p>
              </w:tc>
              <w:tc>
                <w:tcPr>
                  <w:tcW w:w="850" w:type="dxa"/>
                  <w:vMerge w:val="continue"/>
                  <w:vAlign w:val="center"/>
                </w:tcPr>
                <w:p>
                  <w:pPr>
                    <w:spacing w:line="360" w:lineRule="auto"/>
                    <w:jc w:val="center"/>
                    <w:rPr>
                      <w:rFonts w:eastAsiaTheme="minorEastAsia"/>
                    </w:rPr>
                  </w:pPr>
                </w:p>
              </w:tc>
              <w:tc>
                <w:tcPr>
                  <w:tcW w:w="567" w:type="dxa"/>
                  <w:vMerge w:val="continue"/>
                  <w:vAlign w:val="center"/>
                </w:tcPr>
                <w:p>
                  <w:pPr>
                    <w:spacing w:line="360" w:lineRule="auto"/>
                    <w:jc w:val="center"/>
                    <w:rPr>
                      <w:rFonts w:eastAsiaTheme="minorEastAsia"/>
                    </w:rPr>
                  </w:pPr>
                </w:p>
              </w:tc>
              <w:tc>
                <w:tcPr>
                  <w:tcW w:w="710" w:type="dxa"/>
                  <w:vMerge w:val="continue"/>
                  <w:vAlign w:val="center"/>
                </w:tcPr>
                <w:p>
                  <w:pPr>
                    <w:spacing w:line="360" w:lineRule="auto"/>
                    <w:jc w:val="center"/>
                    <w:rPr>
                      <w:rFonts w:eastAsiaTheme="minorEastAsia"/>
                    </w:rPr>
                  </w:pPr>
                </w:p>
              </w:tc>
              <w:tc>
                <w:tcPr>
                  <w:tcW w:w="708" w:type="dxa"/>
                  <w:vMerge w:val="continue"/>
                  <w:vAlign w:val="center"/>
                </w:tcPr>
                <w:p>
                  <w:pPr>
                    <w:spacing w:line="360" w:lineRule="auto"/>
                    <w:jc w:val="center"/>
                    <w:rPr>
                      <w:rFonts w:eastAsiaTheme="minorEastAsia"/>
                    </w:rPr>
                  </w:pPr>
                </w:p>
              </w:tc>
              <w:tc>
                <w:tcPr>
                  <w:tcW w:w="753" w:type="dxa"/>
                  <w:vMerge w:val="continue"/>
                  <w:vAlign w:val="center"/>
                </w:tcPr>
                <w:p>
                  <w:pPr>
                    <w:spacing w:line="360" w:lineRule="auto"/>
                    <w:jc w:val="center"/>
                    <w:rPr>
                      <w:rFonts w:eastAsiaTheme="minorEastAsia"/>
                    </w:rPr>
                  </w:pPr>
                </w:p>
              </w:tc>
              <w:tc>
                <w:tcPr>
                  <w:tcW w:w="770" w:type="dxa"/>
                  <w:vAlign w:val="center"/>
                </w:tcPr>
                <w:p>
                  <w:pPr>
                    <w:spacing w:line="360" w:lineRule="auto"/>
                    <w:jc w:val="center"/>
                    <w:rPr>
                      <w:rFonts w:eastAsiaTheme="minorEastAsia"/>
                    </w:rPr>
                  </w:pPr>
                  <w:r>
                    <w:rPr>
                      <w:rFonts w:eastAsiaTheme="minorEastAsia"/>
                    </w:rPr>
                    <w:t>COD</w:t>
                  </w:r>
                  <w:r>
                    <w:rPr>
                      <w:rFonts w:eastAsiaTheme="minorEastAsia"/>
                      <w:vertAlign w:val="subscript"/>
                    </w:rPr>
                    <w:t>Cr</w:t>
                  </w:r>
                </w:p>
              </w:tc>
              <w:tc>
                <w:tcPr>
                  <w:tcW w:w="740" w:type="dxa"/>
                  <w:vAlign w:val="center"/>
                </w:tcPr>
                <w:p>
                  <w:pPr>
                    <w:spacing w:line="360" w:lineRule="auto"/>
                    <w:jc w:val="center"/>
                    <w:rPr>
                      <w:rFonts w:eastAsiaTheme="minorEastAsia"/>
                    </w:rPr>
                  </w:pPr>
                  <w:r>
                    <w:rPr>
                      <w:rFonts w:eastAsiaTheme="minorEastAsi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14" w:type="dxa"/>
                  <w:vMerge w:val="continue"/>
                  <w:vAlign w:val="center"/>
                </w:tcPr>
                <w:p>
                  <w:pPr>
                    <w:spacing w:line="360" w:lineRule="auto"/>
                    <w:jc w:val="center"/>
                    <w:rPr>
                      <w:rFonts w:eastAsiaTheme="minorEastAsia"/>
                    </w:rPr>
                  </w:pPr>
                </w:p>
              </w:tc>
              <w:tc>
                <w:tcPr>
                  <w:tcW w:w="802" w:type="dxa"/>
                  <w:vMerge w:val="continue"/>
                  <w:vAlign w:val="center"/>
                </w:tcPr>
                <w:p>
                  <w:pPr>
                    <w:spacing w:line="360" w:lineRule="auto"/>
                    <w:jc w:val="center"/>
                    <w:rPr>
                      <w:rFonts w:eastAsiaTheme="minorEastAsia"/>
                    </w:rPr>
                  </w:pPr>
                </w:p>
              </w:tc>
              <w:tc>
                <w:tcPr>
                  <w:tcW w:w="1732" w:type="dxa"/>
                  <w:gridSpan w:val="2"/>
                  <w:vMerge w:val="continue"/>
                  <w:vAlign w:val="center"/>
                </w:tcPr>
                <w:p>
                  <w:pPr>
                    <w:spacing w:line="360" w:lineRule="auto"/>
                    <w:jc w:val="center"/>
                    <w:rPr>
                      <w:rFonts w:eastAsiaTheme="minorEastAsia"/>
                    </w:rPr>
                  </w:pPr>
                </w:p>
              </w:tc>
              <w:tc>
                <w:tcPr>
                  <w:tcW w:w="850" w:type="dxa"/>
                  <w:vMerge w:val="continue"/>
                  <w:vAlign w:val="center"/>
                </w:tcPr>
                <w:p>
                  <w:pPr>
                    <w:spacing w:line="360" w:lineRule="auto"/>
                    <w:jc w:val="center"/>
                    <w:rPr>
                      <w:rFonts w:eastAsiaTheme="minorEastAsia"/>
                    </w:rPr>
                  </w:pPr>
                </w:p>
              </w:tc>
              <w:tc>
                <w:tcPr>
                  <w:tcW w:w="567" w:type="dxa"/>
                  <w:vMerge w:val="continue"/>
                  <w:vAlign w:val="center"/>
                </w:tcPr>
                <w:p>
                  <w:pPr>
                    <w:spacing w:line="360" w:lineRule="auto"/>
                    <w:jc w:val="center"/>
                    <w:rPr>
                      <w:rFonts w:eastAsiaTheme="minorEastAsia"/>
                    </w:rPr>
                  </w:pPr>
                </w:p>
              </w:tc>
              <w:tc>
                <w:tcPr>
                  <w:tcW w:w="710" w:type="dxa"/>
                  <w:vMerge w:val="continue"/>
                  <w:vAlign w:val="center"/>
                </w:tcPr>
                <w:p>
                  <w:pPr>
                    <w:spacing w:line="360" w:lineRule="auto"/>
                    <w:jc w:val="center"/>
                    <w:rPr>
                      <w:rFonts w:eastAsiaTheme="minorEastAsia"/>
                    </w:rPr>
                  </w:pPr>
                </w:p>
              </w:tc>
              <w:tc>
                <w:tcPr>
                  <w:tcW w:w="708" w:type="dxa"/>
                  <w:vMerge w:val="continue"/>
                  <w:vAlign w:val="center"/>
                </w:tcPr>
                <w:p>
                  <w:pPr>
                    <w:spacing w:line="360" w:lineRule="auto"/>
                    <w:jc w:val="center"/>
                    <w:rPr>
                      <w:rFonts w:eastAsiaTheme="minorEastAsia"/>
                    </w:rPr>
                  </w:pPr>
                </w:p>
              </w:tc>
              <w:tc>
                <w:tcPr>
                  <w:tcW w:w="753" w:type="dxa"/>
                  <w:vMerge w:val="continue"/>
                  <w:vAlign w:val="center"/>
                </w:tcPr>
                <w:p>
                  <w:pPr>
                    <w:spacing w:line="360" w:lineRule="auto"/>
                    <w:jc w:val="center"/>
                    <w:rPr>
                      <w:rFonts w:eastAsiaTheme="minorEastAsia"/>
                    </w:rPr>
                  </w:pPr>
                </w:p>
              </w:tc>
              <w:tc>
                <w:tcPr>
                  <w:tcW w:w="770" w:type="dxa"/>
                  <w:vAlign w:val="center"/>
                </w:tcPr>
                <w:p>
                  <w:pPr>
                    <w:spacing w:line="360" w:lineRule="auto"/>
                    <w:jc w:val="center"/>
                    <w:rPr>
                      <w:rFonts w:eastAsiaTheme="minorEastAsia"/>
                    </w:rPr>
                  </w:pPr>
                  <w:r>
                    <w:rPr>
                      <w:rFonts w:eastAsiaTheme="minorEastAsia"/>
                    </w:rPr>
                    <w:t>BOD</w:t>
                  </w:r>
                  <w:r>
                    <w:rPr>
                      <w:rFonts w:eastAsiaTheme="minorEastAsia"/>
                      <w:vertAlign w:val="subscript"/>
                    </w:rPr>
                    <w:t>5</w:t>
                  </w:r>
                </w:p>
              </w:tc>
              <w:tc>
                <w:tcPr>
                  <w:tcW w:w="740" w:type="dxa"/>
                  <w:vAlign w:val="center"/>
                </w:tcPr>
                <w:p>
                  <w:pPr>
                    <w:spacing w:line="360" w:lineRule="auto"/>
                    <w:jc w:val="center"/>
                    <w:rPr>
                      <w:rFonts w:eastAsiaTheme="minorEastAsia"/>
                    </w:rPr>
                  </w:pPr>
                  <w:r>
                    <w:rPr>
                      <w:rFonts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14" w:type="dxa"/>
                  <w:vMerge w:val="continue"/>
                  <w:vAlign w:val="center"/>
                </w:tcPr>
                <w:p>
                  <w:pPr>
                    <w:spacing w:line="360" w:lineRule="auto"/>
                    <w:jc w:val="center"/>
                    <w:rPr>
                      <w:rFonts w:eastAsiaTheme="minorEastAsia"/>
                    </w:rPr>
                  </w:pPr>
                </w:p>
              </w:tc>
              <w:tc>
                <w:tcPr>
                  <w:tcW w:w="802" w:type="dxa"/>
                  <w:vMerge w:val="continue"/>
                  <w:vAlign w:val="center"/>
                </w:tcPr>
                <w:p>
                  <w:pPr>
                    <w:spacing w:line="360" w:lineRule="auto"/>
                    <w:jc w:val="center"/>
                    <w:rPr>
                      <w:rFonts w:eastAsiaTheme="minorEastAsia"/>
                    </w:rPr>
                  </w:pPr>
                </w:p>
              </w:tc>
              <w:tc>
                <w:tcPr>
                  <w:tcW w:w="1732" w:type="dxa"/>
                  <w:gridSpan w:val="2"/>
                  <w:vMerge w:val="continue"/>
                  <w:vAlign w:val="center"/>
                </w:tcPr>
                <w:p>
                  <w:pPr>
                    <w:spacing w:line="360" w:lineRule="auto"/>
                    <w:jc w:val="center"/>
                    <w:rPr>
                      <w:rFonts w:eastAsiaTheme="minorEastAsia"/>
                    </w:rPr>
                  </w:pPr>
                </w:p>
              </w:tc>
              <w:tc>
                <w:tcPr>
                  <w:tcW w:w="850" w:type="dxa"/>
                  <w:vMerge w:val="continue"/>
                  <w:vAlign w:val="center"/>
                </w:tcPr>
                <w:p>
                  <w:pPr>
                    <w:spacing w:line="360" w:lineRule="auto"/>
                    <w:jc w:val="center"/>
                    <w:rPr>
                      <w:rFonts w:eastAsiaTheme="minorEastAsia"/>
                    </w:rPr>
                  </w:pPr>
                </w:p>
              </w:tc>
              <w:tc>
                <w:tcPr>
                  <w:tcW w:w="567" w:type="dxa"/>
                  <w:vMerge w:val="continue"/>
                  <w:vAlign w:val="center"/>
                </w:tcPr>
                <w:p>
                  <w:pPr>
                    <w:spacing w:line="360" w:lineRule="auto"/>
                    <w:jc w:val="center"/>
                    <w:rPr>
                      <w:rFonts w:eastAsiaTheme="minorEastAsia"/>
                    </w:rPr>
                  </w:pPr>
                </w:p>
              </w:tc>
              <w:tc>
                <w:tcPr>
                  <w:tcW w:w="710" w:type="dxa"/>
                  <w:vMerge w:val="continue"/>
                  <w:vAlign w:val="center"/>
                </w:tcPr>
                <w:p>
                  <w:pPr>
                    <w:spacing w:line="360" w:lineRule="auto"/>
                    <w:jc w:val="center"/>
                    <w:rPr>
                      <w:rFonts w:eastAsiaTheme="minorEastAsia"/>
                    </w:rPr>
                  </w:pPr>
                </w:p>
              </w:tc>
              <w:tc>
                <w:tcPr>
                  <w:tcW w:w="708" w:type="dxa"/>
                  <w:vMerge w:val="continue"/>
                  <w:vAlign w:val="center"/>
                </w:tcPr>
                <w:p>
                  <w:pPr>
                    <w:spacing w:line="360" w:lineRule="auto"/>
                    <w:jc w:val="center"/>
                    <w:rPr>
                      <w:rFonts w:eastAsiaTheme="minorEastAsia"/>
                    </w:rPr>
                  </w:pPr>
                </w:p>
              </w:tc>
              <w:tc>
                <w:tcPr>
                  <w:tcW w:w="753" w:type="dxa"/>
                  <w:vMerge w:val="continue"/>
                  <w:vAlign w:val="center"/>
                </w:tcPr>
                <w:p>
                  <w:pPr>
                    <w:spacing w:line="360" w:lineRule="auto"/>
                    <w:jc w:val="center"/>
                    <w:rPr>
                      <w:rFonts w:eastAsiaTheme="minorEastAsia"/>
                    </w:rPr>
                  </w:pPr>
                </w:p>
              </w:tc>
              <w:tc>
                <w:tcPr>
                  <w:tcW w:w="770" w:type="dxa"/>
                  <w:vAlign w:val="center"/>
                </w:tcPr>
                <w:p>
                  <w:pPr>
                    <w:spacing w:line="360" w:lineRule="auto"/>
                    <w:jc w:val="center"/>
                    <w:rPr>
                      <w:rFonts w:eastAsiaTheme="minorEastAsia"/>
                    </w:rPr>
                  </w:pPr>
                  <w:r>
                    <w:rPr>
                      <w:rFonts w:eastAsiaTheme="minorEastAsia"/>
                    </w:rPr>
                    <w:t>SS</w:t>
                  </w:r>
                </w:p>
              </w:tc>
              <w:tc>
                <w:tcPr>
                  <w:tcW w:w="740" w:type="dxa"/>
                  <w:vAlign w:val="center"/>
                </w:tcPr>
                <w:p>
                  <w:pPr>
                    <w:spacing w:line="360" w:lineRule="auto"/>
                    <w:jc w:val="center"/>
                    <w:rPr>
                      <w:rFonts w:eastAsiaTheme="minorEastAsia"/>
                    </w:rPr>
                  </w:pPr>
                  <w:r>
                    <w:rPr>
                      <w:rFonts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14" w:type="dxa"/>
                  <w:vMerge w:val="continue"/>
                  <w:vAlign w:val="center"/>
                </w:tcPr>
                <w:p>
                  <w:pPr>
                    <w:spacing w:line="360" w:lineRule="auto"/>
                    <w:jc w:val="center"/>
                    <w:rPr>
                      <w:rFonts w:eastAsiaTheme="minorEastAsia"/>
                    </w:rPr>
                  </w:pPr>
                </w:p>
              </w:tc>
              <w:tc>
                <w:tcPr>
                  <w:tcW w:w="802" w:type="dxa"/>
                  <w:vMerge w:val="continue"/>
                  <w:vAlign w:val="center"/>
                </w:tcPr>
                <w:p>
                  <w:pPr>
                    <w:spacing w:line="360" w:lineRule="auto"/>
                    <w:jc w:val="center"/>
                    <w:rPr>
                      <w:rFonts w:eastAsiaTheme="minorEastAsia"/>
                    </w:rPr>
                  </w:pPr>
                </w:p>
              </w:tc>
              <w:tc>
                <w:tcPr>
                  <w:tcW w:w="1732" w:type="dxa"/>
                  <w:gridSpan w:val="2"/>
                  <w:vMerge w:val="continue"/>
                  <w:vAlign w:val="center"/>
                </w:tcPr>
                <w:p>
                  <w:pPr>
                    <w:spacing w:line="360" w:lineRule="auto"/>
                    <w:jc w:val="center"/>
                    <w:rPr>
                      <w:rFonts w:eastAsiaTheme="minorEastAsia"/>
                    </w:rPr>
                  </w:pPr>
                </w:p>
              </w:tc>
              <w:tc>
                <w:tcPr>
                  <w:tcW w:w="850" w:type="dxa"/>
                  <w:vMerge w:val="continue"/>
                  <w:vAlign w:val="center"/>
                </w:tcPr>
                <w:p>
                  <w:pPr>
                    <w:spacing w:line="360" w:lineRule="auto"/>
                    <w:jc w:val="center"/>
                    <w:rPr>
                      <w:rFonts w:eastAsiaTheme="minorEastAsia"/>
                    </w:rPr>
                  </w:pPr>
                </w:p>
              </w:tc>
              <w:tc>
                <w:tcPr>
                  <w:tcW w:w="567" w:type="dxa"/>
                  <w:vMerge w:val="continue"/>
                  <w:vAlign w:val="center"/>
                </w:tcPr>
                <w:p>
                  <w:pPr>
                    <w:spacing w:line="360" w:lineRule="auto"/>
                    <w:jc w:val="center"/>
                    <w:rPr>
                      <w:rFonts w:eastAsiaTheme="minorEastAsia"/>
                    </w:rPr>
                  </w:pPr>
                </w:p>
              </w:tc>
              <w:tc>
                <w:tcPr>
                  <w:tcW w:w="710" w:type="dxa"/>
                  <w:vMerge w:val="continue"/>
                  <w:vAlign w:val="center"/>
                </w:tcPr>
                <w:p>
                  <w:pPr>
                    <w:spacing w:line="360" w:lineRule="auto"/>
                    <w:jc w:val="center"/>
                    <w:rPr>
                      <w:rFonts w:eastAsiaTheme="minorEastAsia"/>
                    </w:rPr>
                  </w:pPr>
                </w:p>
              </w:tc>
              <w:tc>
                <w:tcPr>
                  <w:tcW w:w="708" w:type="dxa"/>
                  <w:vMerge w:val="continue"/>
                  <w:vAlign w:val="center"/>
                </w:tcPr>
                <w:p>
                  <w:pPr>
                    <w:spacing w:line="360" w:lineRule="auto"/>
                    <w:jc w:val="center"/>
                    <w:rPr>
                      <w:rFonts w:eastAsiaTheme="minorEastAsia"/>
                    </w:rPr>
                  </w:pPr>
                </w:p>
              </w:tc>
              <w:tc>
                <w:tcPr>
                  <w:tcW w:w="753" w:type="dxa"/>
                  <w:vMerge w:val="continue"/>
                  <w:vAlign w:val="center"/>
                </w:tcPr>
                <w:p>
                  <w:pPr>
                    <w:spacing w:line="360" w:lineRule="auto"/>
                    <w:jc w:val="center"/>
                    <w:rPr>
                      <w:rFonts w:eastAsiaTheme="minorEastAsia"/>
                    </w:rPr>
                  </w:pPr>
                </w:p>
              </w:tc>
              <w:tc>
                <w:tcPr>
                  <w:tcW w:w="770" w:type="dxa"/>
                  <w:vAlign w:val="center"/>
                </w:tcPr>
                <w:p>
                  <w:pPr>
                    <w:spacing w:line="360" w:lineRule="auto"/>
                    <w:jc w:val="center"/>
                    <w:rPr>
                      <w:rFonts w:eastAsiaTheme="minorEastAsia"/>
                    </w:rPr>
                  </w:pPr>
                  <w:r>
                    <w:rPr>
                      <w:rFonts w:hAnsiTheme="minorEastAsia" w:eastAsiaTheme="minorEastAsia"/>
                    </w:rPr>
                    <w:t>氨氮</w:t>
                  </w:r>
                </w:p>
              </w:tc>
              <w:tc>
                <w:tcPr>
                  <w:tcW w:w="740" w:type="dxa"/>
                  <w:vAlign w:val="center"/>
                </w:tcPr>
                <w:p>
                  <w:pPr>
                    <w:spacing w:line="360" w:lineRule="auto"/>
                    <w:jc w:val="center"/>
                    <w:rPr>
                      <w:rFonts w:eastAsiaTheme="minorEastAsia"/>
                    </w:rPr>
                  </w:pPr>
                  <w:r>
                    <w:rPr>
                      <w:rFonts w:eastAsiaTheme="minorEastAsia"/>
                    </w:rPr>
                    <w:t>5</w:t>
                  </w:r>
                  <w:r>
                    <w:rPr>
                      <w:rFonts w:hAnsiTheme="minorEastAsia" w:eastAsiaTheme="minorEastAsia"/>
                    </w:rPr>
                    <w:t>（</w:t>
                  </w:r>
                  <w:r>
                    <w:rPr>
                      <w:rFonts w:eastAsiaTheme="minorEastAsia"/>
                    </w:rPr>
                    <w:t>8</w:t>
                  </w:r>
                  <w:r>
                    <w:rPr>
                      <w:rFonts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14" w:type="dxa"/>
                  <w:vMerge w:val="continue"/>
                  <w:vAlign w:val="center"/>
                </w:tcPr>
                <w:p>
                  <w:pPr>
                    <w:spacing w:line="360" w:lineRule="auto"/>
                    <w:jc w:val="center"/>
                    <w:rPr>
                      <w:rFonts w:eastAsiaTheme="minorEastAsia"/>
                    </w:rPr>
                  </w:pPr>
                </w:p>
              </w:tc>
              <w:tc>
                <w:tcPr>
                  <w:tcW w:w="802" w:type="dxa"/>
                  <w:vMerge w:val="continue"/>
                  <w:vAlign w:val="center"/>
                </w:tcPr>
                <w:p>
                  <w:pPr>
                    <w:spacing w:line="360" w:lineRule="auto"/>
                    <w:jc w:val="center"/>
                    <w:rPr>
                      <w:rFonts w:eastAsiaTheme="minorEastAsia"/>
                    </w:rPr>
                  </w:pPr>
                </w:p>
              </w:tc>
              <w:tc>
                <w:tcPr>
                  <w:tcW w:w="1732" w:type="dxa"/>
                  <w:gridSpan w:val="2"/>
                  <w:vMerge w:val="continue"/>
                  <w:vAlign w:val="center"/>
                </w:tcPr>
                <w:p>
                  <w:pPr>
                    <w:spacing w:line="360" w:lineRule="auto"/>
                    <w:jc w:val="center"/>
                    <w:rPr>
                      <w:rFonts w:eastAsiaTheme="minorEastAsia"/>
                    </w:rPr>
                  </w:pPr>
                </w:p>
              </w:tc>
              <w:tc>
                <w:tcPr>
                  <w:tcW w:w="850" w:type="dxa"/>
                  <w:vMerge w:val="continue"/>
                  <w:vAlign w:val="center"/>
                </w:tcPr>
                <w:p>
                  <w:pPr>
                    <w:spacing w:line="360" w:lineRule="auto"/>
                    <w:jc w:val="center"/>
                    <w:rPr>
                      <w:rFonts w:eastAsiaTheme="minorEastAsia"/>
                    </w:rPr>
                  </w:pPr>
                </w:p>
              </w:tc>
              <w:tc>
                <w:tcPr>
                  <w:tcW w:w="567" w:type="dxa"/>
                  <w:vMerge w:val="continue"/>
                  <w:vAlign w:val="center"/>
                </w:tcPr>
                <w:p>
                  <w:pPr>
                    <w:spacing w:line="360" w:lineRule="auto"/>
                    <w:jc w:val="center"/>
                    <w:rPr>
                      <w:rFonts w:eastAsiaTheme="minorEastAsia"/>
                    </w:rPr>
                  </w:pPr>
                </w:p>
              </w:tc>
              <w:tc>
                <w:tcPr>
                  <w:tcW w:w="710" w:type="dxa"/>
                  <w:vMerge w:val="continue"/>
                  <w:vAlign w:val="center"/>
                </w:tcPr>
                <w:p>
                  <w:pPr>
                    <w:spacing w:line="360" w:lineRule="auto"/>
                    <w:jc w:val="center"/>
                    <w:rPr>
                      <w:rFonts w:eastAsiaTheme="minorEastAsia"/>
                    </w:rPr>
                  </w:pPr>
                </w:p>
              </w:tc>
              <w:tc>
                <w:tcPr>
                  <w:tcW w:w="708" w:type="dxa"/>
                  <w:vMerge w:val="continue"/>
                  <w:vAlign w:val="center"/>
                </w:tcPr>
                <w:p>
                  <w:pPr>
                    <w:spacing w:line="360" w:lineRule="auto"/>
                    <w:jc w:val="center"/>
                    <w:rPr>
                      <w:rFonts w:eastAsiaTheme="minorEastAsia"/>
                    </w:rPr>
                  </w:pPr>
                </w:p>
              </w:tc>
              <w:tc>
                <w:tcPr>
                  <w:tcW w:w="753" w:type="dxa"/>
                  <w:vMerge w:val="continue"/>
                  <w:vAlign w:val="center"/>
                </w:tcPr>
                <w:p>
                  <w:pPr>
                    <w:spacing w:line="360" w:lineRule="auto"/>
                    <w:jc w:val="center"/>
                    <w:rPr>
                      <w:rFonts w:eastAsiaTheme="minorEastAsia"/>
                    </w:rPr>
                  </w:pPr>
                </w:p>
              </w:tc>
              <w:tc>
                <w:tcPr>
                  <w:tcW w:w="770" w:type="dxa"/>
                  <w:vAlign w:val="center"/>
                </w:tcPr>
                <w:p>
                  <w:pPr>
                    <w:spacing w:line="360" w:lineRule="auto"/>
                    <w:jc w:val="center"/>
                    <w:rPr>
                      <w:rFonts w:eastAsiaTheme="minorEastAsia"/>
                    </w:rPr>
                  </w:pPr>
                  <w:r>
                    <w:rPr>
                      <w:rFonts w:eastAsiaTheme="minorEastAsia"/>
                    </w:rPr>
                    <w:t>石油类</w:t>
                  </w:r>
                </w:p>
              </w:tc>
              <w:tc>
                <w:tcPr>
                  <w:tcW w:w="740" w:type="dxa"/>
                  <w:vAlign w:val="center"/>
                </w:tcPr>
                <w:p>
                  <w:pPr>
                    <w:spacing w:line="360" w:lineRule="auto"/>
                    <w:jc w:val="center"/>
                    <w:rPr>
                      <w:rFonts w:eastAsiaTheme="minorEastAsia"/>
                    </w:rPr>
                  </w:pPr>
                  <w:r>
                    <w:rPr>
                      <w:rFonts w:hint="eastAsia" w:eastAsiaTheme="minorEastAsia"/>
                    </w:rPr>
                    <w:t>1</w:t>
                  </w:r>
                </w:p>
              </w:tc>
            </w:tr>
          </w:tbl>
          <w:p>
            <w:pPr>
              <w:adjustRightInd w:val="0"/>
              <w:snapToGrid w:val="0"/>
              <w:spacing w:before="156" w:beforeLines="50" w:line="360" w:lineRule="auto"/>
              <w:ind w:firstLine="420"/>
            </w:pPr>
            <w:r>
              <w:t>废水污染物排放标准见下表</w:t>
            </w:r>
            <w:r>
              <w:rPr>
                <w:rFonts w:hint="eastAsia"/>
              </w:rPr>
              <w:t>：</w:t>
            </w:r>
          </w:p>
          <w:p>
            <w:pPr>
              <w:pStyle w:val="17"/>
              <w:spacing w:beforeLines="0"/>
              <w:ind w:firstLine="0" w:firstLineChars="0"/>
              <w:jc w:val="center"/>
              <w:rPr>
                <w:b/>
                <w:bCs/>
                <w:sz w:val="21"/>
                <w:szCs w:val="21"/>
              </w:rPr>
            </w:pPr>
            <w:r>
              <w:rPr>
                <w:rFonts w:hint="eastAsia"/>
                <w:b/>
                <w:bCs/>
                <w:sz w:val="21"/>
                <w:szCs w:val="21"/>
              </w:rPr>
              <w:t>表4-7  废水污染物排放执行标准表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978"/>
              <w:gridCol w:w="881"/>
              <w:gridCol w:w="3560"/>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Merge w:val="restart"/>
                  <w:vAlign w:val="center"/>
                </w:tcPr>
                <w:p>
                  <w:pPr>
                    <w:pStyle w:val="2"/>
                    <w:spacing w:before="0" w:after="0" w:line="360" w:lineRule="auto"/>
                    <w:ind w:right="0"/>
                    <w:jc w:val="center"/>
                    <w:rPr>
                      <w:rFonts w:hAnsiTheme="minorEastAsia" w:eastAsiaTheme="minorEastAsia"/>
                      <w:b/>
                      <w:sz w:val="21"/>
                      <w:szCs w:val="21"/>
                    </w:rPr>
                  </w:pPr>
                  <w:r>
                    <w:rPr>
                      <w:rFonts w:hAnsiTheme="minorEastAsia" w:eastAsiaTheme="minorEastAsia"/>
                      <w:b/>
                      <w:sz w:val="21"/>
                      <w:szCs w:val="21"/>
                    </w:rPr>
                    <w:t>序号</w:t>
                  </w:r>
                </w:p>
              </w:tc>
              <w:tc>
                <w:tcPr>
                  <w:tcW w:w="978" w:type="dxa"/>
                  <w:vMerge w:val="restart"/>
                  <w:vAlign w:val="center"/>
                </w:tcPr>
                <w:p>
                  <w:pPr>
                    <w:pStyle w:val="2"/>
                    <w:spacing w:before="0" w:after="0" w:line="360" w:lineRule="auto"/>
                    <w:ind w:right="0"/>
                    <w:jc w:val="center"/>
                    <w:rPr>
                      <w:rFonts w:hAnsiTheme="minorEastAsia" w:eastAsiaTheme="minorEastAsia"/>
                      <w:b/>
                      <w:sz w:val="21"/>
                      <w:szCs w:val="21"/>
                    </w:rPr>
                  </w:pPr>
                  <w:r>
                    <w:rPr>
                      <w:rFonts w:hAnsiTheme="minorEastAsia" w:eastAsiaTheme="minorEastAsia"/>
                      <w:b/>
                      <w:sz w:val="21"/>
                      <w:szCs w:val="21"/>
                    </w:rPr>
                    <w:t>排放口编号</w:t>
                  </w:r>
                </w:p>
              </w:tc>
              <w:tc>
                <w:tcPr>
                  <w:tcW w:w="881" w:type="dxa"/>
                  <w:vMerge w:val="restart"/>
                  <w:vAlign w:val="center"/>
                </w:tcPr>
                <w:p>
                  <w:pPr>
                    <w:pStyle w:val="2"/>
                    <w:spacing w:before="0" w:after="0" w:line="360" w:lineRule="auto"/>
                    <w:ind w:right="0"/>
                    <w:jc w:val="center"/>
                    <w:rPr>
                      <w:rFonts w:hAnsiTheme="minorEastAsia" w:eastAsiaTheme="minorEastAsia"/>
                      <w:b/>
                      <w:sz w:val="21"/>
                      <w:szCs w:val="21"/>
                    </w:rPr>
                  </w:pPr>
                  <w:r>
                    <w:rPr>
                      <w:rFonts w:hAnsiTheme="minorEastAsia" w:eastAsiaTheme="minorEastAsia"/>
                      <w:b/>
                      <w:sz w:val="21"/>
                      <w:szCs w:val="21"/>
                    </w:rPr>
                    <w:t>污染物种类</w:t>
                  </w:r>
                </w:p>
              </w:tc>
              <w:tc>
                <w:tcPr>
                  <w:tcW w:w="5707" w:type="dxa"/>
                  <w:gridSpan w:val="2"/>
                  <w:vAlign w:val="center"/>
                </w:tcPr>
                <w:p>
                  <w:pPr>
                    <w:pStyle w:val="2"/>
                    <w:spacing w:before="0" w:after="0" w:line="360" w:lineRule="auto"/>
                    <w:ind w:right="0"/>
                    <w:jc w:val="center"/>
                    <w:rPr>
                      <w:rFonts w:hAnsiTheme="minorEastAsia" w:eastAsiaTheme="minorEastAsia"/>
                      <w:b/>
                      <w:sz w:val="21"/>
                      <w:szCs w:val="21"/>
                    </w:rPr>
                  </w:pPr>
                  <w:r>
                    <w:rPr>
                      <w:rFonts w:hAnsiTheme="minorEastAsia" w:eastAsiaTheme="minorEastAsia"/>
                      <w:b/>
                      <w:sz w:val="21"/>
                      <w:szCs w:val="21"/>
                    </w:rPr>
                    <w:t>国家或地方污染物排放标准及其他按规定商定的排放协议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Merge w:val="continue"/>
                  <w:vAlign w:val="center"/>
                </w:tcPr>
                <w:p>
                  <w:pPr>
                    <w:pStyle w:val="2"/>
                    <w:spacing w:before="0" w:after="0" w:line="360" w:lineRule="auto"/>
                    <w:ind w:right="0"/>
                    <w:jc w:val="center"/>
                    <w:rPr>
                      <w:rFonts w:hAnsiTheme="minorEastAsia" w:eastAsiaTheme="minorEastAsia"/>
                      <w:b/>
                      <w:sz w:val="21"/>
                      <w:szCs w:val="21"/>
                    </w:rPr>
                  </w:pPr>
                </w:p>
              </w:tc>
              <w:tc>
                <w:tcPr>
                  <w:tcW w:w="978" w:type="dxa"/>
                  <w:vMerge w:val="continue"/>
                  <w:vAlign w:val="center"/>
                </w:tcPr>
                <w:p>
                  <w:pPr>
                    <w:pStyle w:val="2"/>
                    <w:spacing w:before="0" w:after="0" w:line="360" w:lineRule="auto"/>
                    <w:ind w:right="0"/>
                    <w:jc w:val="center"/>
                    <w:rPr>
                      <w:rFonts w:hAnsiTheme="minorEastAsia" w:eastAsiaTheme="minorEastAsia"/>
                      <w:b/>
                      <w:sz w:val="21"/>
                      <w:szCs w:val="21"/>
                    </w:rPr>
                  </w:pPr>
                </w:p>
              </w:tc>
              <w:tc>
                <w:tcPr>
                  <w:tcW w:w="881" w:type="dxa"/>
                  <w:vMerge w:val="continue"/>
                  <w:vAlign w:val="center"/>
                </w:tcPr>
                <w:p>
                  <w:pPr>
                    <w:pStyle w:val="2"/>
                    <w:spacing w:before="0" w:after="0" w:line="360" w:lineRule="auto"/>
                    <w:ind w:right="0"/>
                    <w:jc w:val="center"/>
                    <w:rPr>
                      <w:rFonts w:hAnsiTheme="minorEastAsia" w:eastAsiaTheme="minorEastAsia"/>
                      <w:b/>
                      <w:sz w:val="21"/>
                      <w:szCs w:val="21"/>
                    </w:rPr>
                  </w:pPr>
                </w:p>
              </w:tc>
              <w:tc>
                <w:tcPr>
                  <w:tcW w:w="3560" w:type="dxa"/>
                  <w:vAlign w:val="center"/>
                </w:tcPr>
                <w:p>
                  <w:pPr>
                    <w:pStyle w:val="2"/>
                    <w:spacing w:before="0" w:after="0" w:line="360" w:lineRule="auto"/>
                    <w:ind w:right="0"/>
                    <w:jc w:val="center"/>
                    <w:rPr>
                      <w:rFonts w:hAnsiTheme="minorEastAsia" w:eastAsiaTheme="minorEastAsia"/>
                      <w:b/>
                      <w:sz w:val="21"/>
                      <w:szCs w:val="21"/>
                    </w:rPr>
                  </w:pPr>
                  <w:r>
                    <w:rPr>
                      <w:rFonts w:hAnsiTheme="minorEastAsia" w:eastAsiaTheme="minorEastAsia"/>
                      <w:b/>
                      <w:sz w:val="21"/>
                      <w:szCs w:val="21"/>
                    </w:rPr>
                    <w:t>名称</w:t>
                  </w:r>
                </w:p>
              </w:tc>
              <w:tc>
                <w:tcPr>
                  <w:tcW w:w="2147" w:type="dxa"/>
                  <w:vAlign w:val="center"/>
                </w:tcPr>
                <w:p>
                  <w:pPr>
                    <w:pStyle w:val="2"/>
                    <w:spacing w:before="0" w:after="0" w:line="360" w:lineRule="auto"/>
                    <w:ind w:right="0"/>
                    <w:jc w:val="center"/>
                    <w:rPr>
                      <w:rFonts w:hAnsiTheme="minorEastAsia" w:eastAsiaTheme="minorEastAsia"/>
                      <w:b/>
                      <w:sz w:val="21"/>
                      <w:szCs w:val="21"/>
                    </w:rPr>
                  </w:pPr>
                  <w:r>
                    <w:rPr>
                      <w:rFonts w:hAnsiTheme="minorEastAsia" w:eastAsiaTheme="minorEastAsia"/>
                      <w:b/>
                      <w:sz w:val="21"/>
                      <w:szCs w:val="21"/>
                    </w:rPr>
                    <w:t>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pPr>
                    <w:pStyle w:val="2"/>
                    <w:spacing w:before="0" w:after="0" w:line="360" w:lineRule="auto"/>
                    <w:ind w:right="0"/>
                    <w:jc w:val="center"/>
                    <w:rPr>
                      <w:rFonts w:hAnsiTheme="minorEastAsia" w:eastAsiaTheme="minorEastAsia"/>
                      <w:sz w:val="21"/>
                      <w:szCs w:val="21"/>
                    </w:rPr>
                  </w:pPr>
                  <w:r>
                    <w:rPr>
                      <w:rFonts w:hAnsiTheme="minorEastAsia" w:eastAsiaTheme="minorEastAsia"/>
                      <w:sz w:val="21"/>
                      <w:szCs w:val="21"/>
                    </w:rPr>
                    <w:t>1</w:t>
                  </w:r>
                </w:p>
              </w:tc>
              <w:tc>
                <w:tcPr>
                  <w:tcW w:w="978" w:type="dxa"/>
                  <w:vMerge w:val="restart"/>
                  <w:vAlign w:val="center"/>
                </w:tcPr>
                <w:p>
                  <w:pPr>
                    <w:pStyle w:val="2"/>
                    <w:spacing w:before="0" w:after="0" w:line="360" w:lineRule="auto"/>
                    <w:ind w:right="0"/>
                    <w:jc w:val="center"/>
                    <w:rPr>
                      <w:rFonts w:hAnsiTheme="minorEastAsia" w:eastAsiaTheme="minorEastAsia"/>
                      <w:sz w:val="21"/>
                      <w:szCs w:val="21"/>
                    </w:rPr>
                  </w:pPr>
                  <w:r>
                    <w:rPr>
                      <w:rFonts w:hAnsiTheme="minorEastAsia" w:eastAsiaTheme="minorEastAsia"/>
                      <w:sz w:val="21"/>
                      <w:szCs w:val="21"/>
                    </w:rPr>
                    <w:t>DW001</w:t>
                  </w:r>
                </w:p>
              </w:tc>
              <w:tc>
                <w:tcPr>
                  <w:tcW w:w="881" w:type="dxa"/>
                  <w:vAlign w:val="center"/>
                </w:tcPr>
                <w:p>
                  <w:pPr>
                    <w:pStyle w:val="2"/>
                    <w:spacing w:before="0" w:after="0" w:line="360" w:lineRule="auto"/>
                    <w:ind w:right="0"/>
                    <w:jc w:val="center"/>
                    <w:rPr>
                      <w:rFonts w:hAnsiTheme="minorEastAsia" w:eastAsiaTheme="minorEastAsia"/>
                      <w:sz w:val="21"/>
                      <w:szCs w:val="21"/>
                    </w:rPr>
                  </w:pPr>
                  <w:r>
                    <w:rPr>
                      <w:rFonts w:hAnsiTheme="minorEastAsia" w:eastAsiaTheme="minorEastAsia"/>
                      <w:sz w:val="21"/>
                      <w:szCs w:val="21"/>
                    </w:rPr>
                    <w:t>pH</w:t>
                  </w:r>
                </w:p>
              </w:tc>
              <w:tc>
                <w:tcPr>
                  <w:tcW w:w="3560" w:type="dxa"/>
                  <w:vMerge w:val="restart"/>
                  <w:vAlign w:val="center"/>
                </w:tcPr>
                <w:p>
                  <w:pPr>
                    <w:pStyle w:val="2"/>
                    <w:spacing w:before="0" w:after="0" w:line="360" w:lineRule="auto"/>
                    <w:ind w:right="0"/>
                    <w:jc w:val="center"/>
                    <w:rPr>
                      <w:rFonts w:hAnsiTheme="minorEastAsia" w:eastAsiaTheme="minorEastAsia"/>
                      <w:sz w:val="21"/>
                      <w:szCs w:val="21"/>
                    </w:rPr>
                  </w:pPr>
                  <w:r>
                    <w:rPr>
                      <w:rFonts w:hint="eastAsia" w:hAnsiTheme="minorEastAsia" w:eastAsiaTheme="minorEastAsia"/>
                      <w:sz w:val="21"/>
                      <w:szCs w:val="21"/>
                    </w:rPr>
                    <w:t>《污水综合排放标准》（</w:t>
                  </w:r>
                  <w:r>
                    <w:rPr>
                      <w:rFonts w:hAnsiTheme="minorEastAsia" w:eastAsiaTheme="minorEastAsia"/>
                      <w:sz w:val="21"/>
                      <w:szCs w:val="21"/>
                    </w:rPr>
                    <w:t>GB8978-1996</w:t>
                  </w:r>
                  <w:r>
                    <w:rPr>
                      <w:rFonts w:hint="eastAsia" w:hAnsiTheme="minorEastAsia" w:eastAsiaTheme="minorEastAsia"/>
                      <w:sz w:val="21"/>
                      <w:szCs w:val="21"/>
                    </w:rPr>
                    <w:t>）三级标准同时满足德山污水处理厂进水水质要求</w:t>
                  </w:r>
                </w:p>
              </w:tc>
              <w:tc>
                <w:tcPr>
                  <w:tcW w:w="2147" w:type="dxa"/>
                  <w:vAlign w:val="center"/>
                </w:tcPr>
                <w:p>
                  <w:pPr>
                    <w:pStyle w:val="2"/>
                    <w:spacing w:before="0" w:after="0" w:line="360" w:lineRule="auto"/>
                    <w:ind w:right="0"/>
                    <w:jc w:val="center"/>
                    <w:rPr>
                      <w:rFonts w:hAnsiTheme="minorEastAsia" w:eastAsiaTheme="minorEastAsia"/>
                      <w:sz w:val="21"/>
                      <w:szCs w:val="21"/>
                    </w:rPr>
                  </w:pPr>
                  <w:r>
                    <w:rPr>
                      <w:rFonts w:hAnsiTheme="minorEastAsia" w:eastAsiaTheme="minorEastAsia"/>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pPr>
                    <w:pStyle w:val="2"/>
                    <w:spacing w:before="0" w:after="0" w:line="360" w:lineRule="auto"/>
                    <w:ind w:right="0"/>
                    <w:jc w:val="center"/>
                    <w:rPr>
                      <w:rFonts w:hAnsiTheme="minorEastAsia" w:eastAsiaTheme="minorEastAsia"/>
                      <w:sz w:val="21"/>
                      <w:szCs w:val="21"/>
                    </w:rPr>
                  </w:pPr>
                  <w:r>
                    <w:rPr>
                      <w:rFonts w:hAnsiTheme="minorEastAsia" w:eastAsiaTheme="minorEastAsia"/>
                      <w:sz w:val="21"/>
                      <w:szCs w:val="21"/>
                    </w:rPr>
                    <w:t>2</w:t>
                  </w:r>
                </w:p>
              </w:tc>
              <w:tc>
                <w:tcPr>
                  <w:tcW w:w="978" w:type="dxa"/>
                  <w:vMerge w:val="continue"/>
                  <w:vAlign w:val="center"/>
                </w:tcPr>
                <w:p>
                  <w:pPr>
                    <w:pStyle w:val="2"/>
                    <w:spacing w:before="0" w:after="0" w:line="360" w:lineRule="auto"/>
                    <w:ind w:right="0"/>
                    <w:jc w:val="center"/>
                    <w:rPr>
                      <w:rFonts w:hAnsiTheme="minorEastAsia" w:eastAsiaTheme="minorEastAsia"/>
                      <w:sz w:val="21"/>
                      <w:szCs w:val="21"/>
                    </w:rPr>
                  </w:pPr>
                </w:p>
              </w:tc>
              <w:tc>
                <w:tcPr>
                  <w:tcW w:w="881" w:type="dxa"/>
                  <w:vAlign w:val="center"/>
                </w:tcPr>
                <w:p>
                  <w:pPr>
                    <w:pStyle w:val="2"/>
                    <w:spacing w:before="0" w:after="0" w:line="360" w:lineRule="auto"/>
                    <w:ind w:right="0"/>
                    <w:jc w:val="center"/>
                    <w:rPr>
                      <w:rFonts w:hAnsiTheme="minorEastAsia" w:eastAsiaTheme="minorEastAsia"/>
                      <w:sz w:val="21"/>
                      <w:szCs w:val="21"/>
                    </w:rPr>
                  </w:pPr>
                  <w:r>
                    <w:rPr>
                      <w:rFonts w:hAnsiTheme="minorEastAsia" w:eastAsiaTheme="minorEastAsia"/>
                      <w:sz w:val="21"/>
                      <w:szCs w:val="21"/>
                    </w:rPr>
                    <w:t>COD</w:t>
                  </w:r>
                  <w:r>
                    <w:rPr>
                      <w:rFonts w:hAnsiTheme="minorEastAsia" w:eastAsiaTheme="minorEastAsia"/>
                      <w:sz w:val="21"/>
                      <w:szCs w:val="21"/>
                      <w:vertAlign w:val="subscript"/>
                    </w:rPr>
                    <w:t>Cr</w:t>
                  </w:r>
                </w:p>
              </w:tc>
              <w:tc>
                <w:tcPr>
                  <w:tcW w:w="3560" w:type="dxa"/>
                  <w:vMerge w:val="continue"/>
                  <w:vAlign w:val="center"/>
                </w:tcPr>
                <w:p>
                  <w:pPr>
                    <w:pStyle w:val="2"/>
                    <w:spacing w:before="0" w:after="0" w:line="360" w:lineRule="auto"/>
                    <w:ind w:right="0"/>
                    <w:jc w:val="center"/>
                    <w:rPr>
                      <w:rFonts w:hAnsiTheme="minorEastAsia" w:eastAsiaTheme="minorEastAsia"/>
                      <w:sz w:val="21"/>
                      <w:szCs w:val="21"/>
                    </w:rPr>
                  </w:pPr>
                </w:p>
              </w:tc>
              <w:tc>
                <w:tcPr>
                  <w:tcW w:w="2147" w:type="dxa"/>
                  <w:vAlign w:val="center"/>
                </w:tcPr>
                <w:p>
                  <w:pPr>
                    <w:pStyle w:val="2"/>
                    <w:spacing w:before="0" w:after="0" w:line="360" w:lineRule="auto"/>
                    <w:ind w:right="0"/>
                    <w:jc w:val="center"/>
                    <w:rPr>
                      <w:rFonts w:hAnsiTheme="minorEastAsia" w:eastAsiaTheme="minorEastAsia"/>
                      <w:sz w:val="21"/>
                      <w:szCs w:val="21"/>
                    </w:rPr>
                  </w:pPr>
                  <w:r>
                    <w:rPr>
                      <w:rFonts w:hint="eastAsia" w:hAnsiTheme="minorEastAsia" w:eastAsiaTheme="minorEastAsia"/>
                      <w:sz w:val="21"/>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pPr>
                    <w:pStyle w:val="2"/>
                    <w:spacing w:before="0" w:after="0" w:line="360" w:lineRule="auto"/>
                    <w:ind w:right="0"/>
                    <w:jc w:val="center"/>
                    <w:rPr>
                      <w:rFonts w:hAnsiTheme="minorEastAsia" w:eastAsiaTheme="minorEastAsia"/>
                      <w:sz w:val="21"/>
                      <w:szCs w:val="21"/>
                    </w:rPr>
                  </w:pPr>
                  <w:r>
                    <w:rPr>
                      <w:rFonts w:hAnsiTheme="minorEastAsia" w:eastAsiaTheme="minorEastAsia"/>
                      <w:sz w:val="21"/>
                      <w:szCs w:val="21"/>
                    </w:rPr>
                    <w:t>3</w:t>
                  </w:r>
                </w:p>
              </w:tc>
              <w:tc>
                <w:tcPr>
                  <w:tcW w:w="978" w:type="dxa"/>
                  <w:vMerge w:val="continue"/>
                  <w:vAlign w:val="center"/>
                </w:tcPr>
                <w:p>
                  <w:pPr>
                    <w:pStyle w:val="2"/>
                    <w:spacing w:before="0" w:after="0" w:line="360" w:lineRule="auto"/>
                    <w:ind w:right="0"/>
                    <w:jc w:val="center"/>
                    <w:rPr>
                      <w:rFonts w:hAnsiTheme="minorEastAsia" w:eastAsiaTheme="minorEastAsia"/>
                      <w:sz w:val="21"/>
                      <w:szCs w:val="21"/>
                    </w:rPr>
                  </w:pPr>
                </w:p>
              </w:tc>
              <w:tc>
                <w:tcPr>
                  <w:tcW w:w="881" w:type="dxa"/>
                  <w:vAlign w:val="center"/>
                </w:tcPr>
                <w:p>
                  <w:pPr>
                    <w:pStyle w:val="2"/>
                    <w:spacing w:before="0" w:after="0" w:line="360" w:lineRule="auto"/>
                    <w:ind w:right="0"/>
                    <w:jc w:val="center"/>
                    <w:rPr>
                      <w:rFonts w:hAnsiTheme="minorEastAsia" w:eastAsiaTheme="minorEastAsia"/>
                      <w:sz w:val="21"/>
                      <w:szCs w:val="21"/>
                    </w:rPr>
                  </w:pPr>
                  <w:r>
                    <w:rPr>
                      <w:rFonts w:hAnsiTheme="minorEastAsia" w:eastAsiaTheme="minorEastAsia"/>
                      <w:sz w:val="21"/>
                      <w:szCs w:val="21"/>
                    </w:rPr>
                    <w:t>BOD</w:t>
                  </w:r>
                  <w:r>
                    <w:rPr>
                      <w:rFonts w:hAnsiTheme="minorEastAsia" w:eastAsiaTheme="minorEastAsia"/>
                      <w:sz w:val="21"/>
                      <w:szCs w:val="21"/>
                      <w:vertAlign w:val="subscript"/>
                    </w:rPr>
                    <w:t>5</w:t>
                  </w:r>
                </w:p>
              </w:tc>
              <w:tc>
                <w:tcPr>
                  <w:tcW w:w="3560" w:type="dxa"/>
                  <w:vMerge w:val="continue"/>
                  <w:vAlign w:val="center"/>
                </w:tcPr>
                <w:p>
                  <w:pPr>
                    <w:pStyle w:val="2"/>
                    <w:spacing w:before="0" w:after="0" w:line="360" w:lineRule="auto"/>
                    <w:ind w:right="0"/>
                    <w:jc w:val="center"/>
                    <w:rPr>
                      <w:rFonts w:hAnsiTheme="minorEastAsia" w:eastAsiaTheme="minorEastAsia"/>
                      <w:sz w:val="21"/>
                      <w:szCs w:val="21"/>
                    </w:rPr>
                  </w:pPr>
                </w:p>
              </w:tc>
              <w:tc>
                <w:tcPr>
                  <w:tcW w:w="2147" w:type="dxa"/>
                  <w:vAlign w:val="center"/>
                </w:tcPr>
                <w:p>
                  <w:pPr>
                    <w:pStyle w:val="2"/>
                    <w:spacing w:before="0" w:after="0" w:line="360" w:lineRule="auto"/>
                    <w:ind w:right="0"/>
                    <w:jc w:val="center"/>
                    <w:rPr>
                      <w:rFonts w:hAnsiTheme="minorEastAsia" w:eastAsiaTheme="minorEastAsia"/>
                      <w:sz w:val="21"/>
                      <w:szCs w:val="21"/>
                    </w:rPr>
                  </w:pPr>
                  <w:r>
                    <w:rPr>
                      <w:rFonts w:hint="eastAsia" w:hAnsiTheme="minorEastAsia" w:eastAsiaTheme="minorEastAsia"/>
                      <w:sz w:val="21"/>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pPr>
                    <w:pStyle w:val="2"/>
                    <w:spacing w:before="0" w:after="0" w:line="360" w:lineRule="auto"/>
                    <w:ind w:right="0"/>
                    <w:jc w:val="center"/>
                    <w:rPr>
                      <w:rFonts w:hAnsiTheme="minorEastAsia" w:eastAsiaTheme="minorEastAsia"/>
                      <w:sz w:val="21"/>
                      <w:szCs w:val="21"/>
                    </w:rPr>
                  </w:pPr>
                  <w:r>
                    <w:rPr>
                      <w:rFonts w:hAnsiTheme="minorEastAsia" w:eastAsiaTheme="minorEastAsia"/>
                      <w:sz w:val="21"/>
                      <w:szCs w:val="21"/>
                    </w:rPr>
                    <w:t>4</w:t>
                  </w:r>
                </w:p>
              </w:tc>
              <w:tc>
                <w:tcPr>
                  <w:tcW w:w="978" w:type="dxa"/>
                  <w:vMerge w:val="continue"/>
                  <w:vAlign w:val="center"/>
                </w:tcPr>
                <w:p>
                  <w:pPr>
                    <w:pStyle w:val="2"/>
                    <w:spacing w:before="0" w:after="0" w:line="360" w:lineRule="auto"/>
                    <w:ind w:right="0"/>
                    <w:jc w:val="center"/>
                    <w:rPr>
                      <w:rFonts w:hAnsiTheme="minorEastAsia" w:eastAsiaTheme="minorEastAsia"/>
                      <w:sz w:val="21"/>
                      <w:szCs w:val="21"/>
                    </w:rPr>
                  </w:pPr>
                </w:p>
              </w:tc>
              <w:tc>
                <w:tcPr>
                  <w:tcW w:w="881" w:type="dxa"/>
                  <w:vAlign w:val="center"/>
                </w:tcPr>
                <w:p>
                  <w:pPr>
                    <w:pStyle w:val="2"/>
                    <w:spacing w:before="0" w:after="0" w:line="360" w:lineRule="auto"/>
                    <w:ind w:right="0"/>
                    <w:jc w:val="center"/>
                    <w:rPr>
                      <w:rFonts w:hAnsiTheme="minorEastAsia" w:eastAsiaTheme="minorEastAsia"/>
                      <w:sz w:val="21"/>
                      <w:szCs w:val="21"/>
                    </w:rPr>
                  </w:pPr>
                  <w:r>
                    <w:rPr>
                      <w:rFonts w:hAnsiTheme="minorEastAsia" w:eastAsiaTheme="minorEastAsia"/>
                      <w:sz w:val="21"/>
                      <w:szCs w:val="21"/>
                    </w:rPr>
                    <w:t>SS</w:t>
                  </w:r>
                </w:p>
              </w:tc>
              <w:tc>
                <w:tcPr>
                  <w:tcW w:w="3560" w:type="dxa"/>
                  <w:vMerge w:val="continue"/>
                  <w:vAlign w:val="center"/>
                </w:tcPr>
                <w:p>
                  <w:pPr>
                    <w:pStyle w:val="2"/>
                    <w:spacing w:before="0" w:after="0" w:line="360" w:lineRule="auto"/>
                    <w:ind w:right="0"/>
                    <w:jc w:val="center"/>
                    <w:rPr>
                      <w:rFonts w:hAnsiTheme="minorEastAsia" w:eastAsiaTheme="minorEastAsia"/>
                      <w:sz w:val="21"/>
                      <w:szCs w:val="21"/>
                    </w:rPr>
                  </w:pPr>
                </w:p>
              </w:tc>
              <w:tc>
                <w:tcPr>
                  <w:tcW w:w="2147" w:type="dxa"/>
                  <w:vAlign w:val="center"/>
                </w:tcPr>
                <w:p>
                  <w:pPr>
                    <w:pStyle w:val="2"/>
                    <w:spacing w:before="0" w:after="0" w:line="360" w:lineRule="auto"/>
                    <w:ind w:right="0"/>
                    <w:jc w:val="center"/>
                    <w:rPr>
                      <w:rFonts w:hAnsiTheme="minorEastAsia" w:eastAsiaTheme="minorEastAsia"/>
                      <w:sz w:val="21"/>
                      <w:szCs w:val="21"/>
                    </w:rPr>
                  </w:pPr>
                  <w:r>
                    <w:rPr>
                      <w:rFonts w:hint="eastAsia" w:hAnsiTheme="minorEastAsia" w:eastAsiaTheme="minorEastAsia"/>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pPr>
                    <w:pStyle w:val="2"/>
                    <w:spacing w:before="0" w:after="0" w:line="360" w:lineRule="auto"/>
                    <w:ind w:right="0"/>
                    <w:jc w:val="center"/>
                    <w:rPr>
                      <w:rFonts w:hAnsiTheme="minorEastAsia" w:eastAsiaTheme="minorEastAsia"/>
                      <w:sz w:val="21"/>
                      <w:szCs w:val="21"/>
                    </w:rPr>
                  </w:pPr>
                  <w:r>
                    <w:rPr>
                      <w:rFonts w:hint="eastAsia" w:hAnsiTheme="minorEastAsia" w:eastAsiaTheme="minorEastAsia"/>
                      <w:sz w:val="21"/>
                      <w:szCs w:val="21"/>
                    </w:rPr>
                    <w:t>5</w:t>
                  </w:r>
                </w:p>
              </w:tc>
              <w:tc>
                <w:tcPr>
                  <w:tcW w:w="978" w:type="dxa"/>
                  <w:vMerge w:val="continue"/>
                  <w:vAlign w:val="center"/>
                </w:tcPr>
                <w:p>
                  <w:pPr>
                    <w:pStyle w:val="2"/>
                    <w:spacing w:before="0" w:after="0" w:line="360" w:lineRule="auto"/>
                    <w:ind w:right="0"/>
                    <w:jc w:val="center"/>
                    <w:rPr>
                      <w:rFonts w:hAnsiTheme="minorEastAsia" w:eastAsiaTheme="minorEastAsia"/>
                      <w:sz w:val="21"/>
                      <w:szCs w:val="21"/>
                    </w:rPr>
                  </w:pPr>
                </w:p>
              </w:tc>
              <w:tc>
                <w:tcPr>
                  <w:tcW w:w="881" w:type="dxa"/>
                  <w:vAlign w:val="center"/>
                </w:tcPr>
                <w:p>
                  <w:pPr>
                    <w:pStyle w:val="2"/>
                    <w:spacing w:before="0" w:after="0" w:line="360" w:lineRule="auto"/>
                    <w:ind w:right="0"/>
                    <w:jc w:val="center"/>
                    <w:rPr>
                      <w:rFonts w:hAnsiTheme="minorEastAsia" w:eastAsiaTheme="minorEastAsia"/>
                      <w:sz w:val="21"/>
                      <w:szCs w:val="21"/>
                    </w:rPr>
                  </w:pPr>
                  <w:r>
                    <w:rPr>
                      <w:rFonts w:hAnsiTheme="minorEastAsia" w:eastAsiaTheme="minorEastAsia"/>
                      <w:sz w:val="21"/>
                      <w:szCs w:val="21"/>
                    </w:rPr>
                    <w:t>氨氮</w:t>
                  </w:r>
                </w:p>
              </w:tc>
              <w:tc>
                <w:tcPr>
                  <w:tcW w:w="3560" w:type="dxa"/>
                  <w:vMerge w:val="continue"/>
                  <w:vAlign w:val="center"/>
                </w:tcPr>
                <w:p>
                  <w:pPr>
                    <w:pStyle w:val="2"/>
                    <w:spacing w:before="0" w:after="0" w:line="360" w:lineRule="auto"/>
                    <w:ind w:right="0"/>
                    <w:jc w:val="center"/>
                    <w:rPr>
                      <w:rFonts w:hAnsiTheme="minorEastAsia" w:eastAsiaTheme="minorEastAsia"/>
                      <w:sz w:val="21"/>
                      <w:szCs w:val="21"/>
                    </w:rPr>
                  </w:pPr>
                </w:p>
              </w:tc>
              <w:tc>
                <w:tcPr>
                  <w:tcW w:w="2147" w:type="dxa"/>
                  <w:vAlign w:val="center"/>
                </w:tcPr>
                <w:p>
                  <w:pPr>
                    <w:pStyle w:val="2"/>
                    <w:spacing w:before="0" w:after="0" w:line="360" w:lineRule="auto"/>
                    <w:ind w:right="0"/>
                    <w:jc w:val="center"/>
                    <w:rPr>
                      <w:rFonts w:hAnsiTheme="minorEastAsia" w:eastAsiaTheme="minorEastAsia"/>
                      <w:sz w:val="21"/>
                      <w:szCs w:val="21"/>
                    </w:rPr>
                  </w:pPr>
                  <w:r>
                    <w:rPr>
                      <w:rFonts w:hint="eastAsia" w:hAnsiTheme="minorEastAsia" w:eastAsiaTheme="minorEastAsia"/>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pPr>
                    <w:pStyle w:val="2"/>
                    <w:spacing w:before="0" w:after="0" w:line="360" w:lineRule="auto"/>
                    <w:ind w:right="0"/>
                    <w:jc w:val="center"/>
                    <w:rPr>
                      <w:rFonts w:hAnsiTheme="minorEastAsia" w:eastAsiaTheme="minorEastAsia"/>
                      <w:sz w:val="21"/>
                      <w:szCs w:val="21"/>
                    </w:rPr>
                  </w:pPr>
                  <w:r>
                    <w:rPr>
                      <w:rFonts w:hint="eastAsia" w:hAnsiTheme="minorEastAsia" w:eastAsiaTheme="minorEastAsia"/>
                      <w:sz w:val="21"/>
                      <w:szCs w:val="21"/>
                    </w:rPr>
                    <w:t>6</w:t>
                  </w:r>
                </w:p>
              </w:tc>
              <w:tc>
                <w:tcPr>
                  <w:tcW w:w="978" w:type="dxa"/>
                  <w:vMerge w:val="continue"/>
                  <w:vAlign w:val="center"/>
                </w:tcPr>
                <w:p>
                  <w:pPr>
                    <w:pStyle w:val="2"/>
                    <w:spacing w:before="0" w:after="0" w:line="360" w:lineRule="auto"/>
                    <w:ind w:right="0"/>
                    <w:jc w:val="center"/>
                    <w:rPr>
                      <w:rFonts w:hAnsiTheme="minorEastAsia" w:eastAsiaTheme="minorEastAsia"/>
                      <w:sz w:val="21"/>
                      <w:szCs w:val="21"/>
                    </w:rPr>
                  </w:pPr>
                </w:p>
              </w:tc>
              <w:tc>
                <w:tcPr>
                  <w:tcW w:w="881" w:type="dxa"/>
                  <w:vAlign w:val="center"/>
                </w:tcPr>
                <w:p>
                  <w:pPr>
                    <w:pStyle w:val="2"/>
                    <w:spacing w:before="0" w:after="0" w:line="360" w:lineRule="auto"/>
                    <w:ind w:right="0"/>
                    <w:jc w:val="center"/>
                    <w:rPr>
                      <w:rFonts w:hAnsiTheme="minorEastAsia" w:eastAsiaTheme="minorEastAsia"/>
                      <w:sz w:val="21"/>
                      <w:szCs w:val="21"/>
                    </w:rPr>
                  </w:pPr>
                  <w:r>
                    <w:rPr>
                      <w:rFonts w:hAnsiTheme="minorEastAsia" w:eastAsiaTheme="minorEastAsia"/>
                      <w:sz w:val="21"/>
                      <w:szCs w:val="21"/>
                    </w:rPr>
                    <w:t>石油类</w:t>
                  </w:r>
                </w:p>
              </w:tc>
              <w:tc>
                <w:tcPr>
                  <w:tcW w:w="3560" w:type="dxa"/>
                  <w:vMerge w:val="continue"/>
                  <w:vAlign w:val="center"/>
                </w:tcPr>
                <w:p>
                  <w:pPr>
                    <w:pStyle w:val="2"/>
                    <w:spacing w:before="0" w:after="0" w:line="360" w:lineRule="auto"/>
                    <w:ind w:right="0"/>
                    <w:jc w:val="center"/>
                    <w:rPr>
                      <w:rFonts w:hAnsiTheme="minorEastAsia" w:eastAsiaTheme="minorEastAsia"/>
                      <w:sz w:val="21"/>
                      <w:szCs w:val="21"/>
                    </w:rPr>
                  </w:pPr>
                </w:p>
              </w:tc>
              <w:tc>
                <w:tcPr>
                  <w:tcW w:w="2147" w:type="dxa"/>
                  <w:vAlign w:val="center"/>
                </w:tcPr>
                <w:p>
                  <w:pPr>
                    <w:pStyle w:val="2"/>
                    <w:spacing w:before="0" w:after="0" w:line="360" w:lineRule="auto"/>
                    <w:ind w:right="0"/>
                    <w:jc w:val="center"/>
                    <w:rPr>
                      <w:rFonts w:hAnsiTheme="minorEastAsia" w:eastAsiaTheme="minorEastAsia"/>
                      <w:sz w:val="21"/>
                      <w:szCs w:val="21"/>
                    </w:rPr>
                  </w:pPr>
                  <w:r>
                    <w:rPr>
                      <w:rFonts w:hint="eastAsia" w:hAnsiTheme="minorEastAsia" w:eastAsiaTheme="minorEastAsia"/>
                      <w:sz w:val="21"/>
                      <w:szCs w:val="21"/>
                    </w:rPr>
                    <w:t>20</w:t>
                  </w:r>
                </w:p>
              </w:tc>
            </w:tr>
          </w:tbl>
          <w:p>
            <w:pPr>
              <w:adjustRightInd w:val="0"/>
              <w:snapToGrid w:val="0"/>
              <w:spacing w:before="156" w:beforeLines="50" w:line="360" w:lineRule="auto"/>
              <w:ind w:firstLine="420"/>
            </w:pPr>
            <w:r>
              <w:rPr>
                <w:rFonts w:hint="eastAsia"/>
              </w:rPr>
              <w:t>（5）废水污染源监测计划</w:t>
            </w:r>
          </w:p>
          <w:p>
            <w:pPr>
              <w:snapToGrid w:val="0"/>
              <w:spacing w:line="360" w:lineRule="auto"/>
              <w:ind w:firstLine="420"/>
            </w:pPr>
            <w:r>
              <w:rPr>
                <w:rFonts w:hint="eastAsia"/>
              </w:rPr>
              <w:t>根据《排污单位自行监测技术指南 总则》（HJ819-2017）、《排污许可证申请与核发技术规范 食品制造工业—方便食品、食品及饲料添加剂制造工业》（HJ 1030.3—2019）等规定的监测要求，制定本项目监测计划，具体要求见下表。</w:t>
            </w:r>
          </w:p>
          <w:p>
            <w:pPr>
              <w:pStyle w:val="17"/>
              <w:spacing w:beforeLines="0"/>
              <w:ind w:firstLine="0" w:firstLineChars="0"/>
              <w:jc w:val="center"/>
              <w:rPr>
                <w:b/>
                <w:bCs/>
                <w:sz w:val="21"/>
                <w:szCs w:val="21"/>
              </w:rPr>
            </w:pPr>
            <w:r>
              <w:rPr>
                <w:rFonts w:hint="eastAsia"/>
                <w:b/>
                <w:bCs/>
                <w:sz w:val="21"/>
                <w:szCs w:val="21"/>
              </w:rPr>
              <w:t>表4-8  监测计划</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2012"/>
              <w:gridCol w:w="1293"/>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Align w:val="center"/>
                </w:tcPr>
                <w:p>
                  <w:pPr>
                    <w:spacing w:line="360" w:lineRule="auto"/>
                    <w:jc w:val="center"/>
                    <w:rPr>
                      <w:b/>
                    </w:rPr>
                  </w:pPr>
                  <w:r>
                    <w:rPr>
                      <w:b/>
                    </w:rPr>
                    <w:t>监测点位</w:t>
                  </w:r>
                </w:p>
              </w:tc>
              <w:tc>
                <w:tcPr>
                  <w:tcW w:w="1985" w:type="dxa"/>
                  <w:vAlign w:val="center"/>
                </w:tcPr>
                <w:p>
                  <w:pPr>
                    <w:spacing w:line="360" w:lineRule="auto"/>
                    <w:jc w:val="center"/>
                    <w:rPr>
                      <w:b/>
                    </w:rPr>
                  </w:pPr>
                  <w:r>
                    <w:rPr>
                      <w:b/>
                    </w:rPr>
                    <w:t>监测因子</w:t>
                  </w:r>
                </w:p>
              </w:tc>
              <w:tc>
                <w:tcPr>
                  <w:tcW w:w="1276" w:type="dxa"/>
                  <w:vAlign w:val="center"/>
                </w:tcPr>
                <w:p>
                  <w:pPr>
                    <w:spacing w:line="360" w:lineRule="auto"/>
                    <w:jc w:val="center"/>
                    <w:rPr>
                      <w:b/>
                    </w:rPr>
                  </w:pPr>
                  <w:r>
                    <w:rPr>
                      <w:b/>
                    </w:rPr>
                    <w:t>监测频次</w:t>
                  </w:r>
                </w:p>
              </w:tc>
              <w:tc>
                <w:tcPr>
                  <w:tcW w:w="3256" w:type="dxa"/>
                  <w:vAlign w:val="center"/>
                </w:tcPr>
                <w:p>
                  <w:pPr>
                    <w:spacing w:line="360" w:lineRule="auto"/>
                    <w:jc w:val="center"/>
                    <w:rPr>
                      <w:b/>
                    </w:rPr>
                  </w:pPr>
                  <w:r>
                    <w:rPr>
                      <w:b/>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Align w:val="center"/>
                </w:tcPr>
                <w:p>
                  <w:pPr>
                    <w:spacing w:line="360" w:lineRule="auto"/>
                    <w:jc w:val="center"/>
                  </w:pPr>
                  <w:r>
                    <w:t>废水总排口（DW001）</w:t>
                  </w:r>
                </w:p>
              </w:tc>
              <w:tc>
                <w:tcPr>
                  <w:tcW w:w="1985" w:type="dxa"/>
                  <w:vAlign w:val="center"/>
                </w:tcPr>
                <w:p>
                  <w:pPr>
                    <w:spacing w:line="360" w:lineRule="auto"/>
                    <w:jc w:val="center"/>
                  </w:pPr>
                  <w:r>
                    <w:t>pH、COD</w:t>
                  </w:r>
                  <w:r>
                    <w:rPr>
                      <w:vertAlign w:val="subscript"/>
                    </w:rPr>
                    <w:t>Cr</w:t>
                  </w:r>
                  <w:r>
                    <w:t>、SS、氨氮、石油类</w:t>
                  </w:r>
                  <w:r>
                    <w:rPr>
                      <w:rFonts w:hint="eastAsia"/>
                    </w:rPr>
                    <w:t>、BOD</w:t>
                  </w:r>
                  <w:r>
                    <w:rPr>
                      <w:rFonts w:hint="eastAsia"/>
                      <w:vertAlign w:val="subscript"/>
                    </w:rPr>
                    <w:t>5</w:t>
                  </w:r>
                  <w:r>
                    <w:t xml:space="preserve"> </w:t>
                  </w:r>
                </w:p>
              </w:tc>
              <w:tc>
                <w:tcPr>
                  <w:tcW w:w="1276" w:type="dxa"/>
                  <w:vAlign w:val="center"/>
                </w:tcPr>
                <w:p>
                  <w:pPr>
                    <w:spacing w:line="360" w:lineRule="auto"/>
                    <w:jc w:val="center"/>
                  </w:pPr>
                  <w:r>
                    <w:t>1次/半年</w:t>
                  </w:r>
                </w:p>
              </w:tc>
              <w:tc>
                <w:tcPr>
                  <w:tcW w:w="3256" w:type="dxa"/>
                  <w:vAlign w:val="center"/>
                </w:tcPr>
                <w:p>
                  <w:pPr>
                    <w:spacing w:line="360" w:lineRule="auto"/>
                    <w:jc w:val="center"/>
                  </w:pPr>
                  <w:r>
                    <w:t>《污水综合排放标准》（GB8978-1996）三级标准及德山污水处理厂的进水水质要求</w:t>
                  </w:r>
                </w:p>
              </w:tc>
            </w:tr>
          </w:tbl>
          <w:p>
            <w:pPr>
              <w:adjustRightInd w:val="0"/>
              <w:snapToGrid w:val="0"/>
              <w:spacing w:before="156" w:beforeLines="50" w:line="360" w:lineRule="auto"/>
              <w:rPr>
                <w:b/>
                <w:bCs/>
              </w:rPr>
            </w:pPr>
            <w:r>
              <w:rPr>
                <w:rFonts w:hint="eastAsia"/>
                <w:b/>
                <w:bCs/>
              </w:rPr>
              <w:t>3、噪声</w:t>
            </w:r>
          </w:p>
          <w:p>
            <w:pPr>
              <w:snapToGrid w:val="0"/>
              <w:spacing w:line="360" w:lineRule="auto"/>
              <w:ind w:firstLine="420"/>
            </w:pPr>
            <w:r>
              <w:rPr>
                <w:rFonts w:hint="eastAsia"/>
              </w:rPr>
              <w:t>（1）噪声源强</w:t>
            </w:r>
          </w:p>
          <w:p>
            <w:pPr>
              <w:snapToGrid w:val="0"/>
              <w:spacing w:line="360" w:lineRule="auto"/>
              <w:ind w:firstLine="420"/>
            </w:pPr>
            <w:r>
              <w:rPr>
                <w:rFonts w:hint="eastAsia"/>
              </w:rPr>
              <w:t>本项目噪声源来源于空压机、炒制机等设备的机械噪声，噪声源强约为70~90 dB(A)。项目产生的噪声源均为间断声源。项目产生噪声的时段仅在白天。室内噪声源调查清单见下表。</w:t>
            </w:r>
          </w:p>
          <w:p>
            <w:pPr>
              <w:pStyle w:val="17"/>
              <w:spacing w:beforeLines="0"/>
              <w:ind w:firstLine="0" w:firstLineChars="0"/>
              <w:jc w:val="center"/>
              <w:rPr>
                <w:b/>
                <w:bCs/>
                <w:sz w:val="21"/>
                <w:szCs w:val="21"/>
              </w:rPr>
            </w:pPr>
            <w:r>
              <w:rPr>
                <w:rFonts w:hint="eastAsia"/>
                <w:b/>
                <w:bCs/>
                <w:sz w:val="21"/>
                <w:szCs w:val="21"/>
              </w:rPr>
              <w:t>表4-9  室内声源调查清单</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998"/>
              <w:gridCol w:w="855"/>
              <w:gridCol w:w="1344"/>
              <w:gridCol w:w="765"/>
              <w:gridCol w:w="848"/>
              <w:gridCol w:w="765"/>
              <w:gridCol w:w="823"/>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8" w:type="pct"/>
                  <w:vMerge w:val="restart"/>
                  <w:vAlign w:val="center"/>
                </w:tcPr>
                <w:p>
                  <w:pPr>
                    <w:spacing w:line="360" w:lineRule="auto"/>
                    <w:jc w:val="center"/>
                    <w:rPr>
                      <w:b/>
                    </w:rPr>
                  </w:pPr>
                  <w:r>
                    <w:rPr>
                      <w:b/>
                    </w:rPr>
                    <w:t>建筑物名称</w:t>
                  </w:r>
                </w:p>
              </w:tc>
              <w:tc>
                <w:tcPr>
                  <w:tcW w:w="622" w:type="pct"/>
                  <w:vMerge w:val="restart"/>
                  <w:vAlign w:val="center"/>
                </w:tcPr>
                <w:p>
                  <w:pPr>
                    <w:spacing w:line="360" w:lineRule="auto"/>
                    <w:jc w:val="center"/>
                    <w:rPr>
                      <w:b/>
                    </w:rPr>
                  </w:pPr>
                  <w:r>
                    <w:rPr>
                      <w:b/>
                    </w:rPr>
                    <w:t>声源名称</w:t>
                  </w:r>
                </w:p>
              </w:tc>
              <w:tc>
                <w:tcPr>
                  <w:tcW w:w="533" w:type="pct"/>
                  <w:vMerge w:val="restart"/>
                  <w:vAlign w:val="center"/>
                </w:tcPr>
                <w:p>
                  <w:pPr>
                    <w:spacing w:line="360" w:lineRule="auto"/>
                    <w:jc w:val="center"/>
                    <w:rPr>
                      <w:b/>
                    </w:rPr>
                  </w:pPr>
                  <w:r>
                    <w:rPr>
                      <w:rFonts w:hint="eastAsia"/>
                      <w:b/>
                    </w:rPr>
                    <w:t>源强dB(A)</w:t>
                  </w:r>
                </w:p>
              </w:tc>
              <w:tc>
                <w:tcPr>
                  <w:tcW w:w="838" w:type="pct"/>
                  <w:vMerge w:val="restart"/>
                  <w:vAlign w:val="center"/>
                </w:tcPr>
                <w:p>
                  <w:pPr>
                    <w:spacing w:line="360" w:lineRule="auto"/>
                    <w:jc w:val="center"/>
                    <w:rPr>
                      <w:b/>
                    </w:rPr>
                  </w:pPr>
                  <w:r>
                    <w:rPr>
                      <w:b/>
                    </w:rPr>
                    <w:t>声源控制措施</w:t>
                  </w:r>
                </w:p>
              </w:tc>
              <w:tc>
                <w:tcPr>
                  <w:tcW w:w="477" w:type="pct"/>
                  <w:vMerge w:val="restart"/>
                  <w:vAlign w:val="center"/>
                </w:tcPr>
                <w:p>
                  <w:pPr>
                    <w:spacing w:line="360" w:lineRule="auto"/>
                    <w:jc w:val="center"/>
                    <w:rPr>
                      <w:b/>
                    </w:rPr>
                  </w:pPr>
                  <w:r>
                    <w:rPr>
                      <w:b/>
                    </w:rPr>
                    <w:t>距室内边界距离</w:t>
                  </w:r>
                </w:p>
              </w:tc>
              <w:tc>
                <w:tcPr>
                  <w:tcW w:w="529" w:type="pct"/>
                  <w:vMerge w:val="restart"/>
                  <w:vAlign w:val="center"/>
                </w:tcPr>
                <w:p>
                  <w:pPr>
                    <w:spacing w:line="360" w:lineRule="auto"/>
                    <w:jc w:val="center"/>
                    <w:rPr>
                      <w:b/>
                    </w:rPr>
                  </w:pPr>
                  <w:r>
                    <w:rPr>
                      <w:b/>
                    </w:rPr>
                    <w:t>室内边界声级</w:t>
                  </w:r>
                  <w:r>
                    <w:rPr>
                      <w:rFonts w:hint="eastAsia"/>
                      <w:b/>
                    </w:rPr>
                    <w:t>/dB(A)</w:t>
                  </w:r>
                </w:p>
              </w:tc>
              <w:tc>
                <w:tcPr>
                  <w:tcW w:w="477" w:type="pct"/>
                  <w:vMerge w:val="restart"/>
                  <w:vAlign w:val="center"/>
                </w:tcPr>
                <w:p>
                  <w:pPr>
                    <w:spacing w:line="360" w:lineRule="auto"/>
                    <w:jc w:val="center"/>
                    <w:rPr>
                      <w:b/>
                    </w:rPr>
                  </w:pPr>
                  <w:r>
                    <w:rPr>
                      <w:rFonts w:hint="eastAsia"/>
                      <w:b/>
                    </w:rPr>
                    <w:t>建筑物插入损失/ dB(A)</w:t>
                  </w:r>
                </w:p>
              </w:tc>
              <w:tc>
                <w:tcPr>
                  <w:tcW w:w="975" w:type="pct"/>
                  <w:gridSpan w:val="2"/>
                  <w:vAlign w:val="center"/>
                </w:tcPr>
                <w:p>
                  <w:pPr>
                    <w:spacing w:line="360" w:lineRule="auto"/>
                    <w:jc w:val="center"/>
                    <w:rPr>
                      <w:b/>
                    </w:rPr>
                  </w:pPr>
                  <w:r>
                    <w:rPr>
                      <w:rFonts w:hint="eastAsia"/>
                      <w:b/>
                    </w:rPr>
                    <w:t>建筑物外噪声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8" w:type="pct"/>
                  <w:vMerge w:val="continue"/>
                  <w:vAlign w:val="center"/>
                </w:tcPr>
                <w:p>
                  <w:pPr>
                    <w:spacing w:line="360" w:lineRule="auto"/>
                    <w:jc w:val="center"/>
                    <w:rPr>
                      <w:b/>
                    </w:rPr>
                  </w:pPr>
                </w:p>
              </w:tc>
              <w:tc>
                <w:tcPr>
                  <w:tcW w:w="622" w:type="pct"/>
                  <w:vMerge w:val="continue"/>
                  <w:vAlign w:val="center"/>
                </w:tcPr>
                <w:p>
                  <w:pPr>
                    <w:spacing w:line="360" w:lineRule="auto"/>
                    <w:jc w:val="center"/>
                    <w:rPr>
                      <w:b/>
                    </w:rPr>
                  </w:pPr>
                </w:p>
              </w:tc>
              <w:tc>
                <w:tcPr>
                  <w:tcW w:w="533" w:type="pct"/>
                  <w:vMerge w:val="continue"/>
                  <w:vAlign w:val="center"/>
                </w:tcPr>
                <w:p>
                  <w:pPr>
                    <w:spacing w:line="360" w:lineRule="auto"/>
                    <w:jc w:val="center"/>
                    <w:rPr>
                      <w:b/>
                    </w:rPr>
                  </w:pPr>
                </w:p>
              </w:tc>
              <w:tc>
                <w:tcPr>
                  <w:tcW w:w="838" w:type="pct"/>
                  <w:vMerge w:val="continue"/>
                  <w:vAlign w:val="center"/>
                </w:tcPr>
                <w:p>
                  <w:pPr>
                    <w:spacing w:line="360" w:lineRule="auto"/>
                    <w:jc w:val="center"/>
                    <w:rPr>
                      <w:b/>
                    </w:rPr>
                  </w:pPr>
                </w:p>
              </w:tc>
              <w:tc>
                <w:tcPr>
                  <w:tcW w:w="477" w:type="pct"/>
                  <w:vMerge w:val="continue"/>
                  <w:vAlign w:val="center"/>
                </w:tcPr>
                <w:p>
                  <w:pPr>
                    <w:spacing w:line="360" w:lineRule="auto"/>
                    <w:jc w:val="center"/>
                    <w:rPr>
                      <w:b/>
                    </w:rPr>
                  </w:pPr>
                </w:p>
              </w:tc>
              <w:tc>
                <w:tcPr>
                  <w:tcW w:w="529" w:type="pct"/>
                  <w:vMerge w:val="continue"/>
                  <w:vAlign w:val="center"/>
                </w:tcPr>
                <w:p>
                  <w:pPr>
                    <w:spacing w:line="360" w:lineRule="auto"/>
                    <w:jc w:val="center"/>
                    <w:rPr>
                      <w:b/>
                    </w:rPr>
                  </w:pPr>
                </w:p>
              </w:tc>
              <w:tc>
                <w:tcPr>
                  <w:tcW w:w="477" w:type="pct"/>
                  <w:vMerge w:val="continue"/>
                  <w:vAlign w:val="center"/>
                </w:tcPr>
                <w:p>
                  <w:pPr>
                    <w:spacing w:line="360" w:lineRule="auto"/>
                    <w:jc w:val="center"/>
                    <w:rPr>
                      <w:b/>
                    </w:rPr>
                  </w:pPr>
                </w:p>
              </w:tc>
              <w:tc>
                <w:tcPr>
                  <w:tcW w:w="513" w:type="pct"/>
                  <w:vAlign w:val="center"/>
                </w:tcPr>
                <w:p>
                  <w:pPr>
                    <w:spacing w:line="360" w:lineRule="auto"/>
                    <w:jc w:val="center"/>
                    <w:rPr>
                      <w:b/>
                    </w:rPr>
                  </w:pPr>
                  <w:r>
                    <w:rPr>
                      <w:rFonts w:hint="eastAsia"/>
                      <w:b/>
                    </w:rPr>
                    <w:t>声压级/dB(A)</w:t>
                  </w:r>
                </w:p>
              </w:tc>
              <w:tc>
                <w:tcPr>
                  <w:tcW w:w="462" w:type="pct"/>
                  <w:vAlign w:val="center"/>
                </w:tcPr>
                <w:p>
                  <w:pPr>
                    <w:spacing w:line="360" w:lineRule="auto"/>
                    <w:jc w:val="center"/>
                    <w:rPr>
                      <w:b/>
                    </w:rPr>
                  </w:pPr>
                  <w:r>
                    <w:rPr>
                      <w:rFonts w:hint="eastAsia"/>
                      <w:b/>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8" w:type="pct"/>
                  <w:vMerge w:val="restart"/>
                  <w:vAlign w:val="center"/>
                </w:tcPr>
                <w:p>
                  <w:pPr>
                    <w:spacing w:line="360" w:lineRule="auto"/>
                    <w:jc w:val="center"/>
                  </w:pPr>
                  <w:r>
                    <w:rPr>
                      <w:rFonts w:hint="eastAsia" w:hAnsiTheme="minorEastAsia" w:eastAsiaTheme="minorEastAsia"/>
                    </w:rPr>
                    <w:t>生产车间</w:t>
                  </w:r>
                </w:p>
              </w:tc>
              <w:tc>
                <w:tcPr>
                  <w:tcW w:w="622" w:type="pct"/>
                  <w:vAlign w:val="center"/>
                </w:tcPr>
                <w:p>
                  <w:pPr>
                    <w:spacing w:line="360" w:lineRule="auto"/>
                    <w:jc w:val="center"/>
                  </w:pPr>
                  <w:r>
                    <w:rPr>
                      <w:rFonts w:hint="eastAsia"/>
                    </w:rPr>
                    <w:t>炒制设备</w:t>
                  </w:r>
                </w:p>
              </w:tc>
              <w:tc>
                <w:tcPr>
                  <w:tcW w:w="533" w:type="pct"/>
                  <w:vAlign w:val="center"/>
                </w:tcPr>
                <w:p>
                  <w:pPr>
                    <w:spacing w:line="360" w:lineRule="auto"/>
                    <w:jc w:val="center"/>
                  </w:pPr>
                  <w:r>
                    <w:rPr>
                      <w:rFonts w:hint="eastAsia"/>
                    </w:rPr>
                    <w:t>70~80</w:t>
                  </w:r>
                </w:p>
              </w:tc>
              <w:tc>
                <w:tcPr>
                  <w:tcW w:w="838" w:type="pct"/>
                  <w:vAlign w:val="center"/>
                </w:tcPr>
                <w:p>
                  <w:pPr>
                    <w:spacing w:line="360" w:lineRule="auto"/>
                    <w:jc w:val="center"/>
                  </w:pPr>
                  <w:r>
                    <w:rPr>
                      <w:rFonts w:hint="eastAsia"/>
                    </w:rPr>
                    <w:t>建筑隔声、距离衰减</w:t>
                  </w:r>
                </w:p>
              </w:tc>
              <w:tc>
                <w:tcPr>
                  <w:tcW w:w="477" w:type="pct"/>
                  <w:vAlign w:val="center"/>
                </w:tcPr>
                <w:p>
                  <w:pPr>
                    <w:spacing w:line="360" w:lineRule="auto"/>
                    <w:jc w:val="center"/>
                  </w:pPr>
                  <w:r>
                    <w:rPr>
                      <w:rFonts w:hint="eastAsia"/>
                    </w:rPr>
                    <w:t>20</w:t>
                  </w:r>
                </w:p>
              </w:tc>
              <w:tc>
                <w:tcPr>
                  <w:tcW w:w="529" w:type="pct"/>
                  <w:vAlign w:val="center"/>
                </w:tcPr>
                <w:p>
                  <w:pPr>
                    <w:spacing w:line="360" w:lineRule="auto"/>
                    <w:jc w:val="center"/>
                  </w:pPr>
                  <w:r>
                    <w:rPr>
                      <w:rFonts w:hint="eastAsia"/>
                    </w:rPr>
                    <w:t>70</w:t>
                  </w:r>
                </w:p>
              </w:tc>
              <w:tc>
                <w:tcPr>
                  <w:tcW w:w="477" w:type="pct"/>
                  <w:vMerge w:val="restart"/>
                  <w:vAlign w:val="center"/>
                </w:tcPr>
                <w:p>
                  <w:pPr>
                    <w:spacing w:line="360" w:lineRule="auto"/>
                    <w:jc w:val="center"/>
                  </w:pPr>
                  <w:r>
                    <w:rPr>
                      <w:rFonts w:hint="eastAsia"/>
                    </w:rPr>
                    <w:t>5</w:t>
                  </w:r>
                </w:p>
              </w:tc>
              <w:tc>
                <w:tcPr>
                  <w:tcW w:w="513" w:type="pct"/>
                  <w:vMerge w:val="restart"/>
                  <w:vAlign w:val="center"/>
                </w:tcPr>
                <w:p>
                  <w:pPr>
                    <w:spacing w:line="360" w:lineRule="auto"/>
                    <w:jc w:val="center"/>
                  </w:pPr>
                  <w:r>
                    <w:rPr>
                      <w:rFonts w:hint="eastAsia"/>
                    </w:rPr>
                    <w:t>68.1</w:t>
                  </w:r>
                </w:p>
              </w:tc>
              <w:tc>
                <w:tcPr>
                  <w:tcW w:w="462" w:type="pct"/>
                  <w:vMerge w:val="restart"/>
                  <w:vAlign w:val="center"/>
                </w:tcPr>
                <w:p>
                  <w:pPr>
                    <w:spacing w:line="360" w:lineRule="auto"/>
                    <w:jc w:val="center"/>
                  </w:pPr>
                  <w:r>
                    <w:rPr>
                      <w:rFonts w:hint="eastAsi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8" w:type="pct"/>
                  <w:vMerge w:val="continue"/>
                  <w:vAlign w:val="center"/>
                </w:tcPr>
                <w:p>
                  <w:pPr>
                    <w:spacing w:line="360" w:lineRule="auto"/>
                    <w:jc w:val="center"/>
                  </w:pPr>
                </w:p>
              </w:tc>
              <w:tc>
                <w:tcPr>
                  <w:tcW w:w="622" w:type="pct"/>
                  <w:vAlign w:val="center"/>
                </w:tcPr>
                <w:p>
                  <w:pPr>
                    <w:spacing w:line="360" w:lineRule="auto"/>
                    <w:jc w:val="center"/>
                  </w:pPr>
                  <w:r>
                    <w:t>磨粉机</w:t>
                  </w:r>
                </w:p>
              </w:tc>
              <w:tc>
                <w:tcPr>
                  <w:tcW w:w="533" w:type="pct"/>
                  <w:vAlign w:val="center"/>
                </w:tcPr>
                <w:p>
                  <w:pPr>
                    <w:spacing w:line="360" w:lineRule="auto"/>
                    <w:jc w:val="center"/>
                  </w:pPr>
                  <w:r>
                    <w:rPr>
                      <w:rFonts w:hint="eastAsia"/>
                    </w:rPr>
                    <w:t>75~85</w:t>
                  </w:r>
                </w:p>
              </w:tc>
              <w:tc>
                <w:tcPr>
                  <w:tcW w:w="838" w:type="pct"/>
                  <w:vAlign w:val="center"/>
                </w:tcPr>
                <w:p>
                  <w:pPr>
                    <w:spacing w:line="360" w:lineRule="auto"/>
                    <w:jc w:val="center"/>
                  </w:pPr>
                  <w:r>
                    <w:rPr>
                      <w:rFonts w:hint="eastAsia"/>
                    </w:rPr>
                    <w:t>建筑隔声、距离衰减</w:t>
                  </w:r>
                </w:p>
              </w:tc>
              <w:tc>
                <w:tcPr>
                  <w:tcW w:w="477" w:type="pct"/>
                  <w:vAlign w:val="center"/>
                </w:tcPr>
                <w:p>
                  <w:pPr>
                    <w:spacing w:line="360" w:lineRule="auto"/>
                    <w:jc w:val="center"/>
                  </w:pPr>
                  <w:r>
                    <w:rPr>
                      <w:rFonts w:hint="eastAsia"/>
                    </w:rPr>
                    <w:t>15</w:t>
                  </w:r>
                </w:p>
              </w:tc>
              <w:tc>
                <w:tcPr>
                  <w:tcW w:w="529" w:type="pct"/>
                  <w:vAlign w:val="center"/>
                </w:tcPr>
                <w:p>
                  <w:pPr>
                    <w:spacing w:line="360" w:lineRule="auto"/>
                    <w:jc w:val="center"/>
                  </w:pPr>
                  <w:r>
                    <w:rPr>
                      <w:rFonts w:hint="eastAsia"/>
                    </w:rPr>
                    <w:t>66.3</w:t>
                  </w:r>
                </w:p>
              </w:tc>
              <w:tc>
                <w:tcPr>
                  <w:tcW w:w="477" w:type="pct"/>
                  <w:vMerge w:val="continue"/>
                  <w:vAlign w:val="center"/>
                </w:tcPr>
                <w:p>
                  <w:pPr>
                    <w:spacing w:line="360" w:lineRule="auto"/>
                    <w:jc w:val="center"/>
                  </w:pPr>
                </w:p>
              </w:tc>
              <w:tc>
                <w:tcPr>
                  <w:tcW w:w="513" w:type="pct"/>
                  <w:vMerge w:val="continue"/>
                  <w:vAlign w:val="center"/>
                </w:tcPr>
                <w:p>
                  <w:pPr>
                    <w:spacing w:line="360" w:lineRule="auto"/>
                    <w:jc w:val="center"/>
                  </w:pPr>
                </w:p>
              </w:tc>
              <w:tc>
                <w:tcPr>
                  <w:tcW w:w="462"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8" w:type="pct"/>
                  <w:vMerge w:val="continue"/>
                  <w:vAlign w:val="center"/>
                </w:tcPr>
                <w:p>
                  <w:pPr>
                    <w:spacing w:line="360" w:lineRule="auto"/>
                    <w:jc w:val="center"/>
                  </w:pPr>
                </w:p>
              </w:tc>
              <w:tc>
                <w:tcPr>
                  <w:tcW w:w="622" w:type="pct"/>
                  <w:vAlign w:val="center"/>
                </w:tcPr>
                <w:p>
                  <w:pPr>
                    <w:spacing w:line="360" w:lineRule="auto"/>
                    <w:jc w:val="center"/>
                  </w:pPr>
                  <w:r>
                    <w:rPr>
                      <w:rFonts w:hint="eastAsia"/>
                    </w:rPr>
                    <w:t>空压机</w:t>
                  </w:r>
                </w:p>
              </w:tc>
              <w:tc>
                <w:tcPr>
                  <w:tcW w:w="533" w:type="pct"/>
                  <w:vAlign w:val="center"/>
                </w:tcPr>
                <w:p>
                  <w:pPr>
                    <w:spacing w:line="360" w:lineRule="auto"/>
                    <w:jc w:val="center"/>
                  </w:pPr>
                  <w:r>
                    <w:rPr>
                      <w:rFonts w:hint="eastAsia"/>
                    </w:rPr>
                    <w:t>80~90</w:t>
                  </w:r>
                </w:p>
              </w:tc>
              <w:tc>
                <w:tcPr>
                  <w:tcW w:w="838" w:type="pct"/>
                  <w:vAlign w:val="center"/>
                </w:tcPr>
                <w:p>
                  <w:pPr>
                    <w:spacing w:line="360" w:lineRule="auto"/>
                    <w:jc w:val="center"/>
                  </w:pPr>
                  <w:r>
                    <w:rPr>
                      <w:rFonts w:hint="eastAsia"/>
                    </w:rPr>
                    <w:t>减振、距离衰减</w:t>
                  </w:r>
                </w:p>
              </w:tc>
              <w:tc>
                <w:tcPr>
                  <w:tcW w:w="477" w:type="pct"/>
                  <w:vAlign w:val="center"/>
                </w:tcPr>
                <w:p>
                  <w:pPr>
                    <w:spacing w:line="360" w:lineRule="auto"/>
                    <w:jc w:val="center"/>
                  </w:pPr>
                  <w:r>
                    <w:rPr>
                      <w:rFonts w:hint="eastAsia"/>
                    </w:rPr>
                    <w:t>18</w:t>
                  </w:r>
                </w:p>
              </w:tc>
              <w:tc>
                <w:tcPr>
                  <w:tcW w:w="529" w:type="pct"/>
                  <w:vAlign w:val="center"/>
                </w:tcPr>
                <w:p>
                  <w:pPr>
                    <w:spacing w:line="360" w:lineRule="auto"/>
                    <w:jc w:val="center"/>
                  </w:pPr>
                  <w:r>
                    <w:rPr>
                      <w:rFonts w:hint="eastAsia"/>
                    </w:rPr>
                    <w:t>67.9</w:t>
                  </w:r>
                </w:p>
              </w:tc>
              <w:tc>
                <w:tcPr>
                  <w:tcW w:w="477" w:type="pct"/>
                  <w:vMerge w:val="continue"/>
                  <w:vAlign w:val="center"/>
                </w:tcPr>
                <w:p>
                  <w:pPr>
                    <w:spacing w:line="360" w:lineRule="auto"/>
                    <w:jc w:val="center"/>
                  </w:pPr>
                </w:p>
              </w:tc>
              <w:tc>
                <w:tcPr>
                  <w:tcW w:w="513" w:type="pct"/>
                  <w:vMerge w:val="continue"/>
                  <w:vAlign w:val="center"/>
                </w:tcPr>
                <w:p>
                  <w:pPr>
                    <w:spacing w:line="360" w:lineRule="auto"/>
                    <w:jc w:val="center"/>
                  </w:pPr>
                </w:p>
              </w:tc>
              <w:tc>
                <w:tcPr>
                  <w:tcW w:w="462" w:type="pct"/>
                  <w:vMerge w:val="continue"/>
                  <w:vAlign w:val="center"/>
                </w:tcPr>
                <w:p>
                  <w:pPr>
                    <w:spacing w:line="360" w:lineRule="auto"/>
                    <w:jc w:val="center"/>
                  </w:pPr>
                </w:p>
              </w:tc>
            </w:tr>
          </w:tbl>
          <w:p>
            <w:pPr>
              <w:adjustRightInd w:val="0"/>
              <w:snapToGrid w:val="0"/>
              <w:spacing w:before="156" w:beforeLines="50" w:line="360" w:lineRule="auto"/>
              <w:ind w:firstLine="420"/>
            </w:pPr>
            <w:r>
              <w:rPr>
                <w:rFonts w:hint="eastAsia"/>
              </w:rPr>
              <w:t>项目拟采取的噪声防治措施如下：</w:t>
            </w:r>
          </w:p>
          <w:p>
            <w:pPr>
              <w:snapToGrid w:val="0"/>
              <w:spacing w:line="360" w:lineRule="auto"/>
              <w:ind w:firstLine="420"/>
            </w:pPr>
            <w:r>
              <w:rPr>
                <w:rFonts w:hint="eastAsia"/>
              </w:rPr>
              <w:t>①尽可能选用环保低噪型设备，车间内各设备合理的布置，尽量布置在远离居民区一侧，且设备作基础减振等防治措施，从源头上降低噪声水平；</w:t>
            </w:r>
          </w:p>
          <w:p>
            <w:pPr>
              <w:snapToGrid w:val="0"/>
              <w:spacing w:line="360" w:lineRule="auto"/>
              <w:ind w:firstLine="420"/>
            </w:pPr>
            <w:r>
              <w:rPr>
                <w:rFonts w:hint="eastAsia"/>
              </w:rPr>
              <w:t>②打包压实机应采取减振基座；</w:t>
            </w:r>
          </w:p>
          <w:p>
            <w:pPr>
              <w:snapToGrid w:val="0"/>
              <w:spacing w:line="360" w:lineRule="auto"/>
              <w:ind w:firstLine="420"/>
            </w:pPr>
            <w:r>
              <w:rPr>
                <w:rFonts w:hint="eastAsia"/>
              </w:rPr>
              <w:t>③高噪声设备机房安装隔声门窗；厂房内设备噪声经墙体进行隔声处理；</w:t>
            </w:r>
          </w:p>
          <w:p>
            <w:pPr>
              <w:snapToGrid w:val="0"/>
              <w:spacing w:line="360" w:lineRule="auto"/>
              <w:ind w:firstLine="420"/>
            </w:pPr>
            <w:r>
              <w:rPr>
                <w:rFonts w:hint="eastAsia"/>
              </w:rPr>
              <w:t>④在运行过程中，维护设备使其保持最佳状态，降低因设备磨损产生的噪声。</w:t>
            </w:r>
          </w:p>
          <w:p>
            <w:pPr>
              <w:snapToGrid w:val="0"/>
              <w:spacing w:line="360" w:lineRule="auto"/>
              <w:ind w:firstLine="420"/>
            </w:pPr>
            <w:r>
              <w:rPr>
                <w:rFonts w:hint="eastAsia"/>
              </w:rPr>
              <w:t>（2）影响分析</w:t>
            </w:r>
          </w:p>
          <w:p>
            <w:pPr>
              <w:snapToGrid w:val="0"/>
              <w:spacing w:line="360" w:lineRule="auto"/>
              <w:ind w:firstLine="420"/>
            </w:pPr>
            <w:r>
              <w:rPr>
                <w:rFonts w:hint="eastAsia"/>
              </w:rPr>
              <w:t>①预测模式</w:t>
            </w:r>
          </w:p>
          <w:p>
            <w:pPr>
              <w:snapToGrid w:val="0"/>
              <w:spacing w:line="360" w:lineRule="auto"/>
              <w:ind w:firstLine="420"/>
            </w:pPr>
            <w:r>
              <w:rPr>
                <w:rFonts w:hint="eastAsia"/>
              </w:rPr>
              <w:t>为分析项目噪声对厂界声环境和声环境敏感目标的影响，本次评价采用《环境影响评价技术导则声环境》（HJ2.4-2021）中的工业噪声预测计算模式。项目主要噪声源分为两类：室内声源和室外声源。对于室内声源，需分析围护结构的尺寸以及使用的建筑材料，确定室内声源的源强和运行的时间。</w:t>
            </w:r>
          </w:p>
          <w:p>
            <w:pPr>
              <w:snapToGrid w:val="0"/>
              <w:spacing w:line="360" w:lineRule="auto"/>
              <w:ind w:firstLine="420"/>
            </w:pPr>
            <w:r>
              <w:rPr>
                <w:rFonts w:hint="eastAsia"/>
              </w:rPr>
              <w:t>A、室内声源等效为室外声源</w:t>
            </w:r>
          </w:p>
          <w:p>
            <w:pPr>
              <w:snapToGrid w:val="0"/>
              <w:spacing w:line="360" w:lineRule="auto"/>
              <w:ind w:firstLine="420"/>
            </w:pPr>
            <w:r>
              <w:rPr>
                <w:rFonts w:hint="eastAsia"/>
              </w:rPr>
              <w:t>室内声源可采用等效室外声源声功率级法进行计算。设靠近开口处（或窗户）室内、室外某倍频带的声压级分别为Lp1和Lp2。若声源所在室内声场为近似扩散声场，则可按下式计算某一室内声源靠近围护结构处产生的倍频带声压级。</w:t>
            </w:r>
          </w:p>
          <w:p>
            <w:pPr>
              <w:spacing w:line="360" w:lineRule="auto"/>
              <w:jc w:val="center"/>
            </w:pPr>
            <w:r>
              <w:drawing>
                <wp:inline distT="0" distB="0" distL="0" distR="0">
                  <wp:extent cx="2759710" cy="1478280"/>
                  <wp:effectExtent l="19050" t="0" r="2223"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760737" cy="1478660"/>
                          </a:xfrm>
                          <a:prstGeom prst="rect">
                            <a:avLst/>
                          </a:prstGeom>
                          <a:noFill/>
                          <a:ln>
                            <a:noFill/>
                          </a:ln>
                        </pic:spPr>
                      </pic:pic>
                    </a:graphicData>
                  </a:graphic>
                </wp:inline>
              </w:drawing>
            </w:r>
          </w:p>
          <w:p>
            <w:pPr>
              <w:pStyle w:val="17"/>
              <w:spacing w:beforeLines="0"/>
              <w:ind w:firstLine="0" w:firstLineChars="0"/>
              <w:jc w:val="center"/>
              <w:rPr>
                <w:rFonts w:hAnsi="宋体"/>
                <w:b/>
                <w:bCs/>
                <w:sz w:val="21"/>
                <w:szCs w:val="21"/>
              </w:rPr>
            </w:pPr>
            <w:r>
              <w:rPr>
                <w:rFonts w:hAnsi="宋体"/>
                <w:b/>
                <w:bCs/>
                <w:sz w:val="21"/>
                <w:szCs w:val="21"/>
              </w:rPr>
              <w:t>图4-1  室内声源等效为室外声源图例</w:t>
            </w:r>
          </w:p>
          <w:p>
            <w:pPr>
              <w:spacing w:line="360" w:lineRule="auto"/>
              <w:jc w:val="center"/>
              <w:rPr>
                <w:rFonts w:eastAsiaTheme="minorEastAsia"/>
              </w:rPr>
            </w:pPr>
            <m:oMathPara>
              <m:oMath>
                <m:sSub>
                  <m:sSubPr>
                    <m:ctrlPr>
                      <w:rPr>
                        <w:rFonts w:ascii="Cambria Math" w:hAnsi="Cambria Math" w:eastAsiaTheme="minorEastAsia"/>
                      </w:rPr>
                    </m:ctrlPr>
                  </m:sSubPr>
                  <m:e>
                    <m:r>
                      <m:rPr/>
                      <w:rPr>
                        <w:rFonts w:ascii="Cambria Math" w:hAnsi="Cambria Math" w:eastAsiaTheme="minorEastAsia"/>
                      </w:rPr>
                      <m:t>L</m:t>
                    </m:r>
                    <m:ctrlPr>
                      <w:rPr>
                        <w:rFonts w:ascii="Cambria Math" w:hAnsi="Cambria Math" w:eastAsiaTheme="minorEastAsia"/>
                      </w:rPr>
                    </m:ctrlPr>
                  </m:e>
                  <m:sub>
                    <m:r>
                      <m:rPr/>
                      <w:rPr>
                        <w:rFonts w:ascii="Cambria Math" w:hAnsi="Cambria Math" w:eastAsiaTheme="minorEastAsia"/>
                      </w:rPr>
                      <m:t>p</m:t>
                    </m:r>
                    <m:r>
                      <m:rPr/>
                      <w:rPr>
                        <w:rFonts w:ascii="Cambria Math" w:eastAsiaTheme="minorEastAsia"/>
                      </w:rPr>
                      <m:t>1</m:t>
                    </m:r>
                    <m:ctrlPr>
                      <w:rPr>
                        <w:rFonts w:ascii="Cambria Math" w:hAnsi="Cambria Math" w:eastAsiaTheme="minorEastAsia"/>
                      </w:rPr>
                    </m:ctrlPr>
                  </m:sub>
                </m:sSub>
                <m:r>
                  <m:rPr/>
                  <w:rPr>
                    <w:rFonts w:ascii="Cambria Math" w:eastAsiaTheme="minorEastAsia"/>
                  </w:rPr>
                  <m:t>=</m:t>
                </m:r>
                <m:sSub>
                  <m:sSubPr>
                    <m:ctrlPr>
                      <w:rPr>
                        <w:rFonts w:ascii="Cambria Math" w:hAnsi="Cambria Math" w:eastAsiaTheme="minorEastAsia"/>
                        <w:i/>
                      </w:rPr>
                    </m:ctrlPr>
                  </m:sSubPr>
                  <m:e>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w</m:t>
                    </m:r>
                    <m:ctrlPr>
                      <w:rPr>
                        <w:rFonts w:ascii="Cambria Math" w:hAnsi="Cambria Math" w:eastAsiaTheme="minorEastAsia"/>
                        <w:i/>
                      </w:rPr>
                    </m:ctrlPr>
                  </m:sub>
                </m:sSub>
                <m:r>
                  <m:rPr/>
                  <w:rPr>
                    <w:rFonts w:ascii="Cambria Math" w:eastAsiaTheme="minorEastAsia"/>
                  </w:rPr>
                  <m:t>+10</m:t>
                </m:r>
                <m:r>
                  <m:rPr/>
                  <w:rPr>
                    <w:rFonts w:eastAsiaTheme="minorEastAsia"/>
                  </w:rPr>
                  <m:t>∙</m:t>
                </m:r>
                <m:func>
                  <m:funcPr>
                    <m:ctrlPr>
                      <w:rPr>
                        <w:rFonts w:ascii="Cambria Math" w:hAnsi="Cambria Math" w:eastAsiaTheme="minorEastAsia"/>
                        <w:i/>
                      </w:rPr>
                    </m:ctrlPr>
                  </m:funcPr>
                  <m:fName>
                    <m:r>
                      <m:rPr>
                        <m:sty m:val="p"/>
                      </m:rPr>
                      <w:rPr>
                        <w:rFonts w:ascii="Cambria Math" w:eastAsiaTheme="minorEastAsia"/>
                      </w:rPr>
                      <m:t>log</m:t>
                    </m:r>
                    <m:ctrlPr>
                      <w:rPr>
                        <w:rFonts w:ascii="Cambria Math" w:hAnsi="Cambria Math" w:eastAsiaTheme="minorEastAsia"/>
                        <w:i/>
                      </w:rPr>
                    </m:ctrlPr>
                  </m:fName>
                  <m:e>
                    <m:d>
                      <m:dPr>
                        <m:ctrlPr>
                          <w:rPr>
                            <w:rFonts w:ascii="Cambria Math" w:hAnsi="Cambria Math" w:eastAsiaTheme="minorEastAsia"/>
                            <w:i/>
                          </w:rPr>
                        </m:ctrlPr>
                      </m:dPr>
                      <m:e>
                        <m:f>
                          <m:fPr>
                            <m:ctrlPr>
                              <w:rPr>
                                <w:rFonts w:ascii="Cambria Math" w:hAnsi="Cambria Math" w:eastAsiaTheme="minorEastAsia"/>
                                <w:i/>
                              </w:rPr>
                            </m:ctrlPr>
                          </m:fPr>
                          <m:num>
                            <m:r>
                              <m:rPr/>
                              <w:rPr>
                                <w:rFonts w:ascii="Cambria Math" w:hAnsi="Cambria Math" w:eastAsiaTheme="minorEastAsia"/>
                              </w:rPr>
                              <m:t>Q</m:t>
                            </m:r>
                            <m:ctrlPr>
                              <w:rPr>
                                <w:rFonts w:ascii="Cambria Math" w:hAnsi="Cambria Math" w:eastAsiaTheme="minorEastAsia"/>
                                <w:i/>
                              </w:rPr>
                            </m:ctrlPr>
                          </m:num>
                          <m:den>
                            <m:sSup>
                              <m:sSupPr>
                                <m:ctrlPr>
                                  <w:rPr>
                                    <w:rFonts w:ascii="Cambria Math" w:hAnsi="Cambria Math" w:eastAsiaTheme="minorEastAsia"/>
                                    <w:i/>
                                  </w:rPr>
                                </m:ctrlPr>
                              </m:sSupPr>
                              <m:e>
                                <m:r>
                                  <m:rPr/>
                                  <w:rPr>
                                    <w:rFonts w:ascii="Cambria Math" w:eastAsiaTheme="minorEastAsia"/>
                                  </w:rPr>
                                  <m:t>4</m:t>
                                </m:r>
                                <m:r>
                                  <m:rPr/>
                                  <w:rPr>
                                    <w:rFonts w:ascii="Cambria Math" w:hAnsi="Cambria Math" w:eastAsiaTheme="minorEastAsia"/>
                                  </w:rPr>
                                  <m:t>πr</m:t>
                                </m:r>
                                <m:ctrlPr>
                                  <w:rPr>
                                    <w:rFonts w:ascii="Cambria Math" w:hAnsi="Cambria Math" w:eastAsiaTheme="minorEastAsia"/>
                                    <w:i/>
                                  </w:rPr>
                                </m:ctrlPr>
                              </m:e>
                              <m:sup>
                                <m:r>
                                  <m:rPr/>
                                  <w:rPr>
                                    <w:rFonts w:ascii="Cambria Math" w:eastAsiaTheme="minorEastAsia"/>
                                  </w:rPr>
                                  <m:t>2</m:t>
                                </m:r>
                                <m:ctrlPr>
                                  <w:rPr>
                                    <w:rFonts w:ascii="Cambria Math" w:hAnsi="Cambria Math" w:eastAsiaTheme="minorEastAsia"/>
                                    <w:i/>
                                  </w:rPr>
                                </m:ctrlPr>
                              </m:sup>
                            </m:sSup>
                            <m:ctrlPr>
                              <w:rPr>
                                <w:rFonts w:ascii="Cambria Math" w:hAnsi="Cambria Math" w:eastAsiaTheme="minorEastAsia"/>
                                <w:i/>
                              </w:rPr>
                            </m:ctrlPr>
                          </m:den>
                        </m:f>
                        <m:r>
                          <m:rPr/>
                          <w:rPr>
                            <w:rFonts w:ascii="Cambria Math" w:eastAsiaTheme="minorEastAsia"/>
                          </w:rPr>
                          <m:t>+</m:t>
                        </m:r>
                        <m:f>
                          <m:fPr>
                            <m:ctrlPr>
                              <w:rPr>
                                <w:rFonts w:ascii="Cambria Math" w:hAnsi="Cambria Math" w:eastAsiaTheme="minorEastAsia"/>
                                <w:i/>
                              </w:rPr>
                            </m:ctrlPr>
                          </m:fPr>
                          <m:num>
                            <m:r>
                              <m:rPr/>
                              <w:rPr>
                                <w:rFonts w:ascii="Cambria Math" w:eastAsiaTheme="minorEastAsia"/>
                              </w:rPr>
                              <m:t>4</m:t>
                            </m:r>
                            <m:ctrlPr>
                              <w:rPr>
                                <w:rFonts w:ascii="Cambria Math" w:hAnsi="Cambria Math" w:eastAsiaTheme="minorEastAsia"/>
                                <w:i/>
                              </w:rPr>
                            </m:ctrlPr>
                          </m:num>
                          <m:den>
                            <m:r>
                              <m:rPr/>
                              <w:rPr>
                                <w:rFonts w:ascii="Cambria Math" w:hAnsi="Cambria Math" w:eastAsiaTheme="minorEastAsia"/>
                              </w:rPr>
                              <m:t>R</m:t>
                            </m:r>
                            <m:ctrlPr>
                              <w:rPr>
                                <w:rFonts w:ascii="Cambria Math" w:hAnsi="Cambria Math" w:eastAsiaTheme="minorEastAsia"/>
                                <w:i/>
                              </w:rPr>
                            </m:ctrlPr>
                          </m:den>
                        </m:f>
                        <m:ctrlPr>
                          <w:rPr>
                            <w:rFonts w:ascii="Cambria Math" w:hAnsi="Cambria Math" w:eastAsiaTheme="minorEastAsia"/>
                            <w:i/>
                          </w:rPr>
                        </m:ctrlPr>
                      </m:e>
                    </m:d>
                    <m:ctrlPr>
                      <w:rPr>
                        <w:rFonts w:ascii="Cambria Math" w:hAnsi="Cambria Math" w:eastAsiaTheme="minorEastAsia"/>
                        <w:i/>
                      </w:rPr>
                    </m:ctrlPr>
                  </m:e>
                </m:func>
              </m:oMath>
            </m:oMathPara>
          </w:p>
          <w:p>
            <w:pPr>
              <w:adjustRightInd w:val="0"/>
              <w:snapToGrid w:val="0"/>
              <w:spacing w:before="156" w:beforeLines="50" w:line="360" w:lineRule="auto"/>
              <w:ind w:firstLine="420"/>
              <w:rPr>
                <w:rFonts w:hAnsiTheme="minorEastAsia" w:eastAsiaTheme="minorEastAsia"/>
              </w:rPr>
            </w:pPr>
            <w:r>
              <w:rPr>
                <w:rFonts w:hAnsiTheme="minorEastAsia" w:eastAsiaTheme="minorEastAsia"/>
              </w:rPr>
              <w:t>式中：</w:t>
            </w:r>
          </w:p>
          <w:p>
            <w:pPr>
              <w:snapToGrid w:val="0"/>
              <w:spacing w:line="360" w:lineRule="auto"/>
              <w:ind w:firstLine="420"/>
              <w:rPr>
                <w:rFonts w:eastAsiaTheme="minorEastAsia"/>
              </w:rPr>
            </w:pPr>
            <w:r>
              <w:rPr>
                <w:rFonts w:eastAsiaTheme="minorEastAsia"/>
              </w:rPr>
              <w:t>Q——</w:t>
            </w:r>
            <w:r>
              <w:rPr>
                <w:rFonts w:hAnsiTheme="minorEastAsia" w:eastAsiaTheme="minorEastAsia"/>
              </w:rPr>
              <w:t>指向性因数；通常对无指向性声源，当声源放在房间中心时，</w:t>
            </w:r>
            <w:r>
              <w:rPr>
                <w:rFonts w:eastAsiaTheme="minorEastAsia"/>
              </w:rPr>
              <w:t>Q=1</w:t>
            </w:r>
            <w:r>
              <w:rPr>
                <w:rFonts w:hAnsiTheme="minorEastAsia" w:eastAsiaTheme="minorEastAsia"/>
              </w:rPr>
              <w:t>；当放在一面墙的中心时，</w:t>
            </w:r>
            <w:r>
              <w:rPr>
                <w:rFonts w:eastAsiaTheme="minorEastAsia"/>
              </w:rPr>
              <w:t>Q=2</w:t>
            </w:r>
            <w:r>
              <w:rPr>
                <w:rFonts w:hAnsiTheme="minorEastAsia" w:eastAsiaTheme="minorEastAsia"/>
              </w:rPr>
              <w:t>；当放在两面墙夹角处时，</w:t>
            </w:r>
            <w:r>
              <w:rPr>
                <w:rFonts w:eastAsiaTheme="minorEastAsia"/>
              </w:rPr>
              <w:t>Q=4</w:t>
            </w:r>
            <w:r>
              <w:rPr>
                <w:rFonts w:hAnsiTheme="minorEastAsia" w:eastAsiaTheme="minorEastAsia"/>
              </w:rPr>
              <w:t>；当放在三面墙夹角处时，</w:t>
            </w:r>
            <w:r>
              <w:rPr>
                <w:rFonts w:eastAsiaTheme="minorEastAsia"/>
              </w:rPr>
              <w:t>Q=8</w:t>
            </w:r>
            <w:r>
              <w:rPr>
                <w:rFonts w:hAnsiTheme="minorEastAsia" w:eastAsiaTheme="minorEastAsia"/>
              </w:rPr>
              <w:t>；</w:t>
            </w:r>
          </w:p>
          <w:p>
            <w:pPr>
              <w:snapToGrid w:val="0"/>
              <w:spacing w:line="360" w:lineRule="auto"/>
              <w:ind w:firstLine="420"/>
              <w:rPr>
                <w:rFonts w:eastAsiaTheme="minorEastAsia"/>
              </w:rPr>
            </w:pPr>
            <w:r>
              <w:rPr>
                <w:rFonts w:eastAsiaTheme="minorEastAsia"/>
              </w:rPr>
              <w:t>R——</w:t>
            </w:r>
            <w:r>
              <w:rPr>
                <w:rFonts w:hAnsiTheme="minorEastAsia" w:eastAsiaTheme="minorEastAsia"/>
              </w:rPr>
              <w:t>房间常数，</w:t>
            </w:r>
            <w:r>
              <w:rPr>
                <w:rFonts w:eastAsiaTheme="minorEastAsia"/>
              </w:rPr>
              <w:t>R=Sα/</w:t>
            </w:r>
            <w:r>
              <w:rPr>
                <w:rFonts w:hAnsiTheme="minorEastAsia" w:eastAsiaTheme="minorEastAsia"/>
              </w:rPr>
              <w:t>（</w:t>
            </w:r>
            <w:r>
              <w:rPr>
                <w:rFonts w:eastAsiaTheme="minorEastAsia"/>
              </w:rPr>
              <w:t>1-α</w:t>
            </w:r>
            <w:r>
              <w:rPr>
                <w:rFonts w:hAnsiTheme="minorEastAsia" w:eastAsiaTheme="minorEastAsia"/>
              </w:rPr>
              <w:t>）；</w:t>
            </w:r>
            <w:r>
              <w:rPr>
                <w:rFonts w:eastAsiaTheme="minorEastAsia"/>
              </w:rPr>
              <w:t>S</w:t>
            </w:r>
            <w:r>
              <w:rPr>
                <w:rFonts w:hAnsiTheme="minorEastAsia" w:eastAsiaTheme="minorEastAsia"/>
              </w:rPr>
              <w:t>为房间内表面面积，</w:t>
            </w:r>
            <w:r>
              <w:rPr>
                <w:rFonts w:eastAsiaTheme="minorEastAsia"/>
              </w:rPr>
              <w:t>m</w:t>
            </w:r>
            <w:r>
              <w:rPr>
                <w:rFonts w:eastAsiaTheme="minorEastAsia"/>
                <w:vertAlign w:val="superscript"/>
              </w:rPr>
              <w:t>2</w:t>
            </w:r>
            <w:r>
              <w:rPr>
                <w:rFonts w:hAnsiTheme="minorEastAsia" w:eastAsiaTheme="minorEastAsia"/>
              </w:rPr>
              <w:t>，</w:t>
            </w:r>
            <w:r>
              <w:rPr>
                <w:rFonts w:eastAsiaTheme="minorEastAsia"/>
              </w:rPr>
              <w:t>α</w:t>
            </w:r>
            <w:r>
              <w:rPr>
                <w:rFonts w:hAnsiTheme="minorEastAsia" w:eastAsiaTheme="minorEastAsia"/>
              </w:rPr>
              <w:t>为平均吸声系数；</w:t>
            </w:r>
          </w:p>
          <w:p>
            <w:pPr>
              <w:snapToGrid w:val="0"/>
              <w:spacing w:line="360" w:lineRule="auto"/>
              <w:ind w:firstLine="420"/>
              <w:rPr>
                <w:rFonts w:eastAsiaTheme="minorEastAsia"/>
              </w:rPr>
            </w:pPr>
            <w:r>
              <w:rPr>
                <w:rFonts w:eastAsiaTheme="minorEastAsia"/>
              </w:rPr>
              <w:t>r——</w:t>
            </w:r>
            <w:r>
              <w:rPr>
                <w:rFonts w:hAnsiTheme="minorEastAsia" w:eastAsiaTheme="minorEastAsia"/>
              </w:rPr>
              <w:t>声源到靠近围护结构某点处的距离，</w:t>
            </w:r>
            <w:r>
              <w:rPr>
                <w:rFonts w:eastAsiaTheme="minorEastAsia"/>
              </w:rPr>
              <w:t>m</w:t>
            </w:r>
            <w:r>
              <w:rPr>
                <w:rFonts w:hAnsiTheme="minorEastAsia" w:eastAsiaTheme="minorEastAsia"/>
              </w:rPr>
              <w:t>。</w:t>
            </w:r>
          </w:p>
          <w:p>
            <w:pPr>
              <w:snapToGrid w:val="0"/>
              <w:spacing w:line="360" w:lineRule="auto"/>
              <w:ind w:firstLine="420"/>
              <w:rPr>
                <w:rFonts w:eastAsiaTheme="minorEastAsia"/>
              </w:rPr>
            </w:pPr>
            <w:r>
              <w:rPr>
                <w:rFonts w:hAnsiTheme="minorEastAsia" w:eastAsiaTheme="minorEastAsia"/>
              </w:rPr>
              <w:t>然后按下式计算出所有室内声源在围护结构处产生的</w:t>
            </w:r>
            <w:r>
              <w:rPr>
                <w:rFonts w:eastAsiaTheme="minorEastAsia"/>
              </w:rPr>
              <w:t>i</w:t>
            </w:r>
            <w:r>
              <w:rPr>
                <w:rFonts w:hAnsiTheme="minorEastAsia" w:eastAsiaTheme="minorEastAsia"/>
              </w:rPr>
              <w:t>倍频带的叠加声压级，</w:t>
            </w:r>
            <w:r>
              <w:rPr>
                <w:rFonts w:eastAsiaTheme="minorEastAsia"/>
              </w:rPr>
              <w:t>dB</w:t>
            </w:r>
            <w:r>
              <w:rPr>
                <w:rFonts w:hAnsiTheme="minorEastAsia" w:eastAsiaTheme="minorEastAsia"/>
              </w:rPr>
              <w:t>；</w:t>
            </w:r>
          </w:p>
          <w:p>
            <w:pPr>
              <w:spacing w:line="360" w:lineRule="auto"/>
              <w:ind w:firstLine="420"/>
              <w:rPr>
                <w:rFonts w:eastAsiaTheme="minorEastAsia"/>
              </w:rPr>
            </w:pPr>
            <m:oMathPara>
              <m:oMath>
                <m:sSub>
                  <m:sSubPr>
                    <m:ctrlPr>
                      <w:rPr>
                        <w:rFonts w:ascii="Cambria Math" w:hAnsi="Cambria Math" w:eastAsiaTheme="minorEastAsia"/>
                      </w:rPr>
                    </m:ctrlPr>
                  </m:sSubPr>
                  <m:e>
                    <m:r>
                      <m:rPr/>
                      <w:rPr>
                        <w:rFonts w:ascii="Cambria Math" w:hAnsi="Cambria Math" w:eastAsiaTheme="minorEastAsia"/>
                      </w:rPr>
                      <m:t>L</m:t>
                    </m:r>
                    <m:ctrlPr>
                      <w:rPr>
                        <w:rFonts w:ascii="Cambria Math" w:hAnsi="Cambria Math" w:eastAsiaTheme="minorEastAsia"/>
                      </w:rPr>
                    </m:ctrlPr>
                  </m:e>
                  <m:sub>
                    <m:r>
                      <m:rPr/>
                      <w:rPr>
                        <w:rFonts w:ascii="Cambria Math" w:hAnsi="Cambria Math" w:eastAsiaTheme="minorEastAsia"/>
                      </w:rPr>
                      <m:t>p</m:t>
                    </m:r>
                    <m:r>
                      <m:rPr/>
                      <w:rPr>
                        <w:rFonts w:ascii="Cambria Math" w:eastAsiaTheme="minorEastAsia"/>
                      </w:rPr>
                      <m:t>1</m:t>
                    </m:r>
                    <m:r>
                      <m:rPr/>
                      <w:rPr>
                        <w:rFonts w:ascii="Cambria Math" w:hAnsi="Cambria Math" w:eastAsiaTheme="minorEastAsia"/>
                      </w:rPr>
                      <m:t>i</m:t>
                    </m:r>
                    <m:ctrlPr>
                      <w:rPr>
                        <w:rFonts w:ascii="Cambria Math" w:hAnsi="Cambria Math" w:eastAsiaTheme="minorEastAsia"/>
                      </w:rPr>
                    </m:ctrlPr>
                  </m:sub>
                </m:sSub>
                <m:d>
                  <m:dPr>
                    <m:ctrlPr>
                      <w:rPr>
                        <w:rFonts w:ascii="Cambria Math" w:hAnsi="Cambria Math" w:eastAsiaTheme="minorEastAsia"/>
                        <w:i/>
                      </w:rPr>
                    </m:ctrlPr>
                  </m:dPr>
                  <m:e>
                    <m:r>
                      <m:rPr/>
                      <w:rPr>
                        <w:rFonts w:ascii="Cambria Math" w:hAnsi="Cambria Math" w:eastAsiaTheme="minorEastAsia"/>
                      </w:rPr>
                      <m:t>T</m:t>
                    </m:r>
                    <m:ctrlPr>
                      <w:rPr>
                        <w:rFonts w:ascii="Cambria Math" w:hAnsi="Cambria Math" w:eastAsiaTheme="minorEastAsia"/>
                        <w:i/>
                      </w:rPr>
                    </m:ctrlPr>
                  </m:e>
                </m:d>
                <m:r>
                  <m:rPr/>
                  <w:rPr>
                    <w:rFonts w:ascii="Cambria Math" w:eastAsiaTheme="minorEastAsia"/>
                  </w:rPr>
                  <m:t>=10</m:t>
                </m:r>
                <m:func>
                  <m:funcPr>
                    <m:ctrlPr>
                      <w:rPr>
                        <w:rFonts w:ascii="Cambria Math" w:hAnsi="Cambria Math" w:eastAsiaTheme="minorEastAsia"/>
                        <w:i/>
                      </w:rPr>
                    </m:ctrlPr>
                  </m:funcPr>
                  <m:fName>
                    <m:r>
                      <m:rPr>
                        <m:sty m:val="p"/>
                      </m:rPr>
                      <w:rPr>
                        <w:rFonts w:ascii="Cambria Math" w:eastAsiaTheme="minorEastAsia"/>
                      </w:rPr>
                      <m:t>log</m:t>
                    </m:r>
                    <m:ctrlPr>
                      <w:rPr>
                        <w:rFonts w:ascii="Cambria Math" w:hAnsi="Cambria Math" w:eastAsiaTheme="minorEastAsia"/>
                        <w:i/>
                      </w:rPr>
                    </m:ctrlPr>
                  </m:fName>
                  <m:e>
                    <m:d>
                      <m:dPr>
                        <m:ctrlPr>
                          <w:rPr>
                            <w:rFonts w:ascii="Cambria Math" w:hAnsi="Cambria Math" w:eastAsiaTheme="minorEastAsia"/>
                            <w:i/>
                          </w:rPr>
                        </m:ctrlPr>
                      </m:dPr>
                      <m:e>
                        <m:nary>
                          <m:naryPr>
                            <m:chr m:val="∑"/>
                            <m:limLoc m:val="undOvr"/>
                            <m:ctrlPr>
                              <w:rPr>
                                <w:rFonts w:ascii="Cambria Math" w:hAnsi="Cambria Math" w:eastAsiaTheme="minorEastAsia"/>
                                <w:i/>
                              </w:rPr>
                            </m:ctrlPr>
                          </m:naryPr>
                          <m:sub>
                            <m:r>
                              <m:rPr/>
                              <w:rPr>
                                <w:rFonts w:ascii="Cambria Math" w:hAnsi="Cambria Math" w:eastAsiaTheme="minorEastAsia"/>
                              </w:rPr>
                              <m:t>j</m:t>
                            </m:r>
                            <m:r>
                              <m:rPr/>
                              <w:rPr>
                                <w:rFonts w:ascii="Cambria Math" w:eastAsiaTheme="minorEastAsia"/>
                              </w:rPr>
                              <m:t>=1</m:t>
                            </m:r>
                            <m:ctrlPr>
                              <w:rPr>
                                <w:rFonts w:ascii="Cambria Math" w:hAnsi="Cambria Math" w:eastAsiaTheme="minorEastAsia"/>
                                <w:i/>
                              </w:rPr>
                            </m:ctrlPr>
                          </m:sub>
                          <m:sup>
                            <m:r>
                              <m:rPr/>
                              <w:rPr>
                                <w:rFonts w:ascii="Cambria Math" w:hAnsi="Cambria Math" w:eastAsiaTheme="minorEastAsia"/>
                              </w:rPr>
                              <m:t>N</m:t>
                            </m:r>
                            <m:ctrlPr>
                              <w:rPr>
                                <w:rFonts w:ascii="Cambria Math" w:hAnsi="Cambria Math" w:eastAsiaTheme="minorEastAsia"/>
                                <w:i/>
                              </w:rPr>
                            </m:ctrlPr>
                          </m:sup>
                          <m:e>
                            <m:sSup>
                              <m:sSupPr>
                                <m:ctrlPr>
                                  <w:rPr>
                                    <w:rFonts w:ascii="Cambria Math" w:hAnsi="Cambria Math" w:eastAsiaTheme="minorEastAsia"/>
                                    <w:i/>
                                  </w:rPr>
                                </m:ctrlPr>
                              </m:sSupPr>
                              <m:e>
                                <m:r>
                                  <m:rPr/>
                                  <w:rPr>
                                    <w:rFonts w:ascii="Cambria Math" w:eastAsiaTheme="minorEastAsia"/>
                                  </w:rPr>
                                  <m:t>10</m:t>
                                </m:r>
                                <m:ctrlPr>
                                  <w:rPr>
                                    <w:rFonts w:ascii="Cambria Math" w:hAnsi="Cambria Math" w:eastAsiaTheme="minorEastAsia"/>
                                    <w:i/>
                                  </w:rPr>
                                </m:ctrlPr>
                              </m:e>
                              <m:sup>
                                <m:sSub>
                                  <m:sSubPr>
                                    <m:ctrlPr>
                                      <w:rPr>
                                        <w:rFonts w:ascii="Cambria Math" w:hAnsi="Cambria Math" w:eastAsiaTheme="minorEastAsia"/>
                                        <w:i/>
                                      </w:rPr>
                                    </m:ctrlPr>
                                  </m:sSubPr>
                                  <m:e>
                                    <m:r>
                                      <m:rPr/>
                                      <w:rPr>
                                        <w:rFonts w:ascii="Cambria Math" w:eastAsiaTheme="minorEastAsia"/>
                                      </w:rPr>
                                      <m:t>0.1</m:t>
                                    </m:r>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p</m:t>
                                    </m:r>
                                    <m:r>
                                      <m:rPr/>
                                      <w:rPr>
                                        <w:rFonts w:ascii="Cambria Math" w:eastAsiaTheme="minorEastAsia"/>
                                      </w:rPr>
                                      <m:t>1</m:t>
                                    </m:r>
                                    <m:r>
                                      <m:rPr/>
                                      <w:rPr>
                                        <w:rFonts w:ascii="Cambria Math" w:hAnsi="Cambria Math" w:eastAsiaTheme="minorEastAsia"/>
                                      </w:rPr>
                                      <m:t>ij</m:t>
                                    </m:r>
                                    <m:ctrlPr>
                                      <w:rPr>
                                        <w:rFonts w:ascii="Cambria Math" w:hAnsi="Cambria Math" w:eastAsiaTheme="minorEastAsia"/>
                                        <w:i/>
                                      </w:rPr>
                                    </m:ctrlPr>
                                  </m:sub>
                                </m:sSub>
                                <m:ctrlPr>
                                  <w:rPr>
                                    <w:rFonts w:ascii="Cambria Math" w:hAnsi="Cambria Math" w:eastAsiaTheme="minorEastAsia"/>
                                    <w:i/>
                                  </w:rPr>
                                </m:ctrlPr>
                              </m:sup>
                            </m:sSup>
                            <m:ctrlPr>
                              <w:rPr>
                                <w:rFonts w:ascii="Cambria Math" w:hAnsi="Cambria Math" w:eastAsiaTheme="minorEastAsia"/>
                                <w:i/>
                              </w:rPr>
                            </m:ctrlPr>
                          </m:e>
                        </m:nary>
                        <m:ctrlPr>
                          <w:rPr>
                            <w:rFonts w:ascii="Cambria Math" w:hAnsi="Cambria Math" w:eastAsiaTheme="minorEastAsia"/>
                            <w:i/>
                          </w:rPr>
                        </m:ctrlPr>
                      </m:e>
                    </m:d>
                    <m:ctrlPr>
                      <w:rPr>
                        <w:rFonts w:ascii="Cambria Math" w:hAnsi="Cambria Math" w:eastAsiaTheme="minorEastAsia"/>
                        <w:i/>
                      </w:rPr>
                    </m:ctrlPr>
                  </m:e>
                </m:func>
              </m:oMath>
            </m:oMathPara>
          </w:p>
          <w:p>
            <w:pPr>
              <w:adjustRightInd w:val="0"/>
              <w:snapToGrid w:val="0"/>
              <w:spacing w:before="156" w:beforeLines="50" w:line="360" w:lineRule="auto"/>
              <w:ind w:firstLine="420"/>
              <w:rPr>
                <w:rFonts w:eastAsiaTheme="minorEastAsia"/>
              </w:rPr>
            </w:pPr>
            <w:r>
              <w:rPr>
                <w:rFonts w:hAnsiTheme="minorEastAsia" w:eastAsiaTheme="minorEastAsia"/>
              </w:rPr>
              <w:t>式中：</w:t>
            </w:r>
          </w:p>
          <w:p>
            <w:pPr>
              <w:snapToGrid w:val="0"/>
              <w:spacing w:line="360" w:lineRule="auto"/>
              <w:ind w:firstLine="420"/>
              <w:rPr>
                <w:rFonts w:eastAsiaTheme="minorEastAsia"/>
              </w:rPr>
            </w:pPr>
            <w:r>
              <w:rPr>
                <w:rFonts w:eastAsiaTheme="minorEastAsia"/>
              </w:rPr>
              <w:t>L</w:t>
            </w:r>
            <w:r>
              <w:rPr>
                <w:rFonts w:eastAsiaTheme="minorEastAsia"/>
                <w:vertAlign w:val="subscript"/>
              </w:rPr>
              <w:t>p1i</w:t>
            </w:r>
            <w:r>
              <w:rPr>
                <w:rFonts w:hAnsiTheme="minorEastAsia" w:eastAsiaTheme="minorEastAsia"/>
              </w:rPr>
              <w:t>（</w:t>
            </w:r>
            <w:r>
              <w:rPr>
                <w:rFonts w:eastAsiaTheme="minorEastAsia"/>
              </w:rPr>
              <w:t>T</w:t>
            </w:r>
            <w:r>
              <w:rPr>
                <w:rFonts w:hAnsiTheme="minorEastAsia" w:eastAsiaTheme="minorEastAsia"/>
              </w:rPr>
              <w:t>）</w:t>
            </w:r>
            <w:r>
              <w:rPr>
                <w:rFonts w:eastAsiaTheme="minorEastAsia"/>
              </w:rPr>
              <w:t>——</w:t>
            </w:r>
            <w:r>
              <w:rPr>
                <w:rFonts w:hAnsiTheme="minorEastAsia" w:eastAsiaTheme="minorEastAsia"/>
              </w:rPr>
              <w:t>靠近围护结构处室内</w:t>
            </w:r>
            <w:r>
              <w:rPr>
                <w:rFonts w:eastAsiaTheme="minorEastAsia"/>
              </w:rPr>
              <w:t>N</w:t>
            </w:r>
            <w:r>
              <w:rPr>
                <w:rFonts w:hAnsiTheme="minorEastAsia" w:eastAsiaTheme="minorEastAsia"/>
              </w:rPr>
              <w:t>个声源</w:t>
            </w:r>
            <w:r>
              <w:rPr>
                <w:rFonts w:eastAsiaTheme="minorEastAsia"/>
              </w:rPr>
              <w:t>i</w:t>
            </w:r>
            <w:r>
              <w:rPr>
                <w:rFonts w:hAnsiTheme="minorEastAsia" w:eastAsiaTheme="minorEastAsia"/>
              </w:rPr>
              <w:t>倍频带的叠加声压级，</w:t>
            </w:r>
            <w:r>
              <w:rPr>
                <w:rFonts w:eastAsiaTheme="minorEastAsia"/>
              </w:rPr>
              <w:t>dB</w:t>
            </w:r>
            <w:r>
              <w:rPr>
                <w:rFonts w:hAnsiTheme="minorEastAsia" w:eastAsiaTheme="minorEastAsia"/>
              </w:rPr>
              <w:t>；</w:t>
            </w:r>
          </w:p>
          <w:p>
            <w:pPr>
              <w:snapToGrid w:val="0"/>
              <w:spacing w:line="360" w:lineRule="auto"/>
              <w:ind w:firstLine="420"/>
              <w:rPr>
                <w:rFonts w:eastAsiaTheme="minorEastAsia"/>
              </w:rPr>
            </w:pPr>
            <w:r>
              <w:rPr>
                <w:rFonts w:eastAsiaTheme="minorEastAsia"/>
              </w:rPr>
              <w:t>L</w:t>
            </w:r>
            <w:r>
              <w:rPr>
                <w:rFonts w:eastAsiaTheme="minorEastAsia"/>
                <w:vertAlign w:val="subscript"/>
              </w:rPr>
              <w:t>p1ij</w:t>
            </w:r>
            <w:r>
              <w:rPr>
                <w:rFonts w:eastAsiaTheme="minorEastAsia"/>
              </w:rPr>
              <w:t>——</w:t>
            </w:r>
            <w:r>
              <w:rPr>
                <w:rFonts w:hAnsiTheme="minorEastAsia" w:eastAsiaTheme="minorEastAsia"/>
              </w:rPr>
              <w:t>室内</w:t>
            </w:r>
            <w:r>
              <w:rPr>
                <w:rFonts w:eastAsiaTheme="minorEastAsia"/>
              </w:rPr>
              <w:t>j</w:t>
            </w:r>
            <w:r>
              <w:rPr>
                <w:rFonts w:hAnsiTheme="minorEastAsia" w:eastAsiaTheme="minorEastAsia"/>
              </w:rPr>
              <w:t>声源</w:t>
            </w:r>
            <w:r>
              <w:rPr>
                <w:rFonts w:eastAsiaTheme="minorEastAsia"/>
              </w:rPr>
              <w:t>i</w:t>
            </w:r>
            <w:r>
              <w:rPr>
                <w:rFonts w:hAnsiTheme="minorEastAsia" w:eastAsiaTheme="minorEastAsia"/>
              </w:rPr>
              <w:t>倍频带的声压级，</w:t>
            </w:r>
            <w:r>
              <w:rPr>
                <w:rFonts w:eastAsiaTheme="minorEastAsia"/>
              </w:rPr>
              <w:t>dB</w:t>
            </w:r>
            <w:r>
              <w:rPr>
                <w:rFonts w:hAnsiTheme="minorEastAsia" w:eastAsiaTheme="minorEastAsia"/>
              </w:rPr>
              <w:t>；</w:t>
            </w:r>
          </w:p>
          <w:p>
            <w:pPr>
              <w:snapToGrid w:val="0"/>
              <w:spacing w:line="360" w:lineRule="auto"/>
              <w:ind w:firstLine="420"/>
              <w:rPr>
                <w:rFonts w:eastAsiaTheme="minorEastAsia"/>
              </w:rPr>
            </w:pPr>
            <w:r>
              <w:rPr>
                <w:rFonts w:eastAsiaTheme="minorEastAsia"/>
              </w:rPr>
              <w:t>N——</w:t>
            </w:r>
            <w:r>
              <w:rPr>
                <w:rFonts w:hAnsiTheme="minorEastAsia" w:eastAsiaTheme="minorEastAsia"/>
              </w:rPr>
              <w:t>室内声源总数。</w:t>
            </w:r>
          </w:p>
          <w:p>
            <w:pPr>
              <w:snapToGrid w:val="0"/>
              <w:spacing w:line="360" w:lineRule="auto"/>
              <w:ind w:firstLine="420"/>
              <w:rPr>
                <w:rFonts w:eastAsiaTheme="minorEastAsia"/>
              </w:rPr>
            </w:pPr>
            <w:r>
              <w:rPr>
                <w:rFonts w:hAnsiTheme="minorEastAsia" w:eastAsiaTheme="minorEastAsia"/>
              </w:rPr>
              <w:t>在室内近似为扩散声场时，按下式计算出靠近室外围护结构处的声压级：</w:t>
            </w:r>
          </w:p>
          <w:p>
            <w:pPr>
              <w:spacing w:line="360" w:lineRule="auto"/>
              <w:ind w:firstLine="420"/>
              <w:rPr>
                <w:rFonts w:eastAsiaTheme="minorEastAsia"/>
              </w:rPr>
            </w:pPr>
            <m:oMathPara>
              <m:oMath>
                <m:sSub>
                  <m:sSubPr>
                    <m:ctrlPr>
                      <w:rPr>
                        <w:rFonts w:ascii="Cambria Math" w:hAnsi="Cambria Math" w:eastAsiaTheme="minorEastAsia"/>
                      </w:rPr>
                    </m:ctrlPr>
                  </m:sSubPr>
                  <m:e>
                    <m:r>
                      <m:rPr/>
                      <w:rPr>
                        <w:rFonts w:ascii="Cambria Math" w:hAnsi="Cambria Math" w:eastAsiaTheme="minorEastAsia"/>
                      </w:rPr>
                      <m:t>L</m:t>
                    </m:r>
                    <m:ctrlPr>
                      <w:rPr>
                        <w:rFonts w:ascii="Cambria Math" w:hAnsi="Cambria Math" w:eastAsiaTheme="minorEastAsia"/>
                      </w:rPr>
                    </m:ctrlPr>
                  </m:e>
                  <m:sub>
                    <m:r>
                      <m:rPr/>
                      <w:rPr>
                        <w:rFonts w:ascii="Cambria Math" w:hAnsi="Cambria Math" w:eastAsiaTheme="minorEastAsia"/>
                      </w:rPr>
                      <m:t>p</m:t>
                    </m:r>
                    <m:r>
                      <m:rPr/>
                      <w:rPr>
                        <w:rFonts w:ascii="Cambria Math" w:eastAsiaTheme="minorEastAsia"/>
                      </w:rPr>
                      <m:t>2</m:t>
                    </m:r>
                    <m:r>
                      <m:rPr/>
                      <w:rPr>
                        <w:rFonts w:ascii="Cambria Math" w:hAnsi="Cambria Math" w:eastAsiaTheme="minorEastAsia"/>
                      </w:rPr>
                      <m:t>i</m:t>
                    </m:r>
                    <m:ctrlPr>
                      <w:rPr>
                        <w:rFonts w:ascii="Cambria Math" w:hAnsi="Cambria Math" w:eastAsiaTheme="minorEastAsia"/>
                      </w:rPr>
                    </m:ctrlPr>
                  </m:sub>
                </m:sSub>
                <m:d>
                  <m:dPr>
                    <m:ctrlPr>
                      <w:rPr>
                        <w:rFonts w:ascii="Cambria Math" w:hAnsi="Cambria Math" w:eastAsiaTheme="minorEastAsia"/>
                        <w:i/>
                      </w:rPr>
                    </m:ctrlPr>
                  </m:dPr>
                  <m:e>
                    <m:r>
                      <m:rPr/>
                      <w:rPr>
                        <w:rFonts w:ascii="Cambria Math" w:hAnsi="Cambria Math" w:eastAsiaTheme="minorEastAsia"/>
                      </w:rPr>
                      <m:t>T</m:t>
                    </m:r>
                    <m:ctrlPr>
                      <w:rPr>
                        <w:rFonts w:ascii="Cambria Math" w:hAnsi="Cambria Math" w:eastAsiaTheme="minorEastAsia"/>
                        <w:i/>
                      </w:rPr>
                    </m:ctrlPr>
                  </m:e>
                </m:d>
                <m:r>
                  <m:rPr/>
                  <w:rPr>
                    <w:rFonts w:ascii="Cambria Math" w:eastAsiaTheme="minorEastAsia"/>
                  </w:rPr>
                  <m:t>=</m:t>
                </m:r>
                <m:sSub>
                  <m:sSubPr>
                    <m:ctrlPr>
                      <w:rPr>
                        <w:rFonts w:ascii="Cambria Math" w:hAnsi="Cambria Math" w:eastAsiaTheme="minorEastAsia"/>
                        <w:i/>
                      </w:rPr>
                    </m:ctrlPr>
                  </m:sSubPr>
                  <m:e>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p</m:t>
                    </m:r>
                    <m:r>
                      <m:rPr/>
                      <w:rPr>
                        <w:rFonts w:ascii="Cambria Math" w:eastAsiaTheme="minorEastAsia"/>
                      </w:rPr>
                      <m:t>1</m:t>
                    </m:r>
                    <m:r>
                      <m:rPr/>
                      <w:rPr>
                        <w:rFonts w:ascii="Cambria Math" w:hAnsi="Cambria Math" w:eastAsiaTheme="minorEastAsia"/>
                      </w:rPr>
                      <m:t>i</m:t>
                    </m:r>
                    <m:ctrlPr>
                      <w:rPr>
                        <w:rFonts w:ascii="Cambria Math" w:hAnsi="Cambria Math" w:eastAsiaTheme="minorEastAsia"/>
                        <w:i/>
                      </w:rPr>
                    </m:ctrlPr>
                  </m:sub>
                </m:sSub>
                <m:d>
                  <m:dPr>
                    <m:ctrlPr>
                      <w:rPr>
                        <w:rFonts w:ascii="Cambria Math" w:hAnsi="Cambria Math" w:eastAsiaTheme="minorEastAsia"/>
                        <w:i/>
                      </w:rPr>
                    </m:ctrlPr>
                  </m:dPr>
                  <m:e>
                    <m:r>
                      <m:rPr/>
                      <w:rPr>
                        <w:rFonts w:ascii="Cambria Math" w:hAnsi="Cambria Math" w:eastAsiaTheme="minorEastAsia"/>
                      </w:rPr>
                      <m:t>T</m:t>
                    </m:r>
                    <m:ctrlPr>
                      <w:rPr>
                        <w:rFonts w:ascii="Cambria Math" w:hAnsi="Cambria Math" w:eastAsiaTheme="minorEastAsia"/>
                        <w:i/>
                      </w:rPr>
                    </m:ctrlPr>
                  </m:e>
                </m:d>
                <m:r>
                  <m:rPr/>
                  <w:rPr>
                    <w:rFonts w:eastAsiaTheme="minorEastAsia"/>
                  </w:rPr>
                  <m:t>−</m:t>
                </m:r>
                <m:d>
                  <m:dPr>
                    <m:ctrlPr>
                      <w:rPr>
                        <w:rFonts w:ascii="Cambria Math" w:hAnsi="Cambria Math" w:eastAsiaTheme="minorEastAsia"/>
                        <w:i/>
                      </w:rPr>
                    </m:ctrlPr>
                  </m:dPr>
                  <m:e>
                    <m:sSub>
                      <m:sSubPr>
                        <m:ctrlPr>
                          <w:rPr>
                            <w:rFonts w:ascii="Cambria Math" w:hAnsi="Cambria Math" w:eastAsiaTheme="minorEastAsia"/>
                            <w:i/>
                          </w:rPr>
                        </m:ctrlPr>
                      </m:sSubPr>
                      <m:e>
                        <m:r>
                          <m:rPr/>
                          <w:rPr>
                            <w:rFonts w:ascii="Cambria Math" w:hAnsi="Cambria Math" w:eastAsiaTheme="minorEastAsia"/>
                          </w:rPr>
                          <m:t>TL</m:t>
                        </m:r>
                        <m:ctrlPr>
                          <w:rPr>
                            <w:rFonts w:ascii="Cambria Math" w:hAnsi="Cambria Math" w:eastAsiaTheme="minorEastAsia"/>
                            <w:i/>
                          </w:rPr>
                        </m:ctrlPr>
                      </m:e>
                      <m:sub>
                        <m:r>
                          <m:rPr/>
                          <w:rPr>
                            <w:rFonts w:ascii="Cambria Math" w:hAnsi="Cambria Math" w:eastAsiaTheme="minorEastAsia"/>
                          </w:rPr>
                          <m:t>i</m:t>
                        </m:r>
                        <m:ctrlPr>
                          <w:rPr>
                            <w:rFonts w:ascii="Cambria Math" w:hAnsi="Cambria Math" w:eastAsiaTheme="minorEastAsia"/>
                            <w:i/>
                          </w:rPr>
                        </m:ctrlPr>
                      </m:sub>
                    </m:sSub>
                    <m:r>
                      <m:rPr/>
                      <w:rPr>
                        <w:rFonts w:ascii="Cambria Math" w:eastAsiaTheme="minorEastAsia"/>
                      </w:rPr>
                      <m:t>+6</m:t>
                    </m:r>
                    <m:ctrlPr>
                      <w:rPr>
                        <w:rFonts w:ascii="Cambria Math" w:hAnsi="Cambria Math" w:eastAsiaTheme="minorEastAsia"/>
                        <w:i/>
                      </w:rPr>
                    </m:ctrlPr>
                  </m:e>
                </m:d>
              </m:oMath>
            </m:oMathPara>
          </w:p>
          <w:p>
            <w:pPr>
              <w:adjustRightInd w:val="0"/>
              <w:snapToGrid w:val="0"/>
              <w:spacing w:before="156" w:beforeLines="50" w:line="360" w:lineRule="auto"/>
              <w:ind w:firstLine="420"/>
              <w:rPr>
                <w:rFonts w:eastAsiaTheme="minorEastAsia"/>
              </w:rPr>
            </w:pPr>
            <w:r>
              <w:rPr>
                <w:rFonts w:hAnsiTheme="minorEastAsia" w:eastAsiaTheme="minorEastAsia"/>
              </w:rPr>
              <w:t>式中：</w:t>
            </w:r>
          </w:p>
          <w:p>
            <w:pPr>
              <w:snapToGrid w:val="0"/>
              <w:spacing w:line="360" w:lineRule="auto"/>
              <w:ind w:firstLine="420"/>
              <w:rPr>
                <w:rFonts w:eastAsiaTheme="minorEastAsia"/>
              </w:rPr>
            </w:pPr>
            <w:r>
              <w:rPr>
                <w:rFonts w:eastAsiaTheme="minorEastAsia"/>
              </w:rPr>
              <w:t>L</w:t>
            </w:r>
            <w:r>
              <w:rPr>
                <w:rFonts w:eastAsiaTheme="minorEastAsia"/>
                <w:vertAlign w:val="subscript"/>
              </w:rPr>
              <w:t>p1i</w:t>
            </w:r>
            <w:r>
              <w:rPr>
                <w:rFonts w:hAnsiTheme="minorEastAsia" w:eastAsiaTheme="minorEastAsia"/>
              </w:rPr>
              <w:t>（</w:t>
            </w:r>
            <w:r>
              <w:rPr>
                <w:rFonts w:eastAsiaTheme="minorEastAsia"/>
              </w:rPr>
              <w:t>T</w:t>
            </w:r>
            <w:r>
              <w:rPr>
                <w:rFonts w:hAnsiTheme="minorEastAsia" w:eastAsiaTheme="minorEastAsia"/>
              </w:rPr>
              <w:t>）</w:t>
            </w:r>
            <w:r>
              <w:rPr>
                <w:rFonts w:eastAsiaTheme="minorEastAsia"/>
              </w:rPr>
              <w:t>——</w:t>
            </w:r>
            <w:r>
              <w:rPr>
                <w:rFonts w:hAnsiTheme="minorEastAsia" w:eastAsiaTheme="minorEastAsia"/>
              </w:rPr>
              <w:t>靠近围护结构处室外</w:t>
            </w:r>
            <w:r>
              <w:rPr>
                <w:rFonts w:eastAsiaTheme="minorEastAsia"/>
              </w:rPr>
              <w:t>N</w:t>
            </w:r>
            <w:r>
              <w:rPr>
                <w:rFonts w:hAnsiTheme="minorEastAsia" w:eastAsiaTheme="minorEastAsia"/>
              </w:rPr>
              <w:t>个声源</w:t>
            </w:r>
            <w:r>
              <w:rPr>
                <w:rFonts w:eastAsiaTheme="minorEastAsia"/>
              </w:rPr>
              <w:t>i</w:t>
            </w:r>
            <w:r>
              <w:rPr>
                <w:rFonts w:hAnsiTheme="minorEastAsia" w:eastAsiaTheme="minorEastAsia"/>
              </w:rPr>
              <w:t>倍频带的叠加声压级，</w:t>
            </w:r>
            <w:r>
              <w:rPr>
                <w:rFonts w:eastAsiaTheme="minorEastAsia"/>
              </w:rPr>
              <w:t>dB</w:t>
            </w:r>
            <w:r>
              <w:rPr>
                <w:rFonts w:hAnsiTheme="minorEastAsia" w:eastAsiaTheme="minorEastAsia"/>
              </w:rPr>
              <w:t>；</w:t>
            </w:r>
          </w:p>
          <w:p>
            <w:pPr>
              <w:snapToGrid w:val="0"/>
              <w:spacing w:line="360" w:lineRule="auto"/>
              <w:ind w:firstLine="420"/>
              <w:rPr>
                <w:rFonts w:eastAsiaTheme="minorEastAsia"/>
              </w:rPr>
            </w:pPr>
            <w:r>
              <w:rPr>
                <w:rFonts w:eastAsiaTheme="minorEastAsia"/>
              </w:rPr>
              <w:t>TL</w:t>
            </w:r>
            <w:r>
              <w:rPr>
                <w:rFonts w:eastAsiaTheme="minorEastAsia"/>
                <w:vertAlign w:val="subscript"/>
              </w:rPr>
              <w:t>i</w:t>
            </w:r>
            <w:r>
              <w:rPr>
                <w:rFonts w:eastAsiaTheme="minorEastAsia"/>
              </w:rPr>
              <w:t>——</w:t>
            </w:r>
            <w:r>
              <w:rPr>
                <w:rFonts w:hAnsiTheme="minorEastAsia" w:eastAsiaTheme="minorEastAsia"/>
              </w:rPr>
              <w:t>围护结构</w:t>
            </w:r>
            <w:r>
              <w:rPr>
                <w:rFonts w:eastAsiaTheme="minorEastAsia"/>
              </w:rPr>
              <w:t>i</w:t>
            </w:r>
            <w:r>
              <w:rPr>
                <w:rFonts w:hAnsiTheme="minorEastAsia" w:eastAsiaTheme="minorEastAsia"/>
              </w:rPr>
              <w:t>倍频带的隔声量，</w:t>
            </w:r>
            <w:r>
              <w:rPr>
                <w:rFonts w:eastAsiaTheme="minorEastAsia"/>
              </w:rPr>
              <w:t>dB</w:t>
            </w:r>
            <w:r>
              <w:rPr>
                <w:rFonts w:hAnsiTheme="minorEastAsia" w:eastAsiaTheme="minorEastAsia"/>
              </w:rPr>
              <w:t>。</w:t>
            </w:r>
          </w:p>
          <w:p>
            <w:pPr>
              <w:snapToGrid w:val="0"/>
              <w:spacing w:line="360" w:lineRule="auto"/>
              <w:ind w:firstLine="420"/>
              <w:rPr>
                <w:rFonts w:eastAsiaTheme="minorEastAsia"/>
              </w:rPr>
            </w:pPr>
            <w:r>
              <w:rPr>
                <w:rFonts w:hAnsiTheme="minorEastAsia" w:eastAsiaTheme="minorEastAsia"/>
              </w:rPr>
              <w:t>按下式将室外声源的声压级和透过面积换算成等效的室外声源，计算出中心位置位于透声面积（</w:t>
            </w:r>
            <w:r>
              <w:rPr>
                <w:rFonts w:eastAsiaTheme="minorEastAsia"/>
              </w:rPr>
              <w:t>S</w:t>
            </w:r>
            <w:r>
              <w:rPr>
                <w:rFonts w:hAnsiTheme="minorEastAsia" w:eastAsiaTheme="minorEastAsia"/>
              </w:rPr>
              <w:t>）处的等效声源的倍频带声功率级。</w:t>
            </w:r>
          </w:p>
          <w:p>
            <w:pPr>
              <w:spacing w:line="360" w:lineRule="auto"/>
              <w:ind w:firstLine="420"/>
              <w:jc w:val="center"/>
              <w:rPr>
                <w:rFonts w:eastAsiaTheme="minorEastAsia"/>
              </w:rPr>
            </w:pPr>
            <m:oMathPara>
              <m:oMath>
                <m:sSub>
                  <m:sSubPr>
                    <m:ctrlPr>
                      <w:rPr>
                        <w:rFonts w:ascii="Cambria Math" w:hAnsi="Cambria Math" w:eastAsiaTheme="minorEastAsia"/>
                      </w:rPr>
                    </m:ctrlPr>
                  </m:sSubPr>
                  <m:e>
                    <m:r>
                      <m:rPr/>
                      <w:rPr>
                        <w:rFonts w:ascii="Cambria Math" w:hAnsi="Cambria Math" w:eastAsiaTheme="minorEastAsia"/>
                      </w:rPr>
                      <m:t>L</m:t>
                    </m:r>
                    <m:ctrlPr>
                      <w:rPr>
                        <w:rFonts w:ascii="Cambria Math" w:hAnsi="Cambria Math" w:eastAsiaTheme="minorEastAsia"/>
                      </w:rPr>
                    </m:ctrlPr>
                  </m:e>
                  <m:sub>
                    <m:r>
                      <m:rPr/>
                      <w:rPr>
                        <w:rFonts w:ascii="Cambria Math" w:hAnsi="Cambria Math" w:eastAsiaTheme="minorEastAsia"/>
                      </w:rPr>
                      <m:t>w</m:t>
                    </m:r>
                    <m:ctrlPr>
                      <w:rPr>
                        <w:rFonts w:ascii="Cambria Math" w:hAnsi="Cambria Math" w:eastAsiaTheme="minorEastAsia"/>
                      </w:rPr>
                    </m:ctrlPr>
                  </m:sub>
                </m:sSub>
                <m:r>
                  <m:rPr/>
                  <w:rPr>
                    <w:rFonts w:ascii="Cambria Math" w:eastAsiaTheme="minorEastAsia"/>
                  </w:rPr>
                  <m:t>=</m:t>
                </m:r>
                <m:sSub>
                  <m:sSubPr>
                    <m:ctrlPr>
                      <w:rPr>
                        <w:rFonts w:ascii="Cambria Math" w:hAnsi="Cambria Math" w:eastAsiaTheme="minorEastAsia"/>
                        <w:i/>
                      </w:rPr>
                    </m:ctrlPr>
                  </m:sSubPr>
                  <m:e>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p</m:t>
                    </m:r>
                    <m:r>
                      <m:rPr/>
                      <w:rPr>
                        <w:rFonts w:ascii="Cambria Math" w:eastAsiaTheme="minorEastAsia"/>
                      </w:rPr>
                      <m:t>2</m:t>
                    </m:r>
                    <m:ctrlPr>
                      <w:rPr>
                        <w:rFonts w:ascii="Cambria Math" w:hAnsi="Cambria Math" w:eastAsiaTheme="minorEastAsia"/>
                        <w:i/>
                      </w:rPr>
                    </m:ctrlPr>
                  </m:sub>
                </m:sSub>
                <m:d>
                  <m:dPr>
                    <m:ctrlPr>
                      <w:rPr>
                        <w:rFonts w:ascii="Cambria Math" w:hAnsi="Cambria Math" w:eastAsiaTheme="minorEastAsia"/>
                        <w:i/>
                      </w:rPr>
                    </m:ctrlPr>
                  </m:dPr>
                  <m:e>
                    <m:r>
                      <m:rPr/>
                      <w:rPr>
                        <w:rFonts w:ascii="Cambria Math" w:hAnsi="Cambria Math" w:eastAsiaTheme="minorEastAsia"/>
                      </w:rPr>
                      <m:t>T</m:t>
                    </m:r>
                    <m:ctrlPr>
                      <w:rPr>
                        <w:rFonts w:ascii="Cambria Math" w:hAnsi="Cambria Math" w:eastAsiaTheme="minorEastAsia"/>
                        <w:i/>
                      </w:rPr>
                    </m:ctrlPr>
                  </m:e>
                </m:d>
                <m:r>
                  <m:rPr/>
                  <w:rPr>
                    <w:rFonts w:ascii="Cambria Math" w:eastAsiaTheme="minorEastAsia"/>
                  </w:rPr>
                  <m:t>+10</m:t>
                </m:r>
                <m:func>
                  <m:funcPr>
                    <m:ctrlPr>
                      <w:rPr>
                        <w:rFonts w:ascii="Cambria Math" w:hAnsi="Cambria Math" w:eastAsiaTheme="minorEastAsia"/>
                        <w:i/>
                      </w:rPr>
                    </m:ctrlPr>
                  </m:funcPr>
                  <m:fName>
                    <m:r>
                      <m:rPr>
                        <m:sty m:val="p"/>
                      </m:rPr>
                      <w:rPr>
                        <w:rFonts w:ascii="Cambria Math" w:eastAsiaTheme="minorEastAsia"/>
                      </w:rPr>
                      <m:t>lg</m:t>
                    </m:r>
                    <m:ctrlPr>
                      <w:rPr>
                        <w:rFonts w:ascii="Cambria Math" w:hAnsi="Cambria Math" w:eastAsiaTheme="minorEastAsia"/>
                        <w:i/>
                      </w:rPr>
                    </m:ctrlPr>
                  </m:fName>
                  <m:e>
                    <m:r>
                      <m:rPr/>
                      <w:rPr>
                        <w:rFonts w:ascii="Cambria Math" w:hAnsi="Cambria Math" w:eastAsiaTheme="minorEastAsia"/>
                      </w:rPr>
                      <m:t>S</m:t>
                    </m:r>
                    <m:ctrlPr>
                      <w:rPr>
                        <w:rFonts w:ascii="Cambria Math" w:hAnsi="Cambria Math" w:eastAsiaTheme="minorEastAsia"/>
                        <w:i/>
                      </w:rPr>
                    </m:ctrlPr>
                  </m:e>
                </m:func>
              </m:oMath>
            </m:oMathPara>
          </w:p>
          <w:p>
            <w:pPr>
              <w:adjustRightInd w:val="0"/>
              <w:snapToGrid w:val="0"/>
              <w:spacing w:before="156" w:beforeLines="50" w:line="360" w:lineRule="auto"/>
              <w:ind w:firstLine="420"/>
              <w:rPr>
                <w:rFonts w:eastAsiaTheme="minorEastAsia"/>
              </w:rPr>
            </w:pPr>
            <w:r>
              <w:rPr>
                <w:rFonts w:hAnsiTheme="minorEastAsia" w:eastAsiaTheme="minorEastAsia"/>
              </w:rPr>
              <w:t>然后按照室外声源预测方法计算预测点处的</w:t>
            </w:r>
            <w:r>
              <w:rPr>
                <w:rFonts w:eastAsiaTheme="minorEastAsia"/>
              </w:rPr>
              <w:t>A</w:t>
            </w:r>
            <w:r>
              <w:rPr>
                <w:rFonts w:hAnsiTheme="minorEastAsia" w:eastAsiaTheme="minorEastAsia"/>
              </w:rPr>
              <w:t>声级。</w:t>
            </w:r>
          </w:p>
          <w:p>
            <w:pPr>
              <w:snapToGrid w:val="0"/>
              <w:spacing w:line="360" w:lineRule="auto"/>
              <w:ind w:firstLine="420"/>
              <w:rPr>
                <w:rFonts w:eastAsiaTheme="minorEastAsia"/>
              </w:rPr>
            </w:pPr>
            <w:r>
              <w:rPr>
                <w:rFonts w:eastAsiaTheme="minorEastAsia"/>
              </w:rPr>
              <w:t>B</w:t>
            </w:r>
            <w:r>
              <w:rPr>
                <w:rFonts w:hAnsiTheme="minorEastAsia" w:eastAsiaTheme="minorEastAsia"/>
              </w:rPr>
              <w:t>、室外点声源在预测点产生的声级计算基本公式</w:t>
            </w:r>
          </w:p>
          <w:p>
            <w:pPr>
              <w:snapToGrid w:val="0"/>
              <w:spacing w:line="360" w:lineRule="auto"/>
              <w:ind w:firstLine="420"/>
              <w:rPr>
                <w:rFonts w:eastAsiaTheme="minorEastAsia"/>
              </w:rPr>
            </w:pPr>
            <w:r>
              <w:rPr>
                <w:rFonts w:hAnsiTheme="minorEastAsia" w:eastAsiaTheme="minorEastAsia"/>
              </w:rPr>
              <w:t>在不能取得声源倍频带声功率级或倍频带声压级，只能获得</w:t>
            </w:r>
            <w:r>
              <w:rPr>
                <w:rFonts w:eastAsiaTheme="minorEastAsia"/>
              </w:rPr>
              <w:t>A</w:t>
            </w:r>
            <w:r>
              <w:rPr>
                <w:rFonts w:hAnsiTheme="minorEastAsia" w:eastAsiaTheme="minorEastAsia"/>
              </w:rPr>
              <w:t>声功率级或某点的</w:t>
            </w:r>
            <w:r>
              <w:rPr>
                <w:rFonts w:eastAsiaTheme="minorEastAsia"/>
              </w:rPr>
              <w:t>A</w:t>
            </w:r>
            <w:r>
              <w:rPr>
                <w:rFonts w:hAnsiTheme="minorEastAsia" w:eastAsiaTheme="minorEastAsia"/>
              </w:rPr>
              <w:t>声级时，可按下述公式作近似计算。</w:t>
            </w:r>
          </w:p>
          <w:p>
            <w:pPr>
              <w:spacing w:line="360" w:lineRule="auto"/>
              <w:ind w:firstLine="420"/>
              <w:jc w:val="center"/>
              <w:rPr>
                <w:rFonts w:eastAsiaTheme="minorEastAsia"/>
              </w:rPr>
            </w:pPr>
            <m:oMathPara>
              <m:oMath>
                <m:sSub>
                  <m:sSubPr>
                    <m:ctrlPr>
                      <w:rPr>
                        <w:rFonts w:ascii="Cambria Math" w:hAnsi="Cambria Math" w:eastAsiaTheme="minorEastAsia"/>
                      </w:rPr>
                    </m:ctrlPr>
                  </m:sSubPr>
                  <m:e>
                    <m:r>
                      <m:rPr/>
                      <w:rPr>
                        <w:rFonts w:ascii="Cambria Math" w:hAnsi="Cambria Math" w:eastAsiaTheme="minorEastAsia"/>
                      </w:rPr>
                      <m:t>L</m:t>
                    </m:r>
                    <m:ctrlPr>
                      <w:rPr>
                        <w:rFonts w:ascii="Cambria Math" w:hAnsi="Cambria Math" w:eastAsiaTheme="minorEastAsia"/>
                      </w:rPr>
                    </m:ctrlPr>
                  </m:e>
                  <m:sub>
                    <m:r>
                      <m:rPr/>
                      <w:rPr>
                        <w:rFonts w:ascii="Cambria Math" w:hAnsi="Cambria Math" w:eastAsiaTheme="minorEastAsia"/>
                      </w:rPr>
                      <m:t>A</m:t>
                    </m:r>
                    <m:ctrlPr>
                      <w:rPr>
                        <w:rFonts w:ascii="Cambria Math" w:hAnsi="Cambria Math" w:eastAsiaTheme="minorEastAsia"/>
                      </w:rPr>
                    </m:ctrlPr>
                  </m:sub>
                </m:sSub>
                <m:d>
                  <m:dPr>
                    <m:ctrlPr>
                      <w:rPr>
                        <w:rFonts w:ascii="Cambria Math" w:hAnsi="Cambria Math" w:eastAsiaTheme="minorEastAsia"/>
                        <w:i/>
                      </w:rPr>
                    </m:ctrlPr>
                  </m:dPr>
                  <m:e>
                    <m:r>
                      <m:rPr/>
                      <w:rPr>
                        <w:rFonts w:ascii="Cambria Math" w:hAnsi="Cambria Math" w:eastAsiaTheme="minorEastAsia"/>
                      </w:rPr>
                      <m:t>r</m:t>
                    </m:r>
                    <m:ctrlPr>
                      <w:rPr>
                        <w:rFonts w:ascii="Cambria Math" w:hAnsi="Cambria Math" w:eastAsiaTheme="minorEastAsia"/>
                        <w:i/>
                      </w:rPr>
                    </m:ctrlPr>
                  </m:e>
                </m:d>
                <m:r>
                  <m:rPr/>
                  <w:rPr>
                    <w:rFonts w:ascii="Cambria Math" w:eastAsiaTheme="minorEastAsia"/>
                  </w:rPr>
                  <m:t>=</m:t>
                </m:r>
                <m:sSub>
                  <m:sSubPr>
                    <m:ctrlPr>
                      <w:rPr>
                        <w:rFonts w:ascii="Cambria Math" w:hAnsi="Cambria Math" w:eastAsiaTheme="minorEastAsia"/>
                        <w:i/>
                      </w:rPr>
                    </m:ctrlPr>
                  </m:sSubPr>
                  <m:e>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AW</m:t>
                    </m:r>
                    <m:ctrlPr>
                      <w:rPr>
                        <w:rFonts w:ascii="Cambria Math" w:hAnsi="Cambria Math" w:eastAsiaTheme="minorEastAsia"/>
                        <w:i/>
                      </w:rPr>
                    </m:ctrlPr>
                  </m:sub>
                </m:sSub>
                <m:r>
                  <m:rPr/>
                  <w:rPr>
                    <w:rFonts w:eastAsiaTheme="minorEastAsia"/>
                  </w:rPr>
                  <m:t>−</m:t>
                </m:r>
                <m:sSub>
                  <m:sSubPr>
                    <m:ctrlPr>
                      <w:rPr>
                        <w:rFonts w:ascii="Cambria Math" w:hAnsi="Cambria Math" w:eastAsiaTheme="minorEastAsia"/>
                        <w:i/>
                      </w:rPr>
                    </m:ctrlPr>
                  </m:sSubPr>
                  <m:e>
                    <m:r>
                      <m:rPr/>
                      <w:rPr>
                        <w:rFonts w:ascii="Cambria Math" w:hAnsi="Cambria Math" w:eastAsiaTheme="minorEastAsia"/>
                      </w:rPr>
                      <m:t>D</m:t>
                    </m:r>
                    <m:ctrlPr>
                      <w:rPr>
                        <w:rFonts w:ascii="Cambria Math" w:hAnsi="Cambria Math" w:eastAsiaTheme="minorEastAsia"/>
                        <w:i/>
                      </w:rPr>
                    </m:ctrlPr>
                  </m:e>
                  <m:sub>
                    <m:r>
                      <m:rPr/>
                      <w:rPr>
                        <w:rFonts w:ascii="Cambria Math" w:hAnsi="Cambria Math" w:eastAsiaTheme="minorEastAsia"/>
                      </w:rPr>
                      <m:t>C</m:t>
                    </m:r>
                    <m:ctrlPr>
                      <w:rPr>
                        <w:rFonts w:ascii="Cambria Math" w:hAnsi="Cambria Math" w:eastAsiaTheme="minorEastAsia"/>
                        <w:i/>
                      </w:rPr>
                    </m:ctrlPr>
                  </m:sub>
                </m:sSub>
                <m:r>
                  <m:rPr/>
                  <w:rPr>
                    <w:rFonts w:eastAsiaTheme="minorEastAsia"/>
                  </w:rPr>
                  <m:t>−</m:t>
                </m:r>
                <m:r>
                  <m:rPr/>
                  <w:rPr>
                    <w:rFonts w:ascii="Cambria Math" w:hAnsi="Cambria Math" w:eastAsiaTheme="minorEastAsia"/>
                  </w:rPr>
                  <m:t>A</m:t>
                </m:r>
              </m:oMath>
            </m:oMathPara>
          </w:p>
          <w:p>
            <w:pPr>
              <w:spacing w:line="360" w:lineRule="auto"/>
              <w:ind w:firstLine="420"/>
              <w:jc w:val="center"/>
              <w:rPr>
                <w:rFonts w:eastAsiaTheme="minorEastAsia"/>
              </w:rPr>
            </w:pPr>
            <m:oMathPara>
              <m:oMath>
                <m:sSub>
                  <m:sSubPr>
                    <m:ctrlPr>
                      <w:rPr>
                        <w:rFonts w:ascii="Cambria Math" w:hAnsi="Cambria Math" w:eastAsiaTheme="minorEastAsia"/>
                      </w:rPr>
                    </m:ctrlPr>
                  </m:sSubPr>
                  <m:e>
                    <m:r>
                      <m:rPr/>
                      <w:rPr>
                        <w:rFonts w:ascii="Cambria Math" w:hAnsi="Cambria Math" w:eastAsiaTheme="minorEastAsia"/>
                      </w:rPr>
                      <m:t>L</m:t>
                    </m:r>
                    <m:ctrlPr>
                      <w:rPr>
                        <w:rFonts w:ascii="Cambria Math" w:hAnsi="Cambria Math" w:eastAsiaTheme="minorEastAsia"/>
                      </w:rPr>
                    </m:ctrlPr>
                  </m:e>
                  <m:sub>
                    <m:r>
                      <m:rPr/>
                      <w:rPr>
                        <w:rFonts w:ascii="Cambria Math" w:hAnsi="Cambria Math" w:eastAsiaTheme="minorEastAsia"/>
                      </w:rPr>
                      <m:t>A</m:t>
                    </m:r>
                    <m:ctrlPr>
                      <w:rPr>
                        <w:rFonts w:ascii="Cambria Math" w:hAnsi="Cambria Math" w:eastAsiaTheme="minorEastAsia"/>
                      </w:rPr>
                    </m:ctrlPr>
                  </m:sub>
                </m:sSub>
                <m:d>
                  <m:dPr>
                    <m:ctrlPr>
                      <w:rPr>
                        <w:rFonts w:ascii="Cambria Math" w:hAnsi="Cambria Math" w:eastAsiaTheme="minorEastAsia"/>
                        <w:i/>
                      </w:rPr>
                    </m:ctrlPr>
                  </m:dPr>
                  <m:e>
                    <m:r>
                      <m:rPr/>
                      <w:rPr>
                        <w:rFonts w:ascii="Cambria Math" w:hAnsi="Cambria Math" w:eastAsiaTheme="minorEastAsia"/>
                      </w:rPr>
                      <m:t>r</m:t>
                    </m:r>
                    <m:ctrlPr>
                      <w:rPr>
                        <w:rFonts w:ascii="Cambria Math" w:hAnsi="Cambria Math" w:eastAsiaTheme="minorEastAsia"/>
                        <w:i/>
                      </w:rPr>
                    </m:ctrlPr>
                  </m:e>
                </m:d>
                <m:r>
                  <m:rPr/>
                  <w:rPr>
                    <w:rFonts w:ascii="Cambria Math" w:eastAsiaTheme="minorEastAsia"/>
                  </w:rPr>
                  <m:t>=</m:t>
                </m:r>
                <m:sSub>
                  <m:sSubPr>
                    <m:ctrlPr>
                      <w:rPr>
                        <w:rFonts w:ascii="Cambria Math" w:hAnsi="Cambria Math" w:eastAsiaTheme="minorEastAsia"/>
                        <w:i/>
                      </w:rPr>
                    </m:ctrlPr>
                  </m:sSubPr>
                  <m:e>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A</m:t>
                    </m:r>
                    <m:ctrlPr>
                      <w:rPr>
                        <w:rFonts w:ascii="Cambria Math" w:hAnsi="Cambria Math" w:eastAsiaTheme="minorEastAsia"/>
                        <w:i/>
                      </w:rPr>
                    </m:ctrlPr>
                  </m:sub>
                </m:sSub>
                <m:d>
                  <m:dPr>
                    <m:ctrlPr>
                      <w:rPr>
                        <w:rFonts w:ascii="Cambria Math" w:hAnsi="Cambria Math" w:eastAsiaTheme="minorEastAsia"/>
                        <w:i/>
                      </w:rPr>
                    </m:ctrlPr>
                  </m:dPr>
                  <m:e>
                    <m:sSub>
                      <m:sSubPr>
                        <m:ctrlPr>
                          <w:rPr>
                            <w:rFonts w:ascii="Cambria Math" w:hAnsi="Cambria Math" w:eastAsiaTheme="minorEastAsia"/>
                            <w:i/>
                          </w:rPr>
                        </m:ctrlPr>
                      </m:sSubPr>
                      <m:e>
                        <m:r>
                          <m:rPr/>
                          <w:rPr>
                            <w:rFonts w:ascii="Cambria Math" w:hAnsi="Cambria Math" w:eastAsiaTheme="minorEastAsia"/>
                          </w:rPr>
                          <m:t>r</m:t>
                        </m:r>
                        <m:ctrlPr>
                          <w:rPr>
                            <w:rFonts w:ascii="Cambria Math" w:hAnsi="Cambria Math" w:eastAsiaTheme="minorEastAsia"/>
                            <w:i/>
                          </w:rPr>
                        </m:ctrlPr>
                      </m:e>
                      <m:sub>
                        <m:r>
                          <m:rPr/>
                          <w:rPr>
                            <w:rFonts w:ascii="Cambria Math" w:eastAsiaTheme="minorEastAsia"/>
                          </w:rPr>
                          <m:t>0</m:t>
                        </m:r>
                        <m:ctrlPr>
                          <w:rPr>
                            <w:rFonts w:ascii="Cambria Math" w:hAnsi="Cambria Math" w:eastAsiaTheme="minorEastAsia"/>
                            <w:i/>
                          </w:rPr>
                        </m:ctrlPr>
                      </m:sub>
                    </m:sSub>
                    <m:ctrlPr>
                      <w:rPr>
                        <w:rFonts w:ascii="Cambria Math" w:hAnsi="Cambria Math" w:eastAsiaTheme="minorEastAsia"/>
                        <w:i/>
                      </w:rPr>
                    </m:ctrlPr>
                  </m:e>
                </m:d>
                <m:r>
                  <m:rPr/>
                  <w:rPr>
                    <w:rFonts w:eastAsiaTheme="minorEastAsia"/>
                  </w:rPr>
                  <m:t>−</m:t>
                </m:r>
                <m:r>
                  <m:rPr/>
                  <w:rPr>
                    <w:rFonts w:ascii="Cambria Math" w:hAnsi="Cambria Math" w:eastAsiaTheme="minorEastAsia"/>
                  </w:rPr>
                  <m:t>A</m:t>
                </m:r>
              </m:oMath>
            </m:oMathPara>
          </w:p>
          <w:p>
            <w:pPr>
              <w:adjustRightInd w:val="0"/>
              <w:snapToGrid w:val="0"/>
              <w:spacing w:before="156" w:beforeLines="50" w:line="360" w:lineRule="auto"/>
              <w:ind w:firstLine="420"/>
              <w:rPr>
                <w:rFonts w:eastAsiaTheme="minorEastAsia"/>
              </w:rPr>
            </w:pPr>
            <w:r>
              <w:rPr>
                <w:rFonts w:hAnsiTheme="minorEastAsia" w:eastAsiaTheme="minorEastAsia"/>
              </w:rPr>
              <w:t>可选择对</w:t>
            </w:r>
            <w:r>
              <w:rPr>
                <w:rFonts w:eastAsiaTheme="minorEastAsia"/>
              </w:rPr>
              <w:t>A</w:t>
            </w:r>
            <w:r>
              <w:rPr>
                <w:rFonts w:hAnsiTheme="minorEastAsia" w:eastAsiaTheme="minorEastAsia"/>
              </w:rPr>
              <w:t>声级影响最大的倍频带计算，一般可选中心频率为</w:t>
            </w:r>
            <w:r>
              <w:rPr>
                <w:rFonts w:eastAsiaTheme="minorEastAsia"/>
              </w:rPr>
              <w:t>500Hz</w:t>
            </w:r>
            <w:r>
              <w:rPr>
                <w:rFonts w:hAnsiTheme="minorEastAsia" w:eastAsiaTheme="minorEastAsia"/>
              </w:rPr>
              <w:t>的倍频带作估算。</w:t>
            </w:r>
          </w:p>
          <w:p>
            <w:pPr>
              <w:spacing w:line="360" w:lineRule="auto"/>
              <w:ind w:firstLine="420"/>
              <w:jc w:val="center"/>
              <w:rPr>
                <w:rFonts w:eastAsiaTheme="minorEastAsia"/>
              </w:rPr>
            </w:pPr>
            <m:oMathPara>
              <m:oMath>
                <m:r>
                  <m:rPr>
                    <m:sty m:val="p"/>
                  </m:rPr>
                  <w:rPr>
                    <w:rFonts w:ascii="Cambria Math" w:eastAsiaTheme="minorEastAsia"/>
                  </w:rPr>
                  <m:t>A=</m:t>
                </m:r>
                <m:sSub>
                  <m:sSubPr>
                    <m:ctrlPr>
                      <w:rPr>
                        <w:rFonts w:ascii="Cambria Math" w:hAnsi="Cambria Math" w:eastAsiaTheme="minorEastAsia"/>
                      </w:rPr>
                    </m:ctrlPr>
                  </m:sSubPr>
                  <m:e>
                    <m:r>
                      <m:rPr/>
                      <w:rPr>
                        <w:rFonts w:ascii="Cambria Math" w:hAnsi="Cambria Math" w:eastAsiaTheme="minorEastAsia"/>
                      </w:rPr>
                      <m:t>A</m:t>
                    </m:r>
                    <m:ctrlPr>
                      <w:rPr>
                        <w:rFonts w:ascii="Cambria Math" w:hAnsi="Cambria Math" w:eastAsiaTheme="minorEastAsia"/>
                      </w:rPr>
                    </m:ctrlPr>
                  </m:e>
                  <m:sub>
                    <m:r>
                      <m:rPr/>
                      <w:rPr>
                        <w:rFonts w:ascii="Cambria Math" w:hAnsi="Cambria Math" w:eastAsiaTheme="minorEastAsia"/>
                      </w:rPr>
                      <m:t>div</m:t>
                    </m:r>
                    <m:ctrlPr>
                      <w:rPr>
                        <w:rFonts w:ascii="Cambria Math" w:hAnsi="Cambria Math" w:eastAsiaTheme="minorEastAsia"/>
                      </w:rPr>
                    </m:ctrlPr>
                  </m:sub>
                </m:sSub>
                <m:r>
                  <m:rPr/>
                  <w:rPr>
                    <w:rFonts w:ascii="Cambria Math" w:eastAsiaTheme="minorEastAsia"/>
                  </w:rPr>
                  <m:t>+</m:t>
                </m:r>
                <m:sSub>
                  <m:sSubPr>
                    <m:ctrlPr>
                      <w:rPr>
                        <w:rFonts w:ascii="Cambria Math" w:hAnsi="Cambria Math" w:eastAsiaTheme="minorEastAsia"/>
                        <w:i/>
                      </w:rPr>
                    </m:ctrlPr>
                  </m:sSubPr>
                  <m:e>
                    <m:r>
                      <m:rPr/>
                      <w:rPr>
                        <w:rFonts w:ascii="Cambria Math" w:hAnsi="Cambria Math" w:eastAsiaTheme="minorEastAsia"/>
                      </w:rPr>
                      <m:t>A</m:t>
                    </m:r>
                    <m:ctrlPr>
                      <w:rPr>
                        <w:rFonts w:ascii="Cambria Math" w:hAnsi="Cambria Math" w:eastAsiaTheme="minorEastAsia"/>
                        <w:i/>
                      </w:rPr>
                    </m:ctrlPr>
                  </m:e>
                  <m:sub>
                    <m:r>
                      <m:rPr/>
                      <w:rPr>
                        <w:rFonts w:ascii="Cambria Math" w:hAnsi="Cambria Math" w:eastAsiaTheme="minorEastAsia"/>
                      </w:rPr>
                      <m:t>atm</m:t>
                    </m:r>
                    <m:ctrlPr>
                      <w:rPr>
                        <w:rFonts w:ascii="Cambria Math" w:hAnsi="Cambria Math" w:eastAsiaTheme="minorEastAsia"/>
                        <w:i/>
                      </w:rPr>
                    </m:ctrlPr>
                  </m:sub>
                </m:sSub>
                <m:r>
                  <m:rPr/>
                  <w:rPr>
                    <w:rFonts w:ascii="Cambria Math" w:eastAsiaTheme="minorEastAsia"/>
                  </w:rPr>
                  <m:t>+</m:t>
                </m:r>
                <m:sSub>
                  <m:sSubPr>
                    <m:ctrlPr>
                      <w:rPr>
                        <w:rFonts w:ascii="Cambria Math" w:hAnsi="Cambria Math" w:eastAsiaTheme="minorEastAsia"/>
                        <w:i/>
                      </w:rPr>
                    </m:ctrlPr>
                  </m:sSubPr>
                  <m:e>
                    <m:r>
                      <m:rPr/>
                      <w:rPr>
                        <w:rFonts w:ascii="Cambria Math" w:hAnsi="Cambria Math" w:eastAsiaTheme="minorEastAsia"/>
                      </w:rPr>
                      <m:t>A</m:t>
                    </m:r>
                    <m:ctrlPr>
                      <w:rPr>
                        <w:rFonts w:ascii="Cambria Math" w:hAnsi="Cambria Math" w:eastAsiaTheme="minorEastAsia"/>
                        <w:i/>
                      </w:rPr>
                    </m:ctrlPr>
                  </m:e>
                  <m:sub>
                    <m:r>
                      <m:rPr/>
                      <w:rPr>
                        <w:rFonts w:ascii="Cambria Math" w:hAnsi="Cambria Math" w:eastAsiaTheme="minorEastAsia"/>
                      </w:rPr>
                      <m:t>gr</m:t>
                    </m:r>
                    <m:ctrlPr>
                      <w:rPr>
                        <w:rFonts w:ascii="Cambria Math" w:hAnsi="Cambria Math" w:eastAsiaTheme="minorEastAsia"/>
                        <w:i/>
                      </w:rPr>
                    </m:ctrlPr>
                  </m:sub>
                </m:sSub>
                <m:r>
                  <m:rPr/>
                  <w:rPr>
                    <w:rFonts w:ascii="Cambria Math" w:eastAsiaTheme="minorEastAsia"/>
                  </w:rPr>
                  <m:t>+</m:t>
                </m:r>
                <m:sSub>
                  <m:sSubPr>
                    <m:ctrlPr>
                      <w:rPr>
                        <w:rFonts w:ascii="Cambria Math" w:hAnsi="Cambria Math" w:eastAsiaTheme="minorEastAsia"/>
                        <w:i/>
                      </w:rPr>
                    </m:ctrlPr>
                  </m:sSubPr>
                  <m:e>
                    <m:r>
                      <m:rPr/>
                      <w:rPr>
                        <w:rFonts w:ascii="Cambria Math" w:hAnsi="Cambria Math" w:eastAsiaTheme="minorEastAsia"/>
                      </w:rPr>
                      <m:t>A</m:t>
                    </m:r>
                    <m:ctrlPr>
                      <w:rPr>
                        <w:rFonts w:ascii="Cambria Math" w:hAnsi="Cambria Math" w:eastAsiaTheme="minorEastAsia"/>
                        <w:i/>
                      </w:rPr>
                    </m:ctrlPr>
                  </m:e>
                  <m:sub>
                    <m:r>
                      <m:rPr/>
                      <w:rPr>
                        <w:rFonts w:ascii="Cambria Math" w:hAnsi="Cambria Math" w:eastAsiaTheme="minorEastAsia"/>
                      </w:rPr>
                      <m:t>bar</m:t>
                    </m:r>
                    <m:ctrlPr>
                      <w:rPr>
                        <w:rFonts w:ascii="Cambria Math" w:hAnsi="Cambria Math" w:eastAsiaTheme="minorEastAsia"/>
                        <w:i/>
                      </w:rPr>
                    </m:ctrlPr>
                  </m:sub>
                </m:sSub>
                <m:r>
                  <m:rPr/>
                  <w:rPr>
                    <w:rFonts w:ascii="Cambria Math" w:eastAsiaTheme="minorEastAsia"/>
                  </w:rPr>
                  <m:t>+</m:t>
                </m:r>
                <m:sSub>
                  <m:sSubPr>
                    <m:ctrlPr>
                      <w:rPr>
                        <w:rFonts w:ascii="Cambria Math" w:hAnsi="Cambria Math" w:eastAsiaTheme="minorEastAsia"/>
                        <w:i/>
                      </w:rPr>
                    </m:ctrlPr>
                  </m:sSubPr>
                  <m:e>
                    <m:r>
                      <m:rPr/>
                      <w:rPr>
                        <w:rFonts w:ascii="Cambria Math" w:hAnsi="Cambria Math" w:eastAsiaTheme="minorEastAsia"/>
                      </w:rPr>
                      <m:t>A</m:t>
                    </m:r>
                    <m:ctrlPr>
                      <w:rPr>
                        <w:rFonts w:ascii="Cambria Math" w:hAnsi="Cambria Math" w:eastAsiaTheme="minorEastAsia"/>
                        <w:i/>
                      </w:rPr>
                    </m:ctrlPr>
                  </m:e>
                  <m:sub>
                    <m:r>
                      <m:rPr/>
                      <w:rPr>
                        <w:rFonts w:ascii="Cambria Math" w:hAnsi="Cambria Math" w:eastAsiaTheme="minorEastAsia"/>
                      </w:rPr>
                      <m:t>misc</m:t>
                    </m:r>
                    <m:ctrlPr>
                      <w:rPr>
                        <w:rFonts w:ascii="Cambria Math" w:hAnsi="Cambria Math" w:eastAsiaTheme="minorEastAsia"/>
                        <w:i/>
                      </w:rPr>
                    </m:ctrlPr>
                  </m:sub>
                </m:sSub>
              </m:oMath>
            </m:oMathPara>
          </w:p>
          <w:p>
            <w:pPr>
              <w:adjustRightInd w:val="0"/>
              <w:snapToGrid w:val="0"/>
              <w:spacing w:before="156" w:beforeLines="50" w:line="360" w:lineRule="auto"/>
              <w:ind w:firstLine="420"/>
              <w:rPr>
                <w:rFonts w:eastAsiaTheme="minorEastAsia"/>
              </w:rPr>
            </w:pPr>
            <w:r>
              <w:rPr>
                <w:rFonts w:hAnsiTheme="minorEastAsia" w:eastAsiaTheme="minorEastAsia"/>
              </w:rPr>
              <w:t>式中：</w:t>
            </w:r>
          </w:p>
          <w:p>
            <w:pPr>
              <w:snapToGrid w:val="0"/>
              <w:spacing w:line="360" w:lineRule="auto"/>
              <w:ind w:firstLine="420"/>
              <w:rPr>
                <w:rFonts w:eastAsiaTheme="minorEastAsia"/>
              </w:rPr>
            </w:pPr>
            <w:r>
              <w:rPr>
                <w:rFonts w:eastAsiaTheme="minorEastAsia"/>
              </w:rPr>
              <w:t>L</w:t>
            </w:r>
            <w:r>
              <w:rPr>
                <w:rFonts w:eastAsiaTheme="minorEastAsia"/>
                <w:vertAlign w:val="subscript"/>
              </w:rPr>
              <w:t>A</w:t>
            </w:r>
            <w:r>
              <w:rPr>
                <w:rFonts w:hAnsiTheme="minorEastAsia" w:eastAsiaTheme="minorEastAsia"/>
              </w:rPr>
              <w:t>（</w:t>
            </w:r>
            <w:r>
              <w:rPr>
                <w:rFonts w:eastAsiaTheme="minorEastAsia"/>
              </w:rPr>
              <w:t>r</w:t>
            </w:r>
            <w:r>
              <w:rPr>
                <w:rFonts w:hAnsiTheme="minorEastAsia" w:eastAsiaTheme="minorEastAsia"/>
              </w:rPr>
              <w:t>）</w:t>
            </w:r>
            <w:r>
              <w:rPr>
                <w:rFonts w:eastAsiaTheme="minorEastAsia"/>
              </w:rPr>
              <w:t>——</w:t>
            </w:r>
            <w:r>
              <w:rPr>
                <w:rFonts w:hAnsiTheme="minorEastAsia" w:eastAsiaTheme="minorEastAsia"/>
              </w:rPr>
              <w:t>距声源</w:t>
            </w:r>
            <w:r>
              <w:rPr>
                <w:rFonts w:eastAsiaTheme="minorEastAsia"/>
              </w:rPr>
              <w:t>r</w:t>
            </w:r>
            <w:r>
              <w:rPr>
                <w:rFonts w:hAnsiTheme="minorEastAsia" w:eastAsiaTheme="minorEastAsia"/>
              </w:rPr>
              <w:t>处的</w:t>
            </w:r>
            <w:r>
              <w:rPr>
                <w:rFonts w:eastAsiaTheme="minorEastAsia"/>
              </w:rPr>
              <w:t>A</w:t>
            </w:r>
            <w:r>
              <w:rPr>
                <w:rFonts w:hAnsiTheme="minorEastAsia" w:eastAsiaTheme="minorEastAsia"/>
              </w:rPr>
              <w:t>声级，</w:t>
            </w:r>
            <w:r>
              <w:rPr>
                <w:rFonts w:eastAsiaTheme="minorEastAsia"/>
              </w:rPr>
              <w:t>dB(A)</w:t>
            </w:r>
            <w:r>
              <w:rPr>
                <w:rFonts w:hAnsiTheme="minorEastAsia" w:eastAsiaTheme="minorEastAsia"/>
              </w:rPr>
              <w:t>；</w:t>
            </w:r>
          </w:p>
          <w:p>
            <w:pPr>
              <w:snapToGrid w:val="0"/>
              <w:spacing w:line="360" w:lineRule="auto"/>
              <w:ind w:firstLine="420"/>
              <w:rPr>
                <w:rFonts w:eastAsiaTheme="minorEastAsia"/>
              </w:rPr>
            </w:pPr>
            <w:r>
              <w:rPr>
                <w:rFonts w:eastAsiaTheme="minorEastAsia"/>
              </w:rPr>
              <w:t>L</w:t>
            </w:r>
            <w:r>
              <w:rPr>
                <w:rFonts w:eastAsiaTheme="minorEastAsia"/>
                <w:vertAlign w:val="subscript"/>
              </w:rPr>
              <w:t>aw</w:t>
            </w:r>
            <w:r>
              <w:rPr>
                <w:rFonts w:eastAsiaTheme="minorEastAsia"/>
              </w:rPr>
              <w:t>——</w:t>
            </w:r>
            <w:r>
              <w:rPr>
                <w:rFonts w:hAnsiTheme="minorEastAsia" w:eastAsiaTheme="minorEastAsia"/>
              </w:rPr>
              <w:t>声源的</w:t>
            </w:r>
            <w:r>
              <w:rPr>
                <w:rFonts w:eastAsiaTheme="minorEastAsia"/>
              </w:rPr>
              <w:t>A</w:t>
            </w:r>
            <w:r>
              <w:rPr>
                <w:rFonts w:hAnsiTheme="minorEastAsia" w:eastAsiaTheme="minorEastAsia"/>
              </w:rPr>
              <w:t>声功率级，</w:t>
            </w:r>
            <w:r>
              <w:rPr>
                <w:rFonts w:eastAsiaTheme="minorEastAsia"/>
              </w:rPr>
              <w:t>dB(A)</w:t>
            </w:r>
            <w:r>
              <w:rPr>
                <w:rFonts w:hAnsiTheme="minorEastAsia" w:eastAsiaTheme="minorEastAsia"/>
              </w:rPr>
              <w:t>；</w:t>
            </w:r>
          </w:p>
          <w:p>
            <w:pPr>
              <w:spacing w:line="360" w:lineRule="auto"/>
              <w:ind w:firstLine="420"/>
              <w:rPr>
                <w:rFonts w:eastAsiaTheme="minorEastAsia"/>
              </w:rPr>
            </w:pPr>
            <w:r>
              <w:rPr>
                <w:rFonts w:eastAsiaTheme="minorEastAsia"/>
              </w:rPr>
              <w:t>D</w:t>
            </w:r>
            <w:r>
              <w:rPr>
                <w:rFonts w:eastAsiaTheme="minorEastAsia"/>
                <w:vertAlign w:val="subscript"/>
              </w:rPr>
              <w:t>c</w:t>
            </w:r>
            <w:r>
              <w:rPr>
                <w:rFonts w:eastAsiaTheme="minorEastAsia"/>
              </w:rPr>
              <w:t>——</w:t>
            </w:r>
            <w:r>
              <w:rPr>
                <w:rFonts w:hAnsiTheme="minorEastAsia" w:eastAsiaTheme="minorEastAsia"/>
              </w:rPr>
              <w:t>指向性校正，</w:t>
            </w:r>
            <w:r>
              <w:rPr>
                <w:rFonts w:eastAsiaTheme="minorEastAsia"/>
              </w:rPr>
              <w:t>dB</w:t>
            </w:r>
            <w:r>
              <w:rPr>
                <w:rFonts w:hAnsiTheme="minorEastAsia" w:eastAsiaTheme="minorEastAsia"/>
              </w:rPr>
              <w:t>；它描述点声源的等效连续声压级与产生声功率级</w:t>
            </w:r>
            <w:r>
              <w:rPr>
                <w:rFonts w:eastAsiaTheme="minorEastAsia"/>
              </w:rPr>
              <w:t>L</w:t>
            </w:r>
            <w:r>
              <w:rPr>
                <w:rFonts w:eastAsiaTheme="minorEastAsia"/>
                <w:vertAlign w:val="subscript"/>
              </w:rPr>
              <w:t>w</w:t>
            </w:r>
            <w:r>
              <w:rPr>
                <w:rFonts w:hAnsiTheme="minorEastAsia" w:eastAsiaTheme="minorEastAsia"/>
              </w:rPr>
              <w:t>的全向点声源在规定方向的级的偏差程度；指向性校正等于点声源的指向性指数</w:t>
            </w:r>
            <w:r>
              <w:rPr>
                <w:rFonts w:eastAsiaTheme="minorEastAsia"/>
              </w:rPr>
              <w:t>D</w:t>
            </w:r>
            <w:r>
              <w:rPr>
                <w:rFonts w:eastAsiaTheme="minorEastAsia"/>
                <w:vertAlign w:val="subscript"/>
              </w:rPr>
              <w:t>I</w:t>
            </w:r>
            <w:r>
              <w:rPr>
                <w:rFonts w:hAnsiTheme="minorEastAsia" w:eastAsiaTheme="minorEastAsia"/>
              </w:rPr>
              <w:t>加上计到小于</w:t>
            </w:r>
            <w:r>
              <w:rPr>
                <w:rFonts w:eastAsiaTheme="minorEastAsia"/>
              </w:rPr>
              <w:t>4π</w:t>
            </w:r>
            <w:r>
              <w:rPr>
                <w:rFonts w:hAnsiTheme="minorEastAsia" w:eastAsiaTheme="minorEastAsia"/>
              </w:rPr>
              <w:t>球面度（</w:t>
            </w:r>
            <w:r>
              <w:rPr>
                <w:rFonts w:eastAsiaTheme="minorEastAsia"/>
              </w:rPr>
              <w:t>sr</w:t>
            </w:r>
            <w:r>
              <w:rPr>
                <w:rFonts w:hAnsiTheme="minorEastAsia" w:eastAsiaTheme="minorEastAsia"/>
              </w:rPr>
              <w:t>）立体角内的声传播指数</w:t>
            </w:r>
            <w:r>
              <w:rPr>
                <w:rFonts w:eastAsiaTheme="minorEastAsia"/>
              </w:rPr>
              <w:t>D</w:t>
            </w:r>
            <w:r>
              <w:rPr>
                <w:rFonts w:eastAsiaTheme="minorEastAsia"/>
                <w:vertAlign w:val="subscript"/>
              </w:rPr>
              <w:t>Ω</w:t>
            </w:r>
            <w:r>
              <w:rPr>
                <w:rFonts w:hAnsiTheme="minorEastAsia" w:eastAsiaTheme="minorEastAsia"/>
              </w:rPr>
              <w:t>；对辐射到自由空间的全向点声源，</w:t>
            </w:r>
            <w:r>
              <w:rPr>
                <w:rFonts w:eastAsiaTheme="minorEastAsia"/>
              </w:rPr>
              <w:t>Dc=0dB</w:t>
            </w:r>
            <w:r>
              <w:rPr>
                <w:rFonts w:hAnsiTheme="minorEastAsia" w:eastAsiaTheme="minorEastAsia"/>
              </w:rPr>
              <w:t>；</w:t>
            </w:r>
          </w:p>
          <w:p>
            <w:pPr>
              <w:snapToGrid w:val="0"/>
              <w:spacing w:line="360" w:lineRule="auto"/>
              <w:ind w:firstLine="420"/>
              <w:rPr>
                <w:rFonts w:eastAsiaTheme="minorEastAsia"/>
              </w:rPr>
            </w:pPr>
            <w:r>
              <w:rPr>
                <w:rFonts w:eastAsiaTheme="minorEastAsia"/>
              </w:rPr>
              <w:t>A——</w:t>
            </w:r>
            <w:r>
              <w:rPr>
                <w:rFonts w:hAnsiTheme="minorEastAsia" w:eastAsiaTheme="minorEastAsia"/>
              </w:rPr>
              <w:t>倍频带衰减，</w:t>
            </w:r>
            <w:r>
              <w:rPr>
                <w:rFonts w:eastAsiaTheme="minorEastAsia"/>
              </w:rPr>
              <w:t>dB</w:t>
            </w:r>
            <w:r>
              <w:rPr>
                <w:rFonts w:hAnsiTheme="minorEastAsia" w:eastAsiaTheme="minorEastAsia"/>
              </w:rPr>
              <w:t>；</w:t>
            </w:r>
          </w:p>
          <w:p>
            <w:pPr>
              <w:snapToGrid w:val="0"/>
              <w:spacing w:line="360" w:lineRule="auto"/>
              <w:ind w:firstLine="420"/>
              <w:rPr>
                <w:rFonts w:eastAsiaTheme="minorEastAsia"/>
              </w:rPr>
            </w:pPr>
            <w:r>
              <w:rPr>
                <w:rFonts w:eastAsiaTheme="minorEastAsia"/>
              </w:rPr>
              <w:t>A</w:t>
            </w:r>
            <w:r>
              <w:rPr>
                <w:rFonts w:eastAsiaTheme="minorEastAsia"/>
                <w:vertAlign w:val="subscript"/>
              </w:rPr>
              <w:t>div</w:t>
            </w:r>
            <w:r>
              <w:rPr>
                <w:rFonts w:eastAsiaTheme="minorEastAsia"/>
              </w:rPr>
              <w:t>——</w:t>
            </w:r>
            <w:r>
              <w:rPr>
                <w:rFonts w:hAnsiTheme="minorEastAsia" w:eastAsiaTheme="minorEastAsia"/>
              </w:rPr>
              <w:t>几何发散引起的倍频带衰减，</w:t>
            </w:r>
            <w:r>
              <w:rPr>
                <w:rFonts w:eastAsiaTheme="minorEastAsia"/>
              </w:rPr>
              <w:t>dB</w:t>
            </w:r>
            <w:r>
              <w:rPr>
                <w:rFonts w:hAnsiTheme="minorEastAsia" w:eastAsiaTheme="minorEastAsia"/>
              </w:rPr>
              <w:t>；</w:t>
            </w:r>
          </w:p>
          <w:p>
            <w:pPr>
              <w:snapToGrid w:val="0"/>
              <w:spacing w:line="360" w:lineRule="auto"/>
              <w:ind w:firstLine="420"/>
              <w:rPr>
                <w:rFonts w:eastAsiaTheme="minorEastAsia"/>
              </w:rPr>
            </w:pPr>
            <w:r>
              <w:rPr>
                <w:rFonts w:eastAsiaTheme="minorEastAsia"/>
              </w:rPr>
              <w:t>A</w:t>
            </w:r>
            <w:r>
              <w:rPr>
                <w:rFonts w:eastAsiaTheme="minorEastAsia"/>
                <w:vertAlign w:val="subscript"/>
              </w:rPr>
              <w:t>atm</w:t>
            </w:r>
            <w:r>
              <w:rPr>
                <w:rFonts w:eastAsiaTheme="minorEastAsia"/>
              </w:rPr>
              <w:t>——</w:t>
            </w:r>
            <w:r>
              <w:rPr>
                <w:rFonts w:hAnsiTheme="minorEastAsia" w:eastAsiaTheme="minorEastAsia"/>
              </w:rPr>
              <w:t>大气吸收引起的倍频带衰减，</w:t>
            </w:r>
            <w:r>
              <w:rPr>
                <w:rFonts w:eastAsiaTheme="minorEastAsia"/>
              </w:rPr>
              <w:t>dB</w:t>
            </w:r>
            <w:r>
              <w:rPr>
                <w:rFonts w:hAnsiTheme="minorEastAsia" w:eastAsiaTheme="minorEastAsia"/>
              </w:rPr>
              <w:t>；</w:t>
            </w:r>
          </w:p>
          <w:p>
            <w:pPr>
              <w:snapToGrid w:val="0"/>
              <w:spacing w:line="360" w:lineRule="auto"/>
              <w:ind w:firstLine="420"/>
              <w:rPr>
                <w:rFonts w:eastAsiaTheme="minorEastAsia"/>
              </w:rPr>
            </w:pPr>
            <w:r>
              <w:rPr>
                <w:rFonts w:eastAsiaTheme="minorEastAsia"/>
              </w:rPr>
              <w:t>A</w:t>
            </w:r>
            <w:r>
              <w:rPr>
                <w:rFonts w:eastAsiaTheme="minorEastAsia"/>
                <w:vertAlign w:val="subscript"/>
              </w:rPr>
              <w:t>gr</w:t>
            </w:r>
            <w:r>
              <w:rPr>
                <w:rFonts w:eastAsiaTheme="minorEastAsia"/>
              </w:rPr>
              <w:t>——</w:t>
            </w:r>
            <w:r>
              <w:rPr>
                <w:rFonts w:hAnsiTheme="minorEastAsia" w:eastAsiaTheme="minorEastAsia"/>
              </w:rPr>
              <w:t>地面效应引起的倍频带衰减，</w:t>
            </w:r>
            <w:r>
              <w:rPr>
                <w:rFonts w:eastAsiaTheme="minorEastAsia"/>
              </w:rPr>
              <w:t>dB</w:t>
            </w:r>
            <w:r>
              <w:rPr>
                <w:rFonts w:hAnsiTheme="minorEastAsia" w:eastAsiaTheme="minorEastAsia"/>
              </w:rPr>
              <w:t>；</w:t>
            </w:r>
          </w:p>
          <w:p>
            <w:pPr>
              <w:snapToGrid w:val="0"/>
              <w:spacing w:line="360" w:lineRule="auto"/>
              <w:ind w:firstLine="420"/>
              <w:rPr>
                <w:rFonts w:eastAsiaTheme="minorEastAsia"/>
              </w:rPr>
            </w:pPr>
            <w:r>
              <w:rPr>
                <w:rFonts w:eastAsiaTheme="minorEastAsia"/>
              </w:rPr>
              <w:t>A</w:t>
            </w:r>
            <w:r>
              <w:rPr>
                <w:rFonts w:eastAsiaTheme="minorEastAsia"/>
                <w:vertAlign w:val="subscript"/>
              </w:rPr>
              <w:t>bar</w:t>
            </w:r>
            <w:r>
              <w:rPr>
                <w:rFonts w:eastAsiaTheme="minorEastAsia"/>
              </w:rPr>
              <w:t>——</w:t>
            </w:r>
            <w:r>
              <w:rPr>
                <w:rFonts w:hAnsiTheme="minorEastAsia" w:eastAsiaTheme="minorEastAsia"/>
              </w:rPr>
              <w:t>声屏障引起的倍频带衰减，</w:t>
            </w:r>
            <w:r>
              <w:rPr>
                <w:rFonts w:eastAsiaTheme="minorEastAsia"/>
              </w:rPr>
              <w:t>dB</w:t>
            </w:r>
            <w:r>
              <w:rPr>
                <w:rFonts w:hAnsiTheme="minorEastAsia" w:eastAsiaTheme="minorEastAsia"/>
              </w:rPr>
              <w:t>；</w:t>
            </w:r>
          </w:p>
          <w:p>
            <w:pPr>
              <w:snapToGrid w:val="0"/>
              <w:spacing w:line="360" w:lineRule="auto"/>
              <w:ind w:firstLine="420"/>
              <w:rPr>
                <w:rFonts w:eastAsiaTheme="minorEastAsia"/>
              </w:rPr>
            </w:pPr>
            <w:r>
              <w:rPr>
                <w:rFonts w:eastAsiaTheme="minorEastAsia"/>
              </w:rPr>
              <w:t>A</w:t>
            </w:r>
            <w:r>
              <w:rPr>
                <w:rFonts w:eastAsiaTheme="minorEastAsia"/>
                <w:vertAlign w:val="subscript"/>
              </w:rPr>
              <w:t>misc</w:t>
            </w:r>
            <w:r>
              <w:rPr>
                <w:rFonts w:eastAsiaTheme="minorEastAsia"/>
              </w:rPr>
              <w:t>——</w:t>
            </w:r>
            <w:r>
              <w:rPr>
                <w:rFonts w:hAnsiTheme="minorEastAsia" w:eastAsiaTheme="minorEastAsia"/>
              </w:rPr>
              <w:t>其他多方面效应引起的倍频带衰减，</w:t>
            </w:r>
            <w:r>
              <w:rPr>
                <w:rFonts w:eastAsiaTheme="minorEastAsia"/>
              </w:rPr>
              <w:t>dB</w:t>
            </w:r>
            <w:r>
              <w:rPr>
                <w:rFonts w:hAnsiTheme="minorEastAsia" w:eastAsiaTheme="minorEastAsia"/>
              </w:rPr>
              <w:t>。</w:t>
            </w:r>
          </w:p>
          <w:p>
            <w:pPr>
              <w:snapToGrid w:val="0"/>
              <w:spacing w:line="360" w:lineRule="auto"/>
              <w:ind w:firstLine="420"/>
              <w:rPr>
                <w:rFonts w:eastAsiaTheme="minorEastAsia"/>
              </w:rPr>
            </w:pPr>
            <w:r>
              <w:rPr>
                <w:rFonts w:eastAsiaTheme="minorEastAsia"/>
              </w:rPr>
              <w:t>C</w:t>
            </w:r>
            <w:r>
              <w:rPr>
                <w:rFonts w:hAnsiTheme="minorEastAsia" w:eastAsiaTheme="minorEastAsia"/>
              </w:rPr>
              <w:t>、</w:t>
            </w:r>
            <w:r>
              <w:rPr>
                <w:rFonts w:eastAsiaTheme="minorEastAsia"/>
              </w:rPr>
              <w:t>ƩA</w:t>
            </w:r>
            <w:r>
              <w:rPr>
                <w:rFonts w:eastAsiaTheme="minorEastAsia"/>
                <w:vertAlign w:val="subscript"/>
              </w:rPr>
              <w:t>i</w:t>
            </w:r>
            <w:r>
              <w:rPr>
                <w:rFonts w:hAnsiTheme="minorEastAsia" w:eastAsiaTheme="minorEastAsia"/>
              </w:rPr>
              <w:t>的计算方法</w:t>
            </w:r>
          </w:p>
          <w:p>
            <w:pPr>
              <w:snapToGrid w:val="0"/>
              <w:spacing w:line="360" w:lineRule="auto"/>
              <w:ind w:firstLine="420"/>
              <w:rPr>
                <w:rFonts w:eastAsiaTheme="minorEastAsia"/>
              </w:rPr>
            </w:pPr>
            <w:r>
              <w:rPr>
                <w:rFonts w:hAnsiTheme="minorEastAsia" w:eastAsiaTheme="minorEastAsia"/>
              </w:rPr>
              <w:t>声波在传播过程中能量衰减的因素颇多。在预测时，为留有较大余地，以噪声环境最不利的情况为前提，本次评价只考虑几何发散衰减（</w:t>
            </w:r>
            <w:r>
              <w:rPr>
                <w:rFonts w:eastAsiaTheme="minorEastAsia"/>
              </w:rPr>
              <w:t>A</w:t>
            </w:r>
            <w:r>
              <w:rPr>
                <w:rFonts w:eastAsiaTheme="minorEastAsia"/>
                <w:vertAlign w:val="subscript"/>
              </w:rPr>
              <w:t>div</w:t>
            </w:r>
            <w:r>
              <w:rPr>
                <w:rFonts w:hAnsiTheme="minorEastAsia" w:eastAsiaTheme="minorEastAsia"/>
              </w:rPr>
              <w:t>），其它因素的衰减，如大气吸收、地面效应、屏障屏蔽等因素均作为预测计算的安全系数而不计。</w:t>
            </w:r>
          </w:p>
          <w:p>
            <w:pPr>
              <w:snapToGrid w:val="0"/>
              <w:spacing w:line="360" w:lineRule="auto"/>
              <w:ind w:firstLine="420"/>
              <w:rPr>
                <w:rFonts w:eastAsiaTheme="minorEastAsia"/>
              </w:rPr>
            </w:pPr>
            <w:r>
              <w:rPr>
                <w:rFonts w:hAnsiTheme="minorEastAsia" w:eastAsiaTheme="minorEastAsia"/>
              </w:rPr>
              <w:t>几何发散衰减（</w:t>
            </w:r>
            <w:r>
              <w:rPr>
                <w:rFonts w:eastAsiaTheme="minorEastAsia"/>
              </w:rPr>
              <w:t>A</w:t>
            </w:r>
            <w:r>
              <w:rPr>
                <w:rFonts w:eastAsiaTheme="minorEastAsia"/>
                <w:vertAlign w:val="subscript"/>
              </w:rPr>
              <w:t>div</w:t>
            </w:r>
            <w:r>
              <w:rPr>
                <w:rFonts w:hAnsiTheme="minorEastAsia" w:eastAsiaTheme="minorEastAsia"/>
              </w:rPr>
              <w:t>）</w:t>
            </w:r>
          </w:p>
          <w:p>
            <w:pPr>
              <w:snapToGrid w:val="0"/>
              <w:spacing w:line="360" w:lineRule="auto"/>
              <w:ind w:firstLine="420"/>
              <w:rPr>
                <w:rFonts w:eastAsiaTheme="minorEastAsia"/>
              </w:rPr>
            </w:pPr>
            <w:r>
              <w:rPr>
                <w:rFonts w:hAnsiTheme="minorEastAsia" w:eastAsiaTheme="minorEastAsia"/>
              </w:rPr>
              <w:t>无指向性点声源几何发散衰减的基本公式为：</w:t>
            </w:r>
          </w:p>
          <w:p>
            <w:pPr>
              <w:spacing w:line="360" w:lineRule="auto"/>
              <w:ind w:firstLine="420"/>
              <w:jc w:val="center"/>
              <w:rPr>
                <w:rFonts w:eastAsiaTheme="minorEastAsia"/>
              </w:rPr>
            </w:pPr>
            <m:oMathPara>
              <m:oMath>
                <m:sSub>
                  <m:sSubPr>
                    <m:ctrlPr>
                      <w:rPr>
                        <w:rFonts w:ascii="Cambria Math" w:hAnsi="Cambria Math" w:eastAsiaTheme="minorEastAsia"/>
                      </w:rPr>
                    </m:ctrlPr>
                  </m:sSubPr>
                  <m:e>
                    <m:r>
                      <m:rPr/>
                      <w:rPr>
                        <w:rFonts w:ascii="Cambria Math" w:hAnsi="Cambria Math" w:eastAsiaTheme="minorEastAsia"/>
                      </w:rPr>
                      <m:t>A</m:t>
                    </m:r>
                    <m:ctrlPr>
                      <w:rPr>
                        <w:rFonts w:ascii="Cambria Math" w:hAnsi="Cambria Math" w:eastAsiaTheme="minorEastAsia"/>
                      </w:rPr>
                    </m:ctrlPr>
                  </m:e>
                  <m:sub>
                    <m:r>
                      <m:rPr/>
                      <w:rPr>
                        <w:rFonts w:ascii="Cambria Math" w:hAnsi="Cambria Math" w:eastAsiaTheme="minorEastAsia"/>
                      </w:rPr>
                      <m:t>div</m:t>
                    </m:r>
                    <m:ctrlPr>
                      <w:rPr>
                        <w:rFonts w:ascii="Cambria Math" w:hAnsi="Cambria Math" w:eastAsiaTheme="minorEastAsia"/>
                      </w:rPr>
                    </m:ctrlPr>
                  </m:sub>
                </m:sSub>
                <m:r>
                  <m:rPr/>
                  <w:rPr>
                    <w:rFonts w:ascii="Cambria Math" w:eastAsiaTheme="minorEastAsia"/>
                  </w:rPr>
                  <m:t>=20</m:t>
                </m:r>
                <m:r>
                  <m:rPr/>
                  <w:rPr>
                    <w:rFonts w:ascii="Cambria Math" w:hAnsi="Cambria Math" w:eastAsiaTheme="minorEastAsia"/>
                  </w:rPr>
                  <m:t>lg</m:t>
                </m:r>
                <m:d>
                  <m:dPr>
                    <m:ctrlPr>
                      <w:rPr>
                        <w:rFonts w:ascii="Cambria Math" w:hAnsi="Cambria Math" w:eastAsiaTheme="minorEastAsia"/>
                        <w:i/>
                      </w:rPr>
                    </m:ctrlPr>
                  </m:dPr>
                  <m:e>
                    <m:r>
                      <m:rPr/>
                      <w:rPr>
                        <w:rFonts w:ascii="Cambria Math" w:hAnsi="Cambria Math" w:eastAsiaTheme="minorEastAsia"/>
                      </w:rPr>
                      <m:t>r</m:t>
                    </m:r>
                    <m:r>
                      <m:rPr/>
                      <w:rPr>
                        <w:rFonts w:ascii="Cambria Math" w:eastAsiaTheme="minorEastAsia"/>
                      </w:rPr>
                      <m:t>/</m:t>
                    </m:r>
                    <m:sSub>
                      <m:sSubPr>
                        <m:ctrlPr>
                          <w:rPr>
                            <w:rFonts w:ascii="Cambria Math" w:hAnsi="Cambria Math" w:eastAsiaTheme="minorEastAsia"/>
                            <w:i/>
                          </w:rPr>
                        </m:ctrlPr>
                      </m:sSubPr>
                      <m:e>
                        <m:r>
                          <m:rPr/>
                          <w:rPr>
                            <w:rFonts w:ascii="Cambria Math" w:hAnsi="Cambria Math" w:eastAsiaTheme="minorEastAsia"/>
                          </w:rPr>
                          <m:t>r</m:t>
                        </m:r>
                        <m:ctrlPr>
                          <w:rPr>
                            <w:rFonts w:ascii="Cambria Math" w:hAnsi="Cambria Math" w:eastAsiaTheme="minorEastAsia"/>
                            <w:i/>
                          </w:rPr>
                        </m:ctrlPr>
                      </m:e>
                      <m:sub>
                        <m:r>
                          <m:rPr/>
                          <w:rPr>
                            <w:rFonts w:ascii="Cambria Math" w:eastAsiaTheme="minorEastAsia"/>
                          </w:rPr>
                          <m:t>0</m:t>
                        </m:r>
                        <m:ctrlPr>
                          <w:rPr>
                            <w:rFonts w:ascii="Cambria Math" w:hAnsi="Cambria Math" w:eastAsiaTheme="minorEastAsia"/>
                            <w:i/>
                          </w:rPr>
                        </m:ctrlPr>
                      </m:sub>
                    </m:sSub>
                    <m:ctrlPr>
                      <w:rPr>
                        <w:rFonts w:ascii="Cambria Math" w:hAnsi="Cambria Math" w:eastAsiaTheme="minorEastAsia"/>
                        <w:i/>
                      </w:rPr>
                    </m:ctrlPr>
                  </m:e>
                </m:d>
              </m:oMath>
            </m:oMathPara>
          </w:p>
          <w:p>
            <w:pPr>
              <w:adjustRightInd w:val="0"/>
              <w:snapToGrid w:val="0"/>
              <w:spacing w:before="156" w:beforeLines="50" w:line="360" w:lineRule="auto"/>
              <w:ind w:firstLine="420"/>
              <w:rPr>
                <w:rFonts w:eastAsiaTheme="minorEastAsia"/>
              </w:rPr>
            </w:pPr>
            <w:r>
              <w:rPr>
                <w:rFonts w:hAnsiTheme="minorEastAsia" w:eastAsiaTheme="minorEastAsia"/>
              </w:rPr>
              <w:t>如果已知点声源的倍频带声功率级</w:t>
            </w:r>
            <w:r>
              <w:rPr>
                <w:rFonts w:eastAsiaTheme="minorEastAsia"/>
              </w:rPr>
              <w:t>Lw</w:t>
            </w:r>
            <w:r>
              <w:rPr>
                <w:rFonts w:hAnsiTheme="minorEastAsia" w:eastAsiaTheme="minorEastAsia"/>
              </w:rPr>
              <w:t>或</w:t>
            </w:r>
            <w:r>
              <w:rPr>
                <w:rFonts w:eastAsiaTheme="minorEastAsia"/>
              </w:rPr>
              <w:t>A</w:t>
            </w:r>
            <w:r>
              <w:rPr>
                <w:rFonts w:hAnsiTheme="minorEastAsia" w:eastAsiaTheme="minorEastAsia"/>
              </w:rPr>
              <w:t>声功率级</w:t>
            </w:r>
            <w:r>
              <w:rPr>
                <w:rFonts w:eastAsiaTheme="minorEastAsia"/>
              </w:rPr>
              <w:t>Law</w:t>
            </w:r>
            <w:r>
              <w:rPr>
                <w:rFonts w:hAnsiTheme="minorEastAsia" w:eastAsiaTheme="minorEastAsia"/>
              </w:rPr>
              <w:t>，且声源处于半自由声场，上式相当于：</w:t>
            </w:r>
          </w:p>
          <w:p>
            <w:pPr>
              <w:spacing w:line="360" w:lineRule="auto"/>
              <w:ind w:firstLine="420"/>
              <w:jc w:val="center"/>
              <w:rPr>
                <w:rFonts w:eastAsiaTheme="minorEastAsia"/>
              </w:rPr>
            </w:pPr>
            <m:oMathPara>
              <m:oMath>
                <m:sSub>
                  <m:sSubPr>
                    <m:ctrlPr>
                      <w:rPr>
                        <w:rFonts w:ascii="Cambria Math" w:hAnsi="Cambria Math" w:eastAsiaTheme="minorEastAsia"/>
                      </w:rPr>
                    </m:ctrlPr>
                  </m:sSubPr>
                  <m:e>
                    <m:r>
                      <m:rPr/>
                      <w:rPr>
                        <w:rFonts w:ascii="Cambria Math" w:hAnsi="Cambria Math" w:eastAsiaTheme="minorEastAsia"/>
                      </w:rPr>
                      <m:t>L</m:t>
                    </m:r>
                    <m:ctrlPr>
                      <w:rPr>
                        <w:rFonts w:ascii="Cambria Math" w:hAnsi="Cambria Math" w:eastAsiaTheme="minorEastAsia"/>
                      </w:rPr>
                    </m:ctrlPr>
                  </m:e>
                  <m:sub>
                    <m:r>
                      <m:rPr/>
                      <w:rPr>
                        <w:rFonts w:ascii="Cambria Math" w:hAnsi="Cambria Math" w:eastAsiaTheme="minorEastAsia"/>
                      </w:rPr>
                      <m:t>p</m:t>
                    </m:r>
                    <m:ctrlPr>
                      <w:rPr>
                        <w:rFonts w:ascii="Cambria Math" w:hAnsi="Cambria Math" w:eastAsiaTheme="minorEastAsia"/>
                      </w:rPr>
                    </m:ctrlPr>
                  </m:sub>
                </m:sSub>
                <m:d>
                  <m:dPr>
                    <m:ctrlPr>
                      <w:rPr>
                        <w:rFonts w:ascii="Cambria Math" w:hAnsi="Cambria Math" w:eastAsiaTheme="minorEastAsia"/>
                        <w:i/>
                      </w:rPr>
                    </m:ctrlPr>
                  </m:dPr>
                  <m:e>
                    <m:r>
                      <m:rPr/>
                      <w:rPr>
                        <w:rFonts w:ascii="Cambria Math" w:hAnsi="Cambria Math" w:eastAsiaTheme="minorEastAsia"/>
                      </w:rPr>
                      <m:t>r</m:t>
                    </m:r>
                    <m:ctrlPr>
                      <w:rPr>
                        <w:rFonts w:ascii="Cambria Math" w:hAnsi="Cambria Math" w:eastAsiaTheme="minorEastAsia"/>
                        <w:i/>
                      </w:rPr>
                    </m:ctrlPr>
                  </m:e>
                </m:d>
                <m:r>
                  <m:rPr/>
                  <w:rPr>
                    <w:rFonts w:ascii="Cambria Math" w:eastAsiaTheme="minorEastAsia"/>
                  </w:rPr>
                  <m:t>=</m:t>
                </m:r>
                <m:sSub>
                  <m:sSubPr>
                    <m:ctrlPr>
                      <w:rPr>
                        <w:rFonts w:ascii="Cambria Math" w:hAnsi="Cambria Math" w:eastAsiaTheme="minorEastAsia"/>
                        <w:i/>
                      </w:rPr>
                    </m:ctrlPr>
                  </m:sSubPr>
                  <m:e>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W</m:t>
                    </m:r>
                    <m:ctrlPr>
                      <w:rPr>
                        <w:rFonts w:ascii="Cambria Math" w:hAnsi="Cambria Math" w:eastAsiaTheme="minorEastAsia"/>
                        <w:i/>
                      </w:rPr>
                    </m:ctrlPr>
                  </m:sub>
                </m:sSub>
                <m:r>
                  <m:rPr/>
                  <w:rPr>
                    <w:rFonts w:eastAsiaTheme="minorEastAsia"/>
                  </w:rPr>
                  <m:t>−</m:t>
                </m:r>
                <m:r>
                  <m:rPr/>
                  <w:rPr>
                    <w:rFonts w:ascii="Cambria Math" w:eastAsiaTheme="minorEastAsia"/>
                  </w:rPr>
                  <m:t>20</m:t>
                </m:r>
                <m:r>
                  <m:rPr/>
                  <w:rPr>
                    <w:rFonts w:ascii="Cambria Math" w:hAnsi="Cambria Math" w:eastAsiaTheme="minorEastAsia"/>
                  </w:rPr>
                  <m:t>lg</m:t>
                </m:r>
                <m:d>
                  <m:dPr>
                    <m:ctrlPr>
                      <w:rPr>
                        <w:rFonts w:ascii="Cambria Math" w:hAnsi="Cambria Math" w:eastAsiaTheme="minorEastAsia"/>
                        <w:i/>
                      </w:rPr>
                    </m:ctrlPr>
                  </m:dPr>
                  <m:e>
                    <m:r>
                      <m:rPr/>
                      <w:rPr>
                        <w:rFonts w:ascii="Cambria Math" w:hAnsi="Cambria Math" w:eastAsiaTheme="minorEastAsia"/>
                      </w:rPr>
                      <m:t>r</m:t>
                    </m:r>
                    <m:ctrlPr>
                      <w:rPr>
                        <w:rFonts w:ascii="Cambria Math" w:hAnsi="Cambria Math" w:eastAsiaTheme="minorEastAsia"/>
                        <w:i/>
                      </w:rPr>
                    </m:ctrlPr>
                  </m:e>
                </m:d>
                <m:r>
                  <m:rPr/>
                  <w:rPr>
                    <w:rFonts w:eastAsiaTheme="minorEastAsia"/>
                  </w:rPr>
                  <m:t>−</m:t>
                </m:r>
                <m:r>
                  <m:rPr/>
                  <w:rPr>
                    <w:rFonts w:ascii="Cambria Math" w:eastAsiaTheme="minorEastAsia"/>
                  </w:rPr>
                  <m:t>8</m:t>
                </m:r>
              </m:oMath>
            </m:oMathPara>
          </w:p>
          <w:p>
            <w:pPr>
              <w:spacing w:line="360" w:lineRule="auto"/>
              <w:ind w:firstLine="420"/>
              <w:jc w:val="center"/>
              <w:rPr>
                <w:rFonts w:eastAsiaTheme="minorEastAsia"/>
              </w:rPr>
            </w:pPr>
            <m:oMathPara>
              <m:oMath>
                <m:sSub>
                  <m:sSubPr>
                    <m:ctrlPr>
                      <w:rPr>
                        <w:rFonts w:ascii="Cambria Math" w:hAnsi="Cambria Math" w:eastAsiaTheme="minorEastAsia"/>
                      </w:rPr>
                    </m:ctrlPr>
                  </m:sSubPr>
                  <m:e>
                    <m:r>
                      <m:rPr/>
                      <w:rPr>
                        <w:rFonts w:ascii="Cambria Math" w:hAnsi="Cambria Math" w:eastAsiaTheme="minorEastAsia"/>
                      </w:rPr>
                      <m:t>L</m:t>
                    </m:r>
                    <m:ctrlPr>
                      <w:rPr>
                        <w:rFonts w:ascii="Cambria Math" w:hAnsi="Cambria Math" w:eastAsiaTheme="minorEastAsia"/>
                      </w:rPr>
                    </m:ctrlPr>
                  </m:e>
                  <m:sub>
                    <m:r>
                      <m:rPr/>
                      <w:rPr>
                        <w:rFonts w:ascii="Cambria Math" w:hAnsi="Cambria Math" w:eastAsiaTheme="minorEastAsia"/>
                      </w:rPr>
                      <m:t>A</m:t>
                    </m:r>
                    <m:ctrlPr>
                      <w:rPr>
                        <w:rFonts w:ascii="Cambria Math" w:hAnsi="Cambria Math" w:eastAsiaTheme="minorEastAsia"/>
                      </w:rPr>
                    </m:ctrlPr>
                  </m:sub>
                </m:sSub>
                <m:d>
                  <m:dPr>
                    <m:ctrlPr>
                      <w:rPr>
                        <w:rFonts w:ascii="Cambria Math" w:hAnsi="Cambria Math" w:eastAsiaTheme="minorEastAsia"/>
                        <w:i/>
                      </w:rPr>
                    </m:ctrlPr>
                  </m:dPr>
                  <m:e>
                    <m:r>
                      <m:rPr/>
                      <w:rPr>
                        <w:rFonts w:ascii="Cambria Math" w:hAnsi="Cambria Math" w:eastAsiaTheme="minorEastAsia"/>
                      </w:rPr>
                      <m:t>r</m:t>
                    </m:r>
                    <m:ctrlPr>
                      <w:rPr>
                        <w:rFonts w:ascii="Cambria Math" w:hAnsi="Cambria Math" w:eastAsiaTheme="minorEastAsia"/>
                        <w:i/>
                      </w:rPr>
                    </m:ctrlPr>
                  </m:e>
                </m:d>
                <m:r>
                  <m:rPr/>
                  <w:rPr>
                    <w:rFonts w:ascii="Cambria Math" w:eastAsiaTheme="minorEastAsia"/>
                  </w:rPr>
                  <m:t>=</m:t>
                </m:r>
                <m:sSub>
                  <m:sSubPr>
                    <m:ctrlPr>
                      <w:rPr>
                        <w:rFonts w:ascii="Cambria Math" w:hAnsi="Cambria Math" w:eastAsiaTheme="minorEastAsia"/>
                        <w:i/>
                      </w:rPr>
                    </m:ctrlPr>
                  </m:sSubPr>
                  <m:e>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AW</m:t>
                    </m:r>
                    <m:ctrlPr>
                      <w:rPr>
                        <w:rFonts w:ascii="Cambria Math" w:hAnsi="Cambria Math" w:eastAsiaTheme="minorEastAsia"/>
                        <w:i/>
                      </w:rPr>
                    </m:ctrlPr>
                  </m:sub>
                </m:sSub>
                <m:r>
                  <m:rPr/>
                  <w:rPr>
                    <w:rFonts w:eastAsiaTheme="minorEastAsia"/>
                  </w:rPr>
                  <m:t>−</m:t>
                </m:r>
                <m:r>
                  <m:rPr/>
                  <w:rPr>
                    <w:rFonts w:ascii="Cambria Math" w:eastAsiaTheme="minorEastAsia"/>
                  </w:rPr>
                  <m:t>20</m:t>
                </m:r>
                <m:r>
                  <m:rPr/>
                  <w:rPr>
                    <w:rFonts w:ascii="Cambria Math" w:hAnsi="Cambria Math" w:eastAsiaTheme="minorEastAsia"/>
                  </w:rPr>
                  <m:t>lg</m:t>
                </m:r>
                <m:d>
                  <m:dPr>
                    <m:ctrlPr>
                      <w:rPr>
                        <w:rFonts w:ascii="Cambria Math" w:hAnsi="Cambria Math" w:eastAsiaTheme="minorEastAsia"/>
                        <w:i/>
                      </w:rPr>
                    </m:ctrlPr>
                  </m:dPr>
                  <m:e>
                    <m:r>
                      <m:rPr/>
                      <w:rPr>
                        <w:rFonts w:ascii="Cambria Math" w:hAnsi="Cambria Math" w:eastAsiaTheme="minorEastAsia"/>
                      </w:rPr>
                      <m:t>r</m:t>
                    </m:r>
                    <m:ctrlPr>
                      <w:rPr>
                        <w:rFonts w:ascii="Cambria Math" w:hAnsi="Cambria Math" w:eastAsiaTheme="minorEastAsia"/>
                        <w:i/>
                      </w:rPr>
                    </m:ctrlPr>
                  </m:e>
                </m:d>
                <m:r>
                  <m:rPr/>
                  <w:rPr>
                    <w:rFonts w:eastAsiaTheme="minorEastAsia"/>
                  </w:rPr>
                  <m:t>−</m:t>
                </m:r>
                <m:r>
                  <m:rPr/>
                  <w:rPr>
                    <w:rFonts w:ascii="Cambria Math" w:eastAsiaTheme="minorEastAsia"/>
                  </w:rPr>
                  <m:t>8</m:t>
                </m:r>
              </m:oMath>
            </m:oMathPara>
          </w:p>
          <w:p>
            <w:pPr>
              <w:adjustRightInd w:val="0"/>
              <w:snapToGrid w:val="0"/>
              <w:spacing w:before="156" w:beforeLines="50" w:line="360" w:lineRule="auto"/>
              <w:ind w:firstLine="420"/>
              <w:rPr>
                <w:rFonts w:eastAsiaTheme="minorEastAsia"/>
              </w:rPr>
            </w:pPr>
            <w:r>
              <w:rPr>
                <w:rFonts w:eastAsiaTheme="minorEastAsia"/>
              </w:rPr>
              <w:t>D</w:t>
            </w:r>
            <w:r>
              <w:rPr>
                <w:rFonts w:hAnsiTheme="minorEastAsia" w:eastAsiaTheme="minorEastAsia"/>
              </w:rPr>
              <w:t>、叠加影响公式</w:t>
            </w:r>
          </w:p>
          <w:p>
            <w:pPr>
              <w:snapToGrid w:val="0"/>
              <w:spacing w:line="360" w:lineRule="auto"/>
              <w:ind w:firstLine="420"/>
              <w:rPr>
                <w:rFonts w:eastAsiaTheme="minorEastAsia"/>
              </w:rPr>
            </w:pPr>
            <w:r>
              <w:rPr>
                <w:rFonts w:hAnsiTheme="minorEastAsia" w:eastAsiaTheme="minorEastAsia"/>
              </w:rPr>
              <w:t>建设项目声源在预测点产生的等效声级贡献值（</w:t>
            </w:r>
            <w:r>
              <w:rPr>
                <w:rFonts w:eastAsiaTheme="minorEastAsia"/>
              </w:rPr>
              <w:t>L</w:t>
            </w:r>
            <w:r>
              <w:rPr>
                <w:rFonts w:eastAsiaTheme="minorEastAsia"/>
                <w:vertAlign w:val="subscript"/>
              </w:rPr>
              <w:t>eqg</w:t>
            </w:r>
            <w:r>
              <w:rPr>
                <w:rFonts w:hAnsiTheme="minorEastAsia" w:eastAsiaTheme="minorEastAsia"/>
              </w:rPr>
              <w:t>）计算公式：</w:t>
            </w:r>
          </w:p>
          <w:p>
            <w:pPr>
              <w:spacing w:line="360" w:lineRule="auto"/>
              <w:ind w:firstLine="420"/>
              <w:jc w:val="center"/>
              <w:rPr>
                <w:rFonts w:eastAsiaTheme="minorEastAsia"/>
              </w:rPr>
            </w:pPr>
            <m:oMathPara>
              <m:oMath>
                <m:sSub>
                  <m:sSubPr>
                    <m:ctrlPr>
                      <w:rPr>
                        <w:rFonts w:ascii="Cambria Math" w:hAnsi="Cambria Math" w:eastAsiaTheme="minorEastAsia"/>
                      </w:rPr>
                    </m:ctrlPr>
                  </m:sSubPr>
                  <m:e>
                    <m:r>
                      <m:rPr/>
                      <w:rPr>
                        <w:rFonts w:ascii="Cambria Math" w:hAnsi="Cambria Math" w:eastAsiaTheme="minorEastAsia"/>
                      </w:rPr>
                      <m:t>L</m:t>
                    </m:r>
                    <m:ctrlPr>
                      <w:rPr>
                        <w:rFonts w:ascii="Cambria Math" w:hAnsi="Cambria Math" w:eastAsiaTheme="minorEastAsia"/>
                      </w:rPr>
                    </m:ctrlPr>
                  </m:e>
                  <m:sub>
                    <m:r>
                      <m:rPr/>
                      <w:rPr>
                        <w:rFonts w:ascii="Cambria Math" w:hAnsi="Cambria Math" w:eastAsiaTheme="minorEastAsia"/>
                      </w:rPr>
                      <m:t>eqg</m:t>
                    </m:r>
                    <m:ctrlPr>
                      <w:rPr>
                        <w:rFonts w:ascii="Cambria Math" w:hAnsi="Cambria Math" w:eastAsiaTheme="minorEastAsia"/>
                      </w:rPr>
                    </m:ctrlPr>
                  </m:sub>
                </m:sSub>
                <m:r>
                  <m:rPr/>
                  <w:rPr>
                    <w:rFonts w:ascii="Cambria Math" w:eastAsiaTheme="minorEastAsia"/>
                  </w:rPr>
                  <m:t>=10</m:t>
                </m:r>
                <m:r>
                  <m:rPr/>
                  <w:rPr>
                    <w:rFonts w:ascii="Cambria Math" w:hAnsi="Cambria Math" w:eastAsiaTheme="minorEastAsia"/>
                  </w:rPr>
                  <m:t>lg</m:t>
                </m:r>
                <m:d>
                  <m:dPr>
                    <m:ctrlPr>
                      <w:rPr>
                        <w:rFonts w:ascii="Cambria Math" w:hAnsi="Cambria Math" w:eastAsiaTheme="minorEastAsia"/>
                        <w:i/>
                      </w:rPr>
                    </m:ctrlPr>
                  </m:dPr>
                  <m:e>
                    <m:f>
                      <m:fPr>
                        <m:ctrlPr>
                          <w:rPr>
                            <w:rFonts w:ascii="Cambria Math" w:hAnsi="Cambria Math" w:eastAsiaTheme="minorEastAsia"/>
                            <w:i/>
                          </w:rPr>
                        </m:ctrlPr>
                      </m:fPr>
                      <m:num>
                        <m:r>
                          <m:rPr/>
                          <w:rPr>
                            <w:rFonts w:ascii="Cambria Math" w:eastAsiaTheme="minorEastAsia"/>
                          </w:rPr>
                          <m:t>1</m:t>
                        </m:r>
                        <m:ctrlPr>
                          <w:rPr>
                            <w:rFonts w:ascii="Cambria Math" w:hAnsi="Cambria Math" w:eastAsiaTheme="minorEastAsia"/>
                            <w:i/>
                          </w:rPr>
                        </m:ctrlPr>
                      </m:num>
                      <m:den>
                        <m:r>
                          <m:rPr/>
                          <w:rPr>
                            <w:rFonts w:ascii="Cambria Math" w:hAnsi="Cambria Math" w:eastAsiaTheme="minorEastAsia"/>
                          </w:rPr>
                          <m:t>T</m:t>
                        </m:r>
                        <m:ctrlPr>
                          <w:rPr>
                            <w:rFonts w:ascii="Cambria Math" w:hAnsi="Cambria Math" w:eastAsiaTheme="minorEastAsia"/>
                            <w:i/>
                          </w:rPr>
                        </m:ctrlPr>
                      </m:den>
                    </m:f>
                    <m:nary>
                      <m:naryPr>
                        <m:chr m:val="∑"/>
                        <m:limLoc m:val="undOvr"/>
                        <m:supHide m:val="1"/>
                        <m:ctrlPr>
                          <w:rPr>
                            <w:rFonts w:ascii="Cambria Math" w:hAnsi="Cambria Math" w:eastAsiaTheme="minorEastAsia"/>
                            <w:i/>
                          </w:rPr>
                        </m:ctrlPr>
                      </m:naryPr>
                      <m:sub>
                        <m:r>
                          <m:rPr/>
                          <w:rPr>
                            <w:rFonts w:ascii="Cambria Math" w:hAnsi="Cambria Math" w:eastAsiaTheme="minorEastAsia"/>
                          </w:rPr>
                          <m:t>i</m:t>
                        </m:r>
                        <m:ctrlPr>
                          <w:rPr>
                            <w:rFonts w:ascii="Cambria Math" w:hAnsi="Cambria Math" w:eastAsiaTheme="minorEastAsia"/>
                            <w:i/>
                          </w:rPr>
                        </m:ctrlPr>
                      </m:sub>
                      <m:sup>
                        <m:ctrlPr>
                          <w:rPr>
                            <w:rFonts w:ascii="Cambria Math" w:hAnsi="Cambria Math" w:eastAsiaTheme="minorEastAsia"/>
                            <w:i/>
                          </w:rPr>
                        </m:ctrlPr>
                      </m:sup>
                      <m:e>
                        <m:sSub>
                          <m:sSubPr>
                            <m:ctrlPr>
                              <w:rPr>
                                <w:rFonts w:ascii="Cambria Math" w:hAnsi="Cambria Math" w:eastAsiaTheme="minorEastAsia"/>
                                <w:i/>
                              </w:rPr>
                            </m:ctrlPr>
                          </m:sSubPr>
                          <m:e>
                            <m:r>
                              <m:rPr/>
                              <w:rPr>
                                <w:rFonts w:ascii="Cambria Math" w:hAnsi="Cambria Math" w:eastAsiaTheme="minorEastAsia"/>
                              </w:rPr>
                              <m:t>t</m:t>
                            </m:r>
                            <m:ctrlPr>
                              <w:rPr>
                                <w:rFonts w:ascii="Cambria Math" w:hAnsi="Cambria Math" w:eastAsiaTheme="minorEastAsia"/>
                                <w:i/>
                              </w:rPr>
                            </m:ctrlPr>
                          </m:e>
                          <m:sub>
                            <m:r>
                              <m:rPr/>
                              <w:rPr>
                                <w:rFonts w:ascii="Cambria Math" w:hAnsi="Cambria Math" w:eastAsiaTheme="minorEastAsia"/>
                              </w:rPr>
                              <m:t>i</m:t>
                            </m:r>
                            <m:ctrlPr>
                              <w:rPr>
                                <w:rFonts w:ascii="Cambria Math" w:hAnsi="Cambria Math" w:eastAsiaTheme="minorEastAsia"/>
                                <w:i/>
                              </w:rPr>
                            </m:ctrlPr>
                          </m:sub>
                        </m:sSub>
                        <m:sSup>
                          <m:sSupPr>
                            <m:ctrlPr>
                              <w:rPr>
                                <w:rFonts w:ascii="Cambria Math" w:hAnsi="Cambria Math" w:eastAsiaTheme="minorEastAsia"/>
                                <w:i/>
                              </w:rPr>
                            </m:ctrlPr>
                          </m:sSupPr>
                          <m:e>
                            <m:r>
                              <m:rPr/>
                              <w:rPr>
                                <w:rFonts w:ascii="Cambria Math" w:eastAsiaTheme="minorEastAsia"/>
                              </w:rPr>
                              <m:t>10</m:t>
                            </m:r>
                            <m:ctrlPr>
                              <w:rPr>
                                <w:rFonts w:ascii="Cambria Math" w:hAnsi="Cambria Math" w:eastAsiaTheme="minorEastAsia"/>
                                <w:i/>
                              </w:rPr>
                            </m:ctrlPr>
                          </m:e>
                          <m:sup>
                            <m:r>
                              <m:rPr/>
                              <w:rPr>
                                <w:rFonts w:ascii="Cambria Math" w:eastAsiaTheme="minorEastAsia"/>
                              </w:rPr>
                              <m:t>0.1</m:t>
                            </m:r>
                            <m:sSub>
                              <m:sSubPr>
                                <m:ctrlPr>
                                  <w:rPr>
                                    <w:rFonts w:ascii="Cambria Math" w:hAnsi="Cambria Math" w:eastAsiaTheme="minorEastAsia"/>
                                    <w:i/>
                                  </w:rPr>
                                </m:ctrlPr>
                              </m:sSubPr>
                              <m:e>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Ai</m:t>
                                </m:r>
                                <m:ctrlPr>
                                  <w:rPr>
                                    <w:rFonts w:ascii="Cambria Math" w:hAnsi="Cambria Math" w:eastAsiaTheme="minorEastAsia"/>
                                    <w:i/>
                                  </w:rPr>
                                </m:ctrlPr>
                              </m:sub>
                            </m:sSub>
                            <m:ctrlPr>
                              <w:rPr>
                                <w:rFonts w:ascii="Cambria Math" w:hAnsi="Cambria Math" w:eastAsiaTheme="minorEastAsia"/>
                                <w:i/>
                              </w:rPr>
                            </m:ctrlPr>
                          </m:sup>
                        </m:sSup>
                        <m:ctrlPr>
                          <w:rPr>
                            <w:rFonts w:ascii="Cambria Math" w:hAnsi="Cambria Math" w:eastAsiaTheme="minorEastAsia"/>
                            <w:i/>
                          </w:rPr>
                        </m:ctrlPr>
                      </m:e>
                    </m:nary>
                    <m:ctrlPr>
                      <w:rPr>
                        <w:rFonts w:ascii="Cambria Math" w:hAnsi="Cambria Math" w:eastAsiaTheme="minorEastAsia"/>
                        <w:i/>
                      </w:rPr>
                    </m:ctrlPr>
                  </m:e>
                </m:d>
              </m:oMath>
            </m:oMathPara>
          </w:p>
          <w:p>
            <w:pPr>
              <w:adjustRightInd w:val="0"/>
              <w:snapToGrid w:val="0"/>
              <w:spacing w:before="156" w:beforeLines="50" w:line="360" w:lineRule="auto"/>
              <w:ind w:firstLine="420"/>
              <w:rPr>
                <w:rFonts w:eastAsiaTheme="minorEastAsia"/>
              </w:rPr>
            </w:pPr>
            <w:r>
              <w:rPr>
                <w:rFonts w:hAnsiTheme="minorEastAsia" w:eastAsiaTheme="minorEastAsia"/>
              </w:rPr>
              <w:t>式中：</w:t>
            </w:r>
          </w:p>
          <w:p>
            <w:pPr>
              <w:snapToGrid w:val="0"/>
              <w:spacing w:line="360" w:lineRule="auto"/>
              <w:ind w:firstLine="420"/>
              <w:rPr>
                <w:rFonts w:eastAsiaTheme="minorEastAsia"/>
              </w:rPr>
            </w:pPr>
            <w:r>
              <w:rPr>
                <w:rFonts w:eastAsiaTheme="minorEastAsia"/>
              </w:rPr>
              <w:t>L</w:t>
            </w:r>
            <w:r>
              <w:rPr>
                <w:rFonts w:eastAsiaTheme="minorEastAsia"/>
                <w:vertAlign w:val="subscript"/>
              </w:rPr>
              <w:t>eqg</w:t>
            </w:r>
            <w:r>
              <w:rPr>
                <w:rFonts w:eastAsiaTheme="minorEastAsia"/>
              </w:rPr>
              <w:t>——</w:t>
            </w:r>
            <w:r>
              <w:rPr>
                <w:rFonts w:hAnsiTheme="minorEastAsia" w:eastAsiaTheme="minorEastAsia"/>
              </w:rPr>
              <w:t>建设项目声源在预测点的等效声级贡献值，</w:t>
            </w:r>
            <w:r>
              <w:rPr>
                <w:rFonts w:eastAsiaTheme="minorEastAsia"/>
              </w:rPr>
              <w:t>dB(A)</w:t>
            </w:r>
            <w:r>
              <w:rPr>
                <w:rFonts w:hAnsiTheme="minorEastAsia" w:eastAsiaTheme="minorEastAsia"/>
              </w:rPr>
              <w:t>；</w:t>
            </w:r>
          </w:p>
          <w:p>
            <w:pPr>
              <w:snapToGrid w:val="0"/>
              <w:spacing w:line="360" w:lineRule="auto"/>
              <w:ind w:firstLine="420"/>
              <w:rPr>
                <w:rFonts w:eastAsiaTheme="minorEastAsia"/>
              </w:rPr>
            </w:pPr>
            <w:r>
              <w:rPr>
                <w:rFonts w:eastAsiaTheme="minorEastAsia"/>
              </w:rPr>
              <w:t>L</w:t>
            </w:r>
            <w:r>
              <w:rPr>
                <w:rFonts w:eastAsiaTheme="minorEastAsia"/>
                <w:vertAlign w:val="subscript"/>
              </w:rPr>
              <w:t>Ai</w:t>
            </w:r>
            <w:r>
              <w:rPr>
                <w:rFonts w:eastAsiaTheme="minorEastAsia"/>
              </w:rPr>
              <w:t>——i</w:t>
            </w:r>
            <w:r>
              <w:rPr>
                <w:rFonts w:hAnsiTheme="minorEastAsia" w:eastAsiaTheme="minorEastAsia"/>
              </w:rPr>
              <w:t>声源在预测点产生的</w:t>
            </w:r>
            <w:r>
              <w:rPr>
                <w:rFonts w:eastAsiaTheme="minorEastAsia"/>
              </w:rPr>
              <w:t>A</w:t>
            </w:r>
            <w:r>
              <w:rPr>
                <w:rFonts w:hAnsiTheme="minorEastAsia" w:eastAsiaTheme="minorEastAsia"/>
              </w:rPr>
              <w:t>声级，</w:t>
            </w:r>
            <w:r>
              <w:rPr>
                <w:rFonts w:eastAsiaTheme="minorEastAsia"/>
              </w:rPr>
              <w:t>dB(A)</w:t>
            </w:r>
            <w:r>
              <w:rPr>
                <w:rFonts w:hAnsiTheme="minorEastAsia" w:eastAsiaTheme="minorEastAsia"/>
              </w:rPr>
              <w:t>；</w:t>
            </w:r>
          </w:p>
          <w:p>
            <w:pPr>
              <w:snapToGrid w:val="0"/>
              <w:spacing w:line="360" w:lineRule="auto"/>
              <w:ind w:firstLine="420"/>
              <w:rPr>
                <w:rFonts w:eastAsiaTheme="minorEastAsia"/>
              </w:rPr>
            </w:pPr>
            <w:r>
              <w:rPr>
                <w:rFonts w:eastAsiaTheme="minorEastAsia"/>
              </w:rPr>
              <w:t>T——</w:t>
            </w:r>
            <w:r>
              <w:rPr>
                <w:rFonts w:hAnsiTheme="minorEastAsia" w:eastAsiaTheme="minorEastAsia"/>
              </w:rPr>
              <w:t>预测计算的时间段，</w:t>
            </w:r>
            <w:r>
              <w:rPr>
                <w:rFonts w:eastAsiaTheme="minorEastAsia"/>
              </w:rPr>
              <w:t>s</w:t>
            </w:r>
            <w:r>
              <w:rPr>
                <w:rFonts w:hAnsiTheme="minorEastAsia" w:eastAsiaTheme="minorEastAsia"/>
              </w:rPr>
              <w:t>；</w:t>
            </w:r>
          </w:p>
          <w:p>
            <w:pPr>
              <w:snapToGrid w:val="0"/>
              <w:spacing w:line="360" w:lineRule="auto"/>
              <w:ind w:firstLine="420"/>
              <w:rPr>
                <w:rFonts w:eastAsiaTheme="minorEastAsia"/>
              </w:rPr>
            </w:pPr>
            <w:r>
              <w:rPr>
                <w:rFonts w:eastAsiaTheme="minorEastAsia"/>
              </w:rPr>
              <w:t>t</w:t>
            </w:r>
            <w:r>
              <w:rPr>
                <w:rFonts w:eastAsiaTheme="minorEastAsia"/>
                <w:vertAlign w:val="subscript"/>
              </w:rPr>
              <w:t>i</w:t>
            </w:r>
            <w:r>
              <w:rPr>
                <w:rFonts w:eastAsiaTheme="minorEastAsia"/>
              </w:rPr>
              <w:t>——</w:t>
            </w:r>
            <w:r>
              <w:rPr>
                <w:rFonts w:hAnsiTheme="minorEastAsia" w:eastAsiaTheme="minorEastAsia"/>
              </w:rPr>
              <w:t>声源在</w:t>
            </w:r>
            <w:r>
              <w:rPr>
                <w:rFonts w:eastAsiaTheme="minorEastAsia"/>
              </w:rPr>
              <w:t>T</w:t>
            </w:r>
            <w:r>
              <w:rPr>
                <w:rFonts w:hAnsiTheme="minorEastAsia" w:eastAsiaTheme="minorEastAsia"/>
              </w:rPr>
              <w:t>时段内的运行时间，</w:t>
            </w:r>
            <w:r>
              <w:rPr>
                <w:rFonts w:eastAsiaTheme="minorEastAsia"/>
              </w:rPr>
              <w:t>s</w:t>
            </w:r>
            <w:r>
              <w:rPr>
                <w:rFonts w:hAnsiTheme="minorEastAsia" w:eastAsiaTheme="minorEastAsia"/>
              </w:rPr>
              <w:t>。</w:t>
            </w:r>
          </w:p>
          <w:p>
            <w:pPr>
              <w:snapToGrid w:val="0"/>
              <w:spacing w:line="360" w:lineRule="auto"/>
              <w:ind w:firstLine="420"/>
              <w:rPr>
                <w:rFonts w:eastAsiaTheme="minorEastAsia"/>
              </w:rPr>
            </w:pPr>
            <w:r>
              <w:rPr>
                <w:rFonts w:hAnsiTheme="minorEastAsia" w:eastAsiaTheme="minorEastAsia"/>
              </w:rPr>
              <w:t>预测点的预测等效声级（</w:t>
            </w:r>
            <w:r>
              <w:rPr>
                <w:rFonts w:eastAsiaTheme="minorEastAsia"/>
              </w:rPr>
              <w:t>Leq</w:t>
            </w:r>
            <w:r>
              <w:rPr>
                <w:rFonts w:hAnsiTheme="minorEastAsia" w:eastAsiaTheme="minorEastAsia"/>
              </w:rPr>
              <w:t>）计算公式：</w:t>
            </w:r>
          </w:p>
          <w:p>
            <w:pPr>
              <w:spacing w:line="360" w:lineRule="auto"/>
              <w:ind w:firstLine="420"/>
              <w:jc w:val="center"/>
              <w:rPr>
                <w:rFonts w:eastAsiaTheme="minorEastAsia"/>
              </w:rPr>
            </w:pPr>
            <m:oMathPara>
              <m:oMath>
                <m:sSub>
                  <m:sSubPr>
                    <m:ctrlPr>
                      <w:rPr>
                        <w:rFonts w:ascii="Cambria Math" w:hAnsi="Cambria Math" w:eastAsiaTheme="minorEastAsia"/>
                      </w:rPr>
                    </m:ctrlPr>
                  </m:sSubPr>
                  <m:e>
                    <m:r>
                      <m:rPr/>
                      <w:rPr>
                        <w:rFonts w:ascii="Cambria Math" w:hAnsi="Cambria Math" w:eastAsiaTheme="minorEastAsia"/>
                      </w:rPr>
                      <m:t>L</m:t>
                    </m:r>
                    <m:ctrlPr>
                      <w:rPr>
                        <w:rFonts w:ascii="Cambria Math" w:hAnsi="Cambria Math" w:eastAsiaTheme="minorEastAsia"/>
                      </w:rPr>
                    </m:ctrlPr>
                  </m:e>
                  <m:sub>
                    <m:r>
                      <m:rPr/>
                      <w:rPr>
                        <w:rFonts w:ascii="Cambria Math" w:hAnsi="Cambria Math" w:eastAsiaTheme="minorEastAsia"/>
                      </w:rPr>
                      <m:t>eq</m:t>
                    </m:r>
                    <m:ctrlPr>
                      <w:rPr>
                        <w:rFonts w:ascii="Cambria Math" w:hAnsi="Cambria Math" w:eastAsiaTheme="minorEastAsia"/>
                      </w:rPr>
                    </m:ctrlPr>
                  </m:sub>
                </m:sSub>
                <m:r>
                  <m:rPr/>
                  <w:rPr>
                    <w:rFonts w:ascii="Cambria Math" w:eastAsiaTheme="minorEastAsia"/>
                  </w:rPr>
                  <m:t>=10</m:t>
                </m:r>
                <m:func>
                  <m:funcPr>
                    <m:ctrlPr>
                      <w:rPr>
                        <w:rFonts w:ascii="Cambria Math" w:hAnsi="Cambria Math" w:eastAsiaTheme="minorEastAsia"/>
                        <w:i/>
                      </w:rPr>
                    </m:ctrlPr>
                  </m:funcPr>
                  <m:fName>
                    <m:r>
                      <m:rPr>
                        <m:sty m:val="p"/>
                      </m:rPr>
                      <w:rPr>
                        <w:rFonts w:ascii="Cambria Math" w:eastAsiaTheme="minorEastAsia"/>
                      </w:rPr>
                      <m:t>log</m:t>
                    </m:r>
                    <m:ctrlPr>
                      <w:rPr>
                        <w:rFonts w:ascii="Cambria Math" w:hAnsi="Cambria Math" w:eastAsiaTheme="minorEastAsia"/>
                        <w:i/>
                      </w:rPr>
                    </m:ctrlPr>
                  </m:fName>
                  <m:e>
                    <m:d>
                      <m:dPr>
                        <m:ctrlPr>
                          <w:rPr>
                            <w:rFonts w:ascii="Cambria Math" w:hAnsi="Cambria Math" w:eastAsiaTheme="minorEastAsia"/>
                            <w:i/>
                          </w:rPr>
                        </m:ctrlPr>
                      </m:dPr>
                      <m:e>
                        <m:sSup>
                          <m:sSupPr>
                            <m:ctrlPr>
                              <w:rPr>
                                <w:rFonts w:ascii="Cambria Math" w:hAnsi="Cambria Math" w:eastAsiaTheme="minorEastAsia"/>
                                <w:i/>
                              </w:rPr>
                            </m:ctrlPr>
                          </m:sSupPr>
                          <m:e>
                            <m:r>
                              <m:rPr/>
                              <w:rPr>
                                <w:rFonts w:ascii="Cambria Math" w:eastAsiaTheme="minorEastAsia"/>
                              </w:rPr>
                              <m:t>10</m:t>
                            </m:r>
                            <m:ctrlPr>
                              <w:rPr>
                                <w:rFonts w:ascii="Cambria Math" w:hAnsi="Cambria Math" w:eastAsiaTheme="minorEastAsia"/>
                                <w:i/>
                              </w:rPr>
                            </m:ctrlPr>
                          </m:e>
                          <m:sup>
                            <m:r>
                              <m:rPr/>
                              <w:rPr>
                                <w:rFonts w:ascii="Cambria Math" w:eastAsiaTheme="minorEastAsia"/>
                              </w:rPr>
                              <m:t>0.1</m:t>
                            </m:r>
                            <m:sSub>
                              <m:sSubPr>
                                <m:ctrlPr>
                                  <w:rPr>
                                    <w:rFonts w:ascii="Cambria Math" w:hAnsi="Cambria Math" w:eastAsiaTheme="minorEastAsia"/>
                                    <w:i/>
                                  </w:rPr>
                                </m:ctrlPr>
                              </m:sSubPr>
                              <m:e>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eqg</m:t>
                                </m:r>
                                <m:ctrlPr>
                                  <w:rPr>
                                    <w:rFonts w:ascii="Cambria Math" w:hAnsi="Cambria Math" w:eastAsiaTheme="minorEastAsia"/>
                                    <w:i/>
                                  </w:rPr>
                                </m:ctrlPr>
                              </m:sub>
                            </m:sSub>
                            <m:ctrlPr>
                              <w:rPr>
                                <w:rFonts w:ascii="Cambria Math" w:hAnsi="Cambria Math" w:eastAsiaTheme="minorEastAsia"/>
                                <w:i/>
                              </w:rPr>
                            </m:ctrlPr>
                          </m:sup>
                        </m:sSup>
                        <m:r>
                          <m:rPr/>
                          <w:rPr>
                            <w:rFonts w:ascii="Cambria Math" w:eastAsiaTheme="minorEastAsia"/>
                          </w:rPr>
                          <m:t>+</m:t>
                        </m:r>
                        <m:sSup>
                          <m:sSupPr>
                            <m:ctrlPr>
                              <w:rPr>
                                <w:rFonts w:ascii="Cambria Math" w:hAnsi="Cambria Math" w:eastAsiaTheme="minorEastAsia"/>
                                <w:i/>
                              </w:rPr>
                            </m:ctrlPr>
                          </m:sSupPr>
                          <m:e>
                            <m:r>
                              <m:rPr/>
                              <w:rPr>
                                <w:rFonts w:ascii="Cambria Math" w:eastAsiaTheme="minorEastAsia"/>
                              </w:rPr>
                              <m:t>10</m:t>
                            </m:r>
                            <m:ctrlPr>
                              <w:rPr>
                                <w:rFonts w:ascii="Cambria Math" w:hAnsi="Cambria Math" w:eastAsiaTheme="minorEastAsia"/>
                                <w:i/>
                              </w:rPr>
                            </m:ctrlPr>
                          </m:e>
                          <m:sup>
                            <m:r>
                              <m:rPr/>
                              <w:rPr>
                                <w:rFonts w:ascii="Cambria Math" w:eastAsiaTheme="minorEastAsia"/>
                              </w:rPr>
                              <m:t>0.1</m:t>
                            </m:r>
                            <m:sSub>
                              <m:sSubPr>
                                <m:ctrlPr>
                                  <w:rPr>
                                    <w:rFonts w:ascii="Cambria Math" w:hAnsi="Cambria Math" w:eastAsiaTheme="minorEastAsia"/>
                                    <w:i/>
                                  </w:rPr>
                                </m:ctrlPr>
                              </m:sSubPr>
                              <m:e>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eqb</m:t>
                                </m:r>
                                <m:ctrlPr>
                                  <w:rPr>
                                    <w:rFonts w:ascii="Cambria Math" w:hAnsi="Cambria Math" w:eastAsiaTheme="minorEastAsia"/>
                                    <w:i/>
                                  </w:rPr>
                                </m:ctrlPr>
                              </m:sub>
                            </m:sSub>
                            <m:ctrlPr>
                              <w:rPr>
                                <w:rFonts w:ascii="Cambria Math" w:hAnsi="Cambria Math" w:eastAsiaTheme="minorEastAsia"/>
                                <w:i/>
                              </w:rPr>
                            </m:ctrlPr>
                          </m:sup>
                        </m:sSup>
                        <m:ctrlPr>
                          <w:rPr>
                            <w:rFonts w:ascii="Cambria Math" w:hAnsi="Cambria Math" w:eastAsiaTheme="minorEastAsia"/>
                            <w:i/>
                          </w:rPr>
                        </m:ctrlPr>
                      </m:e>
                    </m:d>
                    <m:ctrlPr>
                      <w:rPr>
                        <w:rFonts w:ascii="Cambria Math" w:hAnsi="Cambria Math" w:eastAsiaTheme="minorEastAsia"/>
                        <w:i/>
                      </w:rPr>
                    </m:ctrlPr>
                  </m:e>
                </m:func>
              </m:oMath>
            </m:oMathPara>
          </w:p>
          <w:p>
            <w:pPr>
              <w:adjustRightInd w:val="0"/>
              <w:snapToGrid w:val="0"/>
              <w:spacing w:before="156" w:beforeLines="50" w:line="360" w:lineRule="auto"/>
              <w:ind w:firstLine="420"/>
              <w:rPr>
                <w:rFonts w:eastAsiaTheme="minorEastAsia"/>
              </w:rPr>
            </w:pPr>
            <w:r>
              <w:rPr>
                <w:rFonts w:hAnsiTheme="minorEastAsia" w:eastAsiaTheme="minorEastAsia"/>
              </w:rPr>
              <w:t>式中：</w:t>
            </w:r>
          </w:p>
          <w:p>
            <w:pPr>
              <w:snapToGrid w:val="0"/>
              <w:spacing w:line="360" w:lineRule="auto"/>
              <w:ind w:firstLine="420"/>
              <w:rPr>
                <w:rFonts w:eastAsiaTheme="minorEastAsia"/>
              </w:rPr>
            </w:pPr>
            <w:r>
              <w:rPr>
                <w:rFonts w:eastAsiaTheme="minorEastAsia"/>
              </w:rPr>
              <w:t>L</w:t>
            </w:r>
            <w:r>
              <w:rPr>
                <w:rFonts w:eastAsiaTheme="minorEastAsia"/>
                <w:vertAlign w:val="subscript"/>
              </w:rPr>
              <w:t>eqg</w:t>
            </w:r>
            <w:r>
              <w:rPr>
                <w:rFonts w:eastAsiaTheme="minorEastAsia"/>
              </w:rPr>
              <w:t>——</w:t>
            </w:r>
            <w:r>
              <w:rPr>
                <w:rFonts w:hAnsiTheme="minorEastAsia" w:eastAsiaTheme="minorEastAsia"/>
              </w:rPr>
              <w:t>建设项目声源在预测点的等效声级贡献值，</w:t>
            </w:r>
            <w:r>
              <w:rPr>
                <w:rFonts w:eastAsiaTheme="minorEastAsia"/>
              </w:rPr>
              <w:t>dB(A)</w:t>
            </w:r>
            <w:r>
              <w:rPr>
                <w:rFonts w:hAnsiTheme="minorEastAsia" w:eastAsiaTheme="minorEastAsia"/>
              </w:rPr>
              <w:t>；</w:t>
            </w:r>
          </w:p>
          <w:p>
            <w:pPr>
              <w:snapToGrid w:val="0"/>
              <w:spacing w:line="360" w:lineRule="auto"/>
              <w:ind w:firstLine="420"/>
              <w:rPr>
                <w:rFonts w:eastAsiaTheme="minorEastAsia"/>
              </w:rPr>
            </w:pPr>
            <w:r>
              <w:rPr>
                <w:rFonts w:eastAsiaTheme="minorEastAsia"/>
              </w:rPr>
              <w:t>L</w:t>
            </w:r>
            <w:r>
              <w:rPr>
                <w:rFonts w:eastAsiaTheme="minorEastAsia"/>
                <w:vertAlign w:val="subscript"/>
              </w:rPr>
              <w:t>eqb</w:t>
            </w:r>
            <w:r>
              <w:rPr>
                <w:rFonts w:eastAsiaTheme="minorEastAsia"/>
              </w:rPr>
              <w:t>——</w:t>
            </w:r>
            <w:r>
              <w:rPr>
                <w:rFonts w:hAnsiTheme="minorEastAsia" w:eastAsiaTheme="minorEastAsia"/>
              </w:rPr>
              <w:t>预测点的背景值，</w:t>
            </w:r>
            <w:r>
              <w:rPr>
                <w:rFonts w:eastAsiaTheme="minorEastAsia"/>
              </w:rPr>
              <w:t>dB(A)</w:t>
            </w:r>
            <w:r>
              <w:rPr>
                <w:rFonts w:hAnsiTheme="minorEastAsia" w:eastAsiaTheme="minorEastAsia"/>
              </w:rPr>
              <w:t>。</w:t>
            </w:r>
          </w:p>
          <w:p>
            <w:pPr>
              <w:snapToGrid w:val="0"/>
              <w:spacing w:line="360" w:lineRule="auto"/>
              <w:ind w:firstLine="420"/>
              <w:rPr>
                <w:rFonts w:eastAsiaTheme="minorEastAsia"/>
              </w:rPr>
            </w:pPr>
            <w:r>
              <w:rPr>
                <w:rFonts w:hAnsiTheme="minorEastAsia" w:eastAsiaTheme="minorEastAsia"/>
              </w:rPr>
              <w:t>②预测方法</w:t>
            </w:r>
          </w:p>
          <w:p>
            <w:pPr>
              <w:snapToGrid w:val="0"/>
              <w:spacing w:line="360" w:lineRule="auto"/>
              <w:ind w:firstLine="420"/>
              <w:rPr>
                <w:rFonts w:eastAsiaTheme="minorEastAsia"/>
              </w:rPr>
            </w:pPr>
            <w:r>
              <w:rPr>
                <w:rFonts w:hAnsiTheme="minorEastAsia" w:eastAsiaTheme="minorEastAsia"/>
              </w:rPr>
              <w:t>以厂界贡献值作为评价量，并覆盖周边</w:t>
            </w:r>
            <w:r>
              <w:rPr>
                <w:rFonts w:eastAsiaTheme="minorEastAsia"/>
              </w:rPr>
              <w:t>50m</w:t>
            </w:r>
            <w:r>
              <w:rPr>
                <w:rFonts w:hAnsiTheme="minorEastAsia" w:eastAsiaTheme="minorEastAsia"/>
              </w:rPr>
              <w:t>内声环境敏感目标，给出各敏感目标的预测噪声值。</w:t>
            </w:r>
          </w:p>
          <w:p>
            <w:pPr>
              <w:snapToGrid w:val="0"/>
              <w:spacing w:line="360" w:lineRule="auto"/>
              <w:ind w:firstLine="420"/>
              <w:rPr>
                <w:rFonts w:hAnsiTheme="minorEastAsia" w:eastAsiaTheme="minorEastAsia"/>
              </w:rPr>
            </w:pPr>
            <w:r>
              <w:rPr>
                <w:rFonts w:hAnsiTheme="minorEastAsia" w:eastAsiaTheme="minorEastAsia"/>
              </w:rPr>
              <w:t>③预测结果</w:t>
            </w:r>
          </w:p>
          <w:p>
            <w:pPr>
              <w:snapToGrid w:val="0"/>
              <w:spacing w:line="360" w:lineRule="auto"/>
              <w:ind w:firstLine="420"/>
              <w:rPr>
                <w:rFonts w:hAnsiTheme="minorEastAsia" w:eastAsiaTheme="minorEastAsia"/>
              </w:rPr>
            </w:pPr>
            <w:r>
              <w:rPr>
                <w:rFonts w:hint="eastAsia" w:hAnsiTheme="minorEastAsia" w:eastAsiaTheme="minorEastAsia"/>
              </w:rPr>
              <w:t>根据《环境影响评价技术导则——声环境》（HJ2.4-2021）中章节8.5：</w:t>
            </w:r>
            <w:r>
              <w:rPr>
                <w:rFonts w:hAnsiTheme="minorEastAsia" w:eastAsiaTheme="minorEastAsia"/>
              </w:rPr>
              <w:t>预测建设项目在施工期和运营期所有声环境保护目标处的噪声贡献值和预测值，评价其超标和达标情况</w:t>
            </w:r>
            <w:r>
              <w:rPr>
                <w:rFonts w:hint="eastAsia" w:hAnsiTheme="minorEastAsia" w:eastAsiaTheme="minorEastAsia"/>
              </w:rPr>
              <w:t>；</w:t>
            </w:r>
            <w:r>
              <w:rPr>
                <w:rFonts w:hAnsiTheme="minorEastAsia" w:eastAsiaTheme="minorEastAsia"/>
              </w:rPr>
              <w:t>预测和评价建设项目在施工期和运营期厂界（场界、边界）噪声贡献值，评价其超标和达标情况</w:t>
            </w:r>
            <w:r>
              <w:rPr>
                <w:rFonts w:hint="eastAsia" w:hAnsiTheme="minorEastAsia" w:eastAsiaTheme="minorEastAsia"/>
              </w:rPr>
              <w:t>。</w:t>
            </w:r>
          </w:p>
          <w:p>
            <w:pPr>
              <w:adjustRightInd w:val="0"/>
              <w:snapToGrid w:val="0"/>
              <w:spacing w:before="156" w:beforeLines="50" w:line="360" w:lineRule="auto"/>
              <w:ind w:firstLine="420"/>
              <w:rPr>
                <w:rFonts w:hAnsiTheme="minorEastAsia" w:eastAsiaTheme="minorEastAsia"/>
              </w:rPr>
            </w:pPr>
            <w:r>
              <w:rPr>
                <w:rFonts w:hint="eastAsia" w:hAnsiTheme="minorEastAsia" w:eastAsiaTheme="minorEastAsia"/>
              </w:rPr>
              <w:t>由以上预测可计算出，到厂界处的噪声最大贡献值为40.1</w:t>
            </w:r>
            <w:r>
              <w:rPr>
                <w:rFonts w:eastAsiaTheme="minorEastAsia"/>
              </w:rPr>
              <w:t xml:space="preserve"> dB(A)</w:t>
            </w:r>
            <w:r>
              <w:rPr>
                <w:rFonts w:hint="eastAsia" w:hAnsiTheme="minorEastAsia" w:eastAsiaTheme="minorEastAsia"/>
              </w:rPr>
              <w:t>，项目昼间厂界噪声符合</w:t>
            </w:r>
            <w:r>
              <w:rPr>
                <w:rFonts w:hAnsiTheme="minorEastAsia" w:eastAsiaTheme="minorEastAsia"/>
              </w:rPr>
              <w:t>《工业企业厂界环境噪声排放标准》（GB12348-2008）</w:t>
            </w:r>
            <w:r>
              <w:rPr>
                <w:rFonts w:hint="eastAsia" w:hAnsiTheme="minorEastAsia" w:eastAsiaTheme="minorEastAsia"/>
              </w:rPr>
              <w:t>中3类标准限值的要求。</w:t>
            </w:r>
          </w:p>
          <w:p>
            <w:pPr>
              <w:snapToGrid w:val="0"/>
              <w:spacing w:line="360" w:lineRule="auto"/>
              <w:ind w:firstLine="420"/>
              <w:rPr>
                <w:rFonts w:hAnsiTheme="minorEastAsia" w:eastAsiaTheme="minorEastAsia"/>
              </w:rPr>
            </w:pPr>
            <w:r>
              <w:rPr>
                <w:rFonts w:hint="eastAsia" w:hAnsiTheme="minorEastAsia" w:eastAsiaTheme="minorEastAsia"/>
              </w:rPr>
              <w:t>针对本项目噪声源及其污染特征，本次评价要求建设单位拟通过以下方式控制项目噪声：</w:t>
            </w:r>
          </w:p>
          <w:p>
            <w:pPr>
              <w:snapToGrid w:val="0"/>
              <w:spacing w:line="360" w:lineRule="auto"/>
              <w:ind w:firstLine="420"/>
              <w:rPr>
                <w:rFonts w:hAnsiTheme="minorEastAsia" w:eastAsiaTheme="minorEastAsia"/>
              </w:rPr>
            </w:pPr>
            <w:r>
              <w:rPr>
                <w:rFonts w:hint="eastAsia" w:hAnsiTheme="minorEastAsia" w:eastAsiaTheme="minorEastAsia"/>
              </w:rPr>
              <w:t>①</w:t>
            </w:r>
            <w:r>
              <w:rPr>
                <w:rFonts w:hAnsiTheme="minorEastAsia" w:eastAsiaTheme="minorEastAsia"/>
              </w:rPr>
              <w:t>选用低噪声设备，并注意加强日常生产设备的维护和保养；</w:t>
            </w:r>
          </w:p>
          <w:p>
            <w:pPr>
              <w:snapToGrid w:val="0"/>
              <w:spacing w:line="360" w:lineRule="auto"/>
              <w:ind w:firstLine="420"/>
              <w:rPr>
                <w:rFonts w:hAnsiTheme="minorEastAsia" w:eastAsiaTheme="minorEastAsia"/>
              </w:rPr>
            </w:pPr>
            <w:r>
              <w:rPr>
                <w:rFonts w:hint="eastAsia" w:hAnsiTheme="minorEastAsia" w:eastAsiaTheme="minorEastAsia"/>
              </w:rPr>
              <w:t>②</w:t>
            </w:r>
            <w:r>
              <w:rPr>
                <w:rFonts w:hAnsiTheme="minorEastAsia" w:eastAsiaTheme="minorEastAsia"/>
              </w:rPr>
              <w:t>合理布局、将高噪声设备尽可能远离厂界</w:t>
            </w:r>
            <w:r>
              <w:rPr>
                <w:rFonts w:hint="eastAsia" w:hAnsiTheme="minorEastAsia" w:eastAsiaTheme="minorEastAsia"/>
              </w:rPr>
              <w:t>；</w:t>
            </w:r>
          </w:p>
          <w:p>
            <w:pPr>
              <w:snapToGrid w:val="0"/>
              <w:spacing w:line="360" w:lineRule="auto"/>
              <w:ind w:firstLine="420"/>
              <w:rPr>
                <w:rFonts w:hAnsiTheme="minorEastAsia" w:eastAsiaTheme="minorEastAsia"/>
              </w:rPr>
            </w:pPr>
            <w:r>
              <w:rPr>
                <w:rFonts w:hint="eastAsia" w:hAnsiTheme="minorEastAsia" w:eastAsiaTheme="minorEastAsia"/>
              </w:rPr>
              <w:t>③对高噪声设备采取减震、隔声等降噪措施；</w:t>
            </w:r>
          </w:p>
          <w:p>
            <w:pPr>
              <w:snapToGrid w:val="0"/>
              <w:spacing w:line="360" w:lineRule="auto"/>
              <w:ind w:firstLine="420"/>
              <w:rPr>
                <w:rFonts w:hAnsiTheme="minorEastAsia" w:eastAsiaTheme="minorEastAsia"/>
              </w:rPr>
            </w:pPr>
            <w:r>
              <w:rPr>
                <w:rFonts w:hint="eastAsia" w:hAnsiTheme="minorEastAsia" w:eastAsiaTheme="minorEastAsia"/>
              </w:rPr>
              <w:t>④加强厂区绿化，利用树木屏蔽的作用降噪。</w:t>
            </w:r>
          </w:p>
          <w:p>
            <w:pPr>
              <w:snapToGrid w:val="0"/>
              <w:spacing w:line="360" w:lineRule="auto"/>
              <w:ind w:firstLine="420"/>
              <w:rPr>
                <w:rFonts w:hAnsiTheme="minorEastAsia" w:eastAsiaTheme="minorEastAsia"/>
              </w:rPr>
            </w:pPr>
            <w:r>
              <w:rPr>
                <w:rFonts w:hint="eastAsia" w:hAnsiTheme="minorEastAsia" w:eastAsiaTheme="minorEastAsia"/>
              </w:rPr>
              <w:t>（3）噪声监测计划</w:t>
            </w:r>
          </w:p>
          <w:p>
            <w:pPr>
              <w:snapToGrid w:val="0"/>
              <w:spacing w:line="360" w:lineRule="auto"/>
              <w:ind w:firstLine="420"/>
              <w:rPr>
                <w:rFonts w:hAnsiTheme="minorEastAsia" w:eastAsiaTheme="minorEastAsia"/>
              </w:rPr>
            </w:pPr>
            <w:r>
              <w:rPr>
                <w:rFonts w:hint="eastAsia" w:hAnsiTheme="minorEastAsia" w:eastAsiaTheme="minorEastAsia"/>
              </w:rPr>
              <w:t>根据《排污单位自行监测技术指南 总则》（HJ819-2017）、《排污许可证申请与核发技术规范 食品制造工业—方便食品、食品及饲料添加剂制造工业》（HJ 1030.3—2019）等规定的监测要求，制定本项目监测计划，具体要求见下表。</w:t>
            </w:r>
          </w:p>
          <w:p>
            <w:pPr>
              <w:pStyle w:val="17"/>
              <w:spacing w:beforeLines="0"/>
              <w:ind w:firstLine="0" w:firstLineChars="0"/>
              <w:jc w:val="center"/>
              <w:rPr>
                <w:rFonts w:hAnsi="宋体"/>
                <w:b/>
                <w:bCs/>
                <w:sz w:val="21"/>
                <w:szCs w:val="21"/>
              </w:rPr>
            </w:pPr>
            <w:r>
              <w:rPr>
                <w:rFonts w:hint="eastAsia" w:hAnsi="宋体"/>
                <w:b/>
                <w:bCs/>
                <w:sz w:val="21"/>
                <w:szCs w:val="21"/>
              </w:rPr>
              <w:t>表4-10  噪声监测计划</w:t>
            </w:r>
          </w:p>
          <w:tbl>
            <w:tblPr>
              <w:tblStyle w:val="19"/>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73"/>
              <w:gridCol w:w="3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dxa"/>
                  <w:vAlign w:val="center"/>
                </w:tcPr>
                <w:p>
                  <w:pPr>
                    <w:spacing w:line="360" w:lineRule="auto"/>
                    <w:jc w:val="center"/>
                    <w:rPr>
                      <w:b/>
                    </w:rPr>
                  </w:pPr>
                  <w:r>
                    <w:rPr>
                      <w:rFonts w:hint="eastAsia"/>
                      <w:b/>
                    </w:rPr>
                    <w:t>监测点位</w:t>
                  </w:r>
                </w:p>
              </w:tc>
              <w:tc>
                <w:tcPr>
                  <w:tcW w:w="1694" w:type="dxa"/>
                  <w:vAlign w:val="center"/>
                </w:tcPr>
                <w:p>
                  <w:pPr>
                    <w:spacing w:line="360" w:lineRule="auto"/>
                    <w:jc w:val="center"/>
                    <w:rPr>
                      <w:b/>
                    </w:rPr>
                  </w:pPr>
                  <w:r>
                    <w:rPr>
                      <w:rFonts w:hint="eastAsia"/>
                      <w:b/>
                    </w:rPr>
                    <w:t>监测频次</w:t>
                  </w:r>
                </w:p>
              </w:tc>
              <w:tc>
                <w:tcPr>
                  <w:tcW w:w="3873" w:type="dxa"/>
                  <w:vAlign w:val="center"/>
                </w:tcPr>
                <w:p>
                  <w:pPr>
                    <w:spacing w:line="360" w:lineRule="auto"/>
                    <w:jc w:val="center"/>
                    <w:rPr>
                      <w:b/>
                    </w:rPr>
                  </w:pPr>
                  <w:r>
                    <w:rPr>
                      <w:rFonts w:hint="eastAsia"/>
                      <w:b/>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dxa"/>
                  <w:vAlign w:val="center"/>
                </w:tcPr>
                <w:p>
                  <w:pPr>
                    <w:spacing w:line="360" w:lineRule="auto"/>
                    <w:jc w:val="center"/>
                  </w:pPr>
                  <w:r>
                    <w:rPr>
                      <w:rFonts w:hint="eastAsia"/>
                    </w:rPr>
                    <w:t>厂界四周</w:t>
                  </w:r>
                </w:p>
              </w:tc>
              <w:tc>
                <w:tcPr>
                  <w:tcW w:w="1694" w:type="dxa"/>
                  <w:vAlign w:val="center"/>
                </w:tcPr>
                <w:p>
                  <w:pPr>
                    <w:spacing w:line="360" w:lineRule="auto"/>
                    <w:jc w:val="center"/>
                  </w:pPr>
                  <w:r>
                    <w:rPr>
                      <w:rFonts w:hint="eastAsia"/>
                    </w:rPr>
                    <w:t>1次/季度</w:t>
                  </w:r>
                </w:p>
              </w:tc>
              <w:tc>
                <w:tcPr>
                  <w:tcW w:w="3873" w:type="dxa"/>
                  <w:vAlign w:val="center"/>
                </w:tcPr>
                <w:p>
                  <w:pPr>
                    <w:spacing w:line="360" w:lineRule="auto"/>
                    <w:jc w:val="center"/>
                  </w:pPr>
                  <w:r>
                    <w:t>《工业企业厂界环境噪声排放标准》（GB12348-2008）</w:t>
                  </w:r>
                  <w:r>
                    <w:rPr>
                      <w:rFonts w:hint="eastAsia"/>
                    </w:rPr>
                    <w:t>3</w:t>
                  </w:r>
                  <w:r>
                    <w:t>类</w:t>
                  </w:r>
                </w:p>
              </w:tc>
            </w:tr>
          </w:tbl>
          <w:p>
            <w:pPr>
              <w:adjustRightInd w:val="0"/>
              <w:snapToGrid w:val="0"/>
              <w:spacing w:before="156" w:beforeLines="50" w:line="360" w:lineRule="auto"/>
              <w:rPr>
                <w:b/>
                <w:bCs/>
              </w:rPr>
            </w:pPr>
            <w:r>
              <w:rPr>
                <w:rFonts w:hint="eastAsia"/>
                <w:b/>
                <w:bCs/>
              </w:rPr>
              <w:t>4、固体废物</w:t>
            </w:r>
          </w:p>
          <w:p>
            <w:pPr>
              <w:snapToGrid w:val="0"/>
              <w:spacing w:line="360" w:lineRule="auto"/>
              <w:ind w:firstLine="420"/>
              <w:rPr>
                <w:rFonts w:hAnsiTheme="minorEastAsia" w:eastAsiaTheme="minorEastAsia"/>
              </w:rPr>
            </w:pPr>
            <w:r>
              <w:rPr>
                <w:rFonts w:hint="eastAsia" w:hAnsiTheme="minorEastAsia" w:eastAsiaTheme="minorEastAsia"/>
              </w:rPr>
              <w:t>（1）产生情况</w:t>
            </w:r>
          </w:p>
          <w:p>
            <w:pPr>
              <w:snapToGrid w:val="0"/>
              <w:spacing w:line="360" w:lineRule="auto"/>
              <w:ind w:firstLine="420"/>
              <w:rPr>
                <w:rFonts w:eastAsiaTheme="minorEastAsia"/>
              </w:rPr>
            </w:pPr>
            <w:r>
              <w:rPr>
                <w:rFonts w:eastAsiaTheme="minorEastAsia"/>
              </w:rPr>
              <w:t>项目产生的固体废物分析如下：</w:t>
            </w:r>
          </w:p>
          <w:p>
            <w:pPr>
              <w:pStyle w:val="59"/>
              <w:numPr>
                <w:ilvl w:val="0"/>
                <w:numId w:val="3"/>
              </w:numPr>
              <w:snapToGrid w:val="0"/>
              <w:spacing w:line="360" w:lineRule="auto"/>
              <w:ind w:firstLineChars="0"/>
              <w:rPr>
                <w:rFonts w:ascii="Times New Roman" w:hAnsi="Times New Roman" w:eastAsiaTheme="minorEastAsia"/>
              </w:rPr>
            </w:pPr>
            <w:r>
              <w:rPr>
                <w:rFonts w:ascii="Times New Roman" w:hAnsi="Times New Roman" w:eastAsiaTheme="minorEastAsia"/>
              </w:rPr>
              <w:t>不合格品（S1）</w:t>
            </w:r>
          </w:p>
          <w:p>
            <w:pPr>
              <w:snapToGrid w:val="0"/>
              <w:spacing w:line="360" w:lineRule="auto"/>
              <w:ind w:firstLine="420"/>
              <w:rPr>
                <w:rFonts w:eastAsiaTheme="minorEastAsia"/>
              </w:rPr>
            </w:pPr>
            <w:r>
              <w:rPr>
                <w:rFonts w:eastAsiaTheme="minorEastAsia"/>
              </w:rPr>
              <w:t>项目在原料色选、分选以及成品检验过程产生不合格品，产生量约为3t/a，收集后外售综合利用。</w:t>
            </w:r>
          </w:p>
          <w:p>
            <w:pPr>
              <w:pStyle w:val="59"/>
              <w:numPr>
                <w:ilvl w:val="0"/>
                <w:numId w:val="3"/>
              </w:numPr>
              <w:snapToGrid w:val="0"/>
              <w:spacing w:line="360" w:lineRule="auto"/>
              <w:ind w:firstLineChars="0"/>
              <w:rPr>
                <w:rFonts w:ascii="Times New Roman" w:hAnsi="Times New Roman" w:eastAsiaTheme="minorEastAsia"/>
              </w:rPr>
            </w:pPr>
            <w:r>
              <w:rPr>
                <w:rFonts w:ascii="Times New Roman" w:hAnsi="Times New Roman" w:eastAsiaTheme="minorEastAsia"/>
              </w:rPr>
              <w:t>废果壳（S2）</w:t>
            </w:r>
          </w:p>
          <w:p>
            <w:pPr>
              <w:snapToGrid w:val="0"/>
              <w:spacing w:line="360" w:lineRule="auto"/>
              <w:ind w:firstLine="420"/>
              <w:rPr>
                <w:rFonts w:eastAsiaTheme="minorEastAsia"/>
              </w:rPr>
            </w:pPr>
            <w:r>
              <w:rPr>
                <w:rFonts w:eastAsiaTheme="minorEastAsia"/>
              </w:rPr>
              <w:t>在原料花生脱皮过程产生废果壳，产生量约为2t/a，收集后外售综合利用。</w:t>
            </w:r>
          </w:p>
          <w:p>
            <w:pPr>
              <w:pStyle w:val="59"/>
              <w:numPr>
                <w:ilvl w:val="0"/>
                <w:numId w:val="3"/>
              </w:numPr>
              <w:snapToGrid w:val="0"/>
              <w:spacing w:line="360" w:lineRule="auto"/>
              <w:ind w:firstLineChars="0"/>
              <w:rPr>
                <w:rFonts w:ascii="Times New Roman" w:hAnsi="Times New Roman" w:eastAsiaTheme="minorEastAsia"/>
              </w:rPr>
            </w:pPr>
            <w:r>
              <w:rPr>
                <w:rFonts w:ascii="Times New Roman" w:hAnsi="Times New Roman" w:eastAsiaTheme="minorEastAsia"/>
              </w:rPr>
              <w:t>生活垃圾（S3）</w:t>
            </w:r>
          </w:p>
          <w:p>
            <w:pPr>
              <w:snapToGrid w:val="0"/>
              <w:spacing w:line="360" w:lineRule="auto"/>
              <w:ind w:firstLine="420"/>
              <w:rPr>
                <w:rFonts w:eastAsiaTheme="minorEastAsia"/>
              </w:rPr>
            </w:pPr>
            <w:r>
              <w:rPr>
                <w:rFonts w:eastAsiaTheme="minorEastAsia"/>
              </w:rPr>
              <w:t>项目原料包装袋约2t/a，收集后外售综合利用。</w:t>
            </w:r>
          </w:p>
          <w:p>
            <w:pPr>
              <w:pStyle w:val="59"/>
              <w:numPr>
                <w:ilvl w:val="0"/>
                <w:numId w:val="3"/>
              </w:numPr>
              <w:snapToGrid w:val="0"/>
              <w:spacing w:line="360" w:lineRule="auto"/>
              <w:ind w:firstLineChars="0"/>
              <w:rPr>
                <w:rFonts w:ascii="Times New Roman" w:hAnsi="Times New Roman" w:eastAsiaTheme="minorEastAsia"/>
              </w:rPr>
            </w:pPr>
            <w:r>
              <w:rPr>
                <w:rFonts w:ascii="Times New Roman" w:hAnsi="Times New Roman" w:eastAsiaTheme="minorEastAsia"/>
              </w:rPr>
              <w:t>生活垃圾（S4）</w:t>
            </w:r>
          </w:p>
          <w:p>
            <w:pPr>
              <w:snapToGrid w:val="0"/>
              <w:spacing w:line="360" w:lineRule="auto"/>
              <w:ind w:firstLine="420"/>
              <w:rPr>
                <w:rFonts w:eastAsiaTheme="minorEastAsia"/>
              </w:rPr>
            </w:pPr>
            <w:r>
              <w:rPr>
                <w:rFonts w:eastAsiaTheme="minorEastAsia"/>
              </w:rPr>
              <w:t>项目定员30人，人均生活垃圾产生量0.5kg/人·d计，则生活垃圾产生量为15kg/d（3t/a），由环卫部门收集处置。</w:t>
            </w:r>
          </w:p>
          <w:p>
            <w:pPr>
              <w:snapToGrid w:val="0"/>
              <w:spacing w:line="360" w:lineRule="auto"/>
              <w:ind w:firstLine="420"/>
              <w:rPr>
                <w:rFonts w:eastAsiaTheme="minorEastAsia"/>
              </w:rPr>
            </w:pPr>
            <w:r>
              <w:rPr>
                <w:rFonts w:eastAsiaTheme="minorEastAsia"/>
              </w:rPr>
              <w:t>综上，本项目固体废物产生及处置情况详见下表。</w:t>
            </w:r>
          </w:p>
          <w:p>
            <w:pPr>
              <w:widowControl/>
              <w:adjustRightInd w:val="0"/>
              <w:snapToGrid w:val="0"/>
              <w:spacing w:before="60" w:after="160"/>
              <w:ind w:right="113"/>
              <w:jc w:val="center"/>
              <w:rPr>
                <w:rFonts w:hAnsi="宋体"/>
                <w:b/>
                <w:bCs/>
                <w:kern w:val="0"/>
              </w:rPr>
            </w:pPr>
            <w:r>
              <w:rPr>
                <w:rFonts w:hint="eastAsia" w:hAnsi="宋体"/>
                <w:b/>
                <w:bCs/>
                <w:kern w:val="0"/>
              </w:rPr>
              <w:t>表4-11  固体废物产生及处置情况表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1458"/>
              <w:gridCol w:w="1701"/>
              <w:gridCol w:w="1276"/>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Align w:val="center"/>
                </w:tcPr>
                <w:p>
                  <w:pPr>
                    <w:jc w:val="center"/>
                    <w:rPr>
                      <w:rFonts w:eastAsiaTheme="minorEastAsia"/>
                      <w:b/>
                    </w:rPr>
                  </w:pPr>
                  <w:r>
                    <w:rPr>
                      <w:rFonts w:hAnsiTheme="minorEastAsia" w:eastAsiaTheme="minorEastAsia"/>
                      <w:b/>
                    </w:rPr>
                    <w:t>产生环节</w:t>
                  </w:r>
                </w:p>
              </w:tc>
              <w:tc>
                <w:tcPr>
                  <w:tcW w:w="1458" w:type="dxa"/>
                  <w:vAlign w:val="center"/>
                </w:tcPr>
                <w:p>
                  <w:pPr>
                    <w:jc w:val="center"/>
                    <w:rPr>
                      <w:rFonts w:eastAsiaTheme="minorEastAsia"/>
                      <w:b/>
                    </w:rPr>
                  </w:pPr>
                  <w:r>
                    <w:rPr>
                      <w:rFonts w:hAnsiTheme="minorEastAsia" w:eastAsiaTheme="minorEastAsia"/>
                      <w:b/>
                    </w:rPr>
                    <w:t>名称</w:t>
                  </w:r>
                </w:p>
              </w:tc>
              <w:tc>
                <w:tcPr>
                  <w:tcW w:w="1701" w:type="dxa"/>
                  <w:vAlign w:val="center"/>
                </w:tcPr>
                <w:p>
                  <w:pPr>
                    <w:jc w:val="center"/>
                    <w:rPr>
                      <w:rFonts w:eastAsiaTheme="minorEastAsia"/>
                      <w:b/>
                    </w:rPr>
                  </w:pPr>
                  <w:r>
                    <w:rPr>
                      <w:rFonts w:hAnsiTheme="minorEastAsia" w:eastAsiaTheme="minorEastAsia"/>
                      <w:b/>
                    </w:rPr>
                    <w:t>固废属性</w:t>
                  </w:r>
                </w:p>
              </w:tc>
              <w:tc>
                <w:tcPr>
                  <w:tcW w:w="1276" w:type="dxa"/>
                  <w:vAlign w:val="center"/>
                </w:tcPr>
                <w:p>
                  <w:pPr>
                    <w:jc w:val="center"/>
                    <w:rPr>
                      <w:rFonts w:eastAsiaTheme="minorEastAsia"/>
                      <w:b/>
                    </w:rPr>
                  </w:pPr>
                  <w:r>
                    <w:rPr>
                      <w:rFonts w:hAnsiTheme="minorEastAsia" w:eastAsiaTheme="minorEastAsia"/>
                      <w:b/>
                    </w:rPr>
                    <w:t>产生量（</w:t>
                  </w:r>
                  <w:r>
                    <w:rPr>
                      <w:rFonts w:eastAsiaTheme="minorEastAsia"/>
                      <w:b/>
                    </w:rPr>
                    <w:t>t/a</w:t>
                  </w:r>
                  <w:r>
                    <w:rPr>
                      <w:rFonts w:hAnsiTheme="minorEastAsia" w:eastAsiaTheme="minorEastAsia"/>
                      <w:b/>
                    </w:rPr>
                    <w:t>）</w:t>
                  </w:r>
                </w:p>
              </w:tc>
              <w:tc>
                <w:tcPr>
                  <w:tcW w:w="2318" w:type="dxa"/>
                  <w:vAlign w:val="center"/>
                </w:tcPr>
                <w:p>
                  <w:pPr>
                    <w:jc w:val="center"/>
                    <w:rPr>
                      <w:rFonts w:eastAsiaTheme="minorEastAsia"/>
                      <w:b/>
                    </w:rPr>
                  </w:pPr>
                  <w:r>
                    <w:rPr>
                      <w:rFonts w:hAnsiTheme="minorEastAsia" w:eastAsiaTheme="minorEastAsia"/>
                      <w:b/>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Align w:val="center"/>
                </w:tcPr>
                <w:p>
                  <w:pPr>
                    <w:spacing w:line="300" w:lineRule="auto"/>
                    <w:jc w:val="center"/>
                  </w:pPr>
                  <w:r>
                    <w:rPr>
                      <w:rFonts w:hint="eastAsia"/>
                    </w:rPr>
                    <w:t>色选、分选、检验</w:t>
                  </w:r>
                </w:p>
              </w:tc>
              <w:tc>
                <w:tcPr>
                  <w:tcW w:w="1458" w:type="dxa"/>
                  <w:vAlign w:val="center"/>
                </w:tcPr>
                <w:p>
                  <w:pPr>
                    <w:spacing w:line="300" w:lineRule="auto"/>
                    <w:jc w:val="center"/>
                  </w:pPr>
                  <w:r>
                    <w:rPr>
                      <w:rFonts w:hint="eastAsia"/>
                    </w:rPr>
                    <w:t>不合格品</w:t>
                  </w:r>
                </w:p>
              </w:tc>
              <w:tc>
                <w:tcPr>
                  <w:tcW w:w="1701" w:type="dxa"/>
                  <w:vAlign w:val="center"/>
                </w:tcPr>
                <w:p>
                  <w:pPr>
                    <w:jc w:val="center"/>
                    <w:rPr>
                      <w:rFonts w:hAnsiTheme="minorEastAsia" w:eastAsiaTheme="minorEastAsia"/>
                    </w:rPr>
                  </w:pPr>
                  <w:r>
                    <w:rPr>
                      <w:rFonts w:hAnsiTheme="minorEastAsia" w:eastAsiaTheme="minorEastAsia"/>
                    </w:rPr>
                    <w:t>一般工业固废</w:t>
                  </w:r>
                </w:p>
              </w:tc>
              <w:tc>
                <w:tcPr>
                  <w:tcW w:w="1276" w:type="dxa"/>
                  <w:vAlign w:val="center"/>
                </w:tcPr>
                <w:p>
                  <w:pPr>
                    <w:jc w:val="center"/>
                    <w:rPr>
                      <w:rFonts w:eastAsiaTheme="minorEastAsia"/>
                    </w:rPr>
                  </w:pPr>
                  <w:r>
                    <w:rPr>
                      <w:rFonts w:hint="eastAsia" w:eastAsiaTheme="minorEastAsia"/>
                    </w:rPr>
                    <w:t>3</w:t>
                  </w:r>
                </w:p>
              </w:tc>
              <w:tc>
                <w:tcPr>
                  <w:tcW w:w="2318" w:type="dxa"/>
                  <w:vAlign w:val="center"/>
                </w:tcPr>
                <w:p>
                  <w:pPr>
                    <w:jc w:val="center"/>
                    <w:rPr>
                      <w:rFonts w:eastAsiaTheme="minorEastAsia"/>
                    </w:rPr>
                  </w:pPr>
                  <w:r>
                    <w:rPr>
                      <w:rFonts w:hint="eastAsia" w:hAnsiTheme="minorEastAsia" w:eastAsiaTheme="minorEastAsia"/>
                    </w:rPr>
                    <w:t>收集后外售综合利用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Align w:val="center"/>
                </w:tcPr>
                <w:p>
                  <w:pPr>
                    <w:spacing w:line="300" w:lineRule="auto"/>
                    <w:jc w:val="center"/>
                  </w:pPr>
                  <w:r>
                    <w:rPr>
                      <w:rFonts w:hint="eastAsia"/>
                    </w:rPr>
                    <w:t>原料脱皮</w:t>
                  </w:r>
                </w:p>
              </w:tc>
              <w:tc>
                <w:tcPr>
                  <w:tcW w:w="1458" w:type="dxa"/>
                  <w:vAlign w:val="center"/>
                </w:tcPr>
                <w:p>
                  <w:pPr>
                    <w:spacing w:line="300" w:lineRule="auto"/>
                    <w:jc w:val="center"/>
                  </w:pPr>
                  <w:r>
                    <w:rPr>
                      <w:rFonts w:hint="eastAsia"/>
                    </w:rPr>
                    <w:t>废果壳</w:t>
                  </w:r>
                </w:p>
              </w:tc>
              <w:tc>
                <w:tcPr>
                  <w:tcW w:w="1701" w:type="dxa"/>
                  <w:vAlign w:val="center"/>
                </w:tcPr>
                <w:p>
                  <w:pPr>
                    <w:jc w:val="center"/>
                    <w:rPr>
                      <w:rFonts w:hAnsiTheme="minorEastAsia" w:eastAsiaTheme="minorEastAsia"/>
                    </w:rPr>
                  </w:pPr>
                  <w:r>
                    <w:rPr>
                      <w:rFonts w:hAnsiTheme="minorEastAsia" w:eastAsiaTheme="minorEastAsia"/>
                    </w:rPr>
                    <w:t>一般工业固废</w:t>
                  </w:r>
                </w:p>
              </w:tc>
              <w:tc>
                <w:tcPr>
                  <w:tcW w:w="1276" w:type="dxa"/>
                  <w:vAlign w:val="center"/>
                </w:tcPr>
                <w:p>
                  <w:pPr>
                    <w:jc w:val="center"/>
                    <w:rPr>
                      <w:rFonts w:eastAsiaTheme="minorEastAsia"/>
                    </w:rPr>
                  </w:pPr>
                  <w:r>
                    <w:rPr>
                      <w:rFonts w:hint="eastAsia" w:eastAsiaTheme="minorEastAsia"/>
                    </w:rPr>
                    <w:t>2</w:t>
                  </w:r>
                </w:p>
              </w:tc>
              <w:tc>
                <w:tcPr>
                  <w:tcW w:w="2318" w:type="dxa"/>
                  <w:vAlign w:val="center"/>
                </w:tcPr>
                <w:p>
                  <w:pPr>
                    <w:jc w:val="center"/>
                    <w:rPr>
                      <w:rFonts w:eastAsiaTheme="minorEastAsia"/>
                    </w:rPr>
                  </w:pPr>
                  <w:r>
                    <w:rPr>
                      <w:rFonts w:hint="eastAsia" w:hAnsiTheme="minorEastAsia" w:eastAsiaTheme="minorEastAsia"/>
                    </w:rPr>
                    <w:t>收集后外售综合利用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Align w:val="center"/>
                </w:tcPr>
                <w:p>
                  <w:pPr>
                    <w:spacing w:line="300" w:lineRule="auto"/>
                    <w:jc w:val="center"/>
                  </w:pPr>
                  <w:r>
                    <w:rPr>
                      <w:rFonts w:hint="eastAsia"/>
                    </w:rPr>
                    <w:t>原料使用</w:t>
                  </w:r>
                </w:p>
              </w:tc>
              <w:tc>
                <w:tcPr>
                  <w:tcW w:w="1458" w:type="dxa"/>
                  <w:vAlign w:val="center"/>
                </w:tcPr>
                <w:p>
                  <w:pPr>
                    <w:spacing w:line="300" w:lineRule="auto"/>
                    <w:jc w:val="center"/>
                  </w:pPr>
                  <w:r>
                    <w:rPr>
                      <w:rFonts w:hint="eastAsia"/>
                    </w:rPr>
                    <w:t>废包装袋</w:t>
                  </w:r>
                </w:p>
              </w:tc>
              <w:tc>
                <w:tcPr>
                  <w:tcW w:w="1701" w:type="dxa"/>
                  <w:vAlign w:val="center"/>
                </w:tcPr>
                <w:p>
                  <w:pPr>
                    <w:jc w:val="center"/>
                    <w:rPr>
                      <w:rFonts w:hAnsiTheme="minorEastAsia" w:eastAsiaTheme="minorEastAsia"/>
                    </w:rPr>
                  </w:pPr>
                  <w:r>
                    <w:rPr>
                      <w:rFonts w:hAnsiTheme="minorEastAsia" w:eastAsiaTheme="minorEastAsia"/>
                    </w:rPr>
                    <w:t>一般工业固废</w:t>
                  </w:r>
                </w:p>
              </w:tc>
              <w:tc>
                <w:tcPr>
                  <w:tcW w:w="1276" w:type="dxa"/>
                  <w:vAlign w:val="center"/>
                </w:tcPr>
                <w:p>
                  <w:pPr>
                    <w:jc w:val="center"/>
                    <w:rPr>
                      <w:rFonts w:eastAsiaTheme="minorEastAsia"/>
                    </w:rPr>
                  </w:pPr>
                  <w:r>
                    <w:rPr>
                      <w:rFonts w:hint="eastAsia" w:eastAsiaTheme="minorEastAsia"/>
                    </w:rPr>
                    <w:t>2</w:t>
                  </w:r>
                </w:p>
              </w:tc>
              <w:tc>
                <w:tcPr>
                  <w:tcW w:w="2318" w:type="dxa"/>
                  <w:vAlign w:val="center"/>
                </w:tcPr>
                <w:p>
                  <w:pPr>
                    <w:jc w:val="center"/>
                    <w:rPr>
                      <w:rFonts w:eastAsiaTheme="minorEastAsia"/>
                    </w:rPr>
                  </w:pPr>
                  <w:r>
                    <w:rPr>
                      <w:rFonts w:hint="eastAsia" w:hAnsiTheme="minorEastAsia" w:eastAsiaTheme="minorEastAsia"/>
                    </w:rPr>
                    <w:t>收集后外售综合利用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Align w:val="center"/>
                </w:tcPr>
                <w:p>
                  <w:pPr>
                    <w:jc w:val="center"/>
                    <w:rPr>
                      <w:rFonts w:eastAsiaTheme="minorEastAsia"/>
                    </w:rPr>
                  </w:pPr>
                  <w:r>
                    <w:rPr>
                      <w:rFonts w:hAnsiTheme="minorEastAsia" w:eastAsiaTheme="minorEastAsia"/>
                    </w:rPr>
                    <w:t>职工生活</w:t>
                  </w:r>
                </w:p>
              </w:tc>
              <w:tc>
                <w:tcPr>
                  <w:tcW w:w="1458" w:type="dxa"/>
                  <w:vAlign w:val="center"/>
                </w:tcPr>
                <w:p>
                  <w:pPr>
                    <w:jc w:val="center"/>
                    <w:rPr>
                      <w:rFonts w:eastAsiaTheme="minorEastAsia"/>
                    </w:rPr>
                  </w:pPr>
                  <w:r>
                    <w:rPr>
                      <w:rFonts w:hAnsiTheme="minorEastAsia" w:eastAsiaTheme="minorEastAsia"/>
                    </w:rPr>
                    <w:t>生活垃圾</w:t>
                  </w:r>
                </w:p>
              </w:tc>
              <w:tc>
                <w:tcPr>
                  <w:tcW w:w="1701" w:type="dxa"/>
                  <w:vAlign w:val="center"/>
                </w:tcPr>
                <w:p>
                  <w:pPr>
                    <w:jc w:val="center"/>
                    <w:rPr>
                      <w:rFonts w:eastAsiaTheme="minorEastAsia"/>
                    </w:rPr>
                  </w:pPr>
                  <w:r>
                    <w:rPr>
                      <w:rFonts w:eastAsiaTheme="minorEastAsia"/>
                    </w:rPr>
                    <w:t>/</w:t>
                  </w:r>
                </w:p>
              </w:tc>
              <w:tc>
                <w:tcPr>
                  <w:tcW w:w="1276" w:type="dxa"/>
                  <w:vAlign w:val="center"/>
                </w:tcPr>
                <w:p>
                  <w:pPr>
                    <w:jc w:val="center"/>
                    <w:rPr>
                      <w:rFonts w:eastAsiaTheme="minorEastAsia"/>
                    </w:rPr>
                  </w:pPr>
                  <w:r>
                    <w:rPr>
                      <w:rFonts w:hint="eastAsia" w:eastAsiaTheme="minorEastAsia"/>
                    </w:rPr>
                    <w:t>3</w:t>
                  </w:r>
                </w:p>
              </w:tc>
              <w:tc>
                <w:tcPr>
                  <w:tcW w:w="2318" w:type="dxa"/>
                  <w:vAlign w:val="center"/>
                </w:tcPr>
                <w:p>
                  <w:pPr>
                    <w:jc w:val="center"/>
                    <w:rPr>
                      <w:rFonts w:eastAsiaTheme="minorEastAsia"/>
                    </w:rPr>
                  </w:pPr>
                  <w:r>
                    <w:rPr>
                      <w:rFonts w:hAnsiTheme="minorEastAsia" w:eastAsiaTheme="minorEastAsia"/>
                    </w:rPr>
                    <w:t>环卫部门清运处置</w:t>
                  </w:r>
                </w:p>
              </w:tc>
            </w:tr>
          </w:tbl>
          <w:p>
            <w:pPr>
              <w:snapToGrid w:val="0"/>
              <w:spacing w:line="360" w:lineRule="auto"/>
              <w:ind w:firstLine="420"/>
              <w:rPr>
                <w:rFonts w:hAnsiTheme="minorEastAsia" w:eastAsiaTheme="minorEastAsia"/>
                <w:color w:val="FF0000"/>
              </w:rPr>
            </w:pPr>
          </w:p>
          <w:p>
            <w:pPr>
              <w:snapToGrid w:val="0"/>
              <w:spacing w:line="360" w:lineRule="auto"/>
              <w:ind w:firstLine="420"/>
              <w:rPr>
                <w:rFonts w:hAnsiTheme="minorEastAsia" w:eastAsiaTheme="minorEastAsia"/>
                <w:color w:val="FF0000"/>
              </w:rPr>
            </w:pPr>
          </w:p>
          <w:p>
            <w:pPr>
              <w:snapToGrid w:val="0"/>
              <w:spacing w:line="360" w:lineRule="auto"/>
              <w:ind w:firstLine="420"/>
              <w:rPr>
                <w:rFonts w:hAnsiTheme="minorEastAsia" w:eastAsiaTheme="minorEastAsia"/>
                <w:color w:val="FF0000"/>
              </w:rPr>
            </w:pPr>
          </w:p>
          <w:p>
            <w:pPr>
              <w:snapToGrid w:val="0"/>
              <w:spacing w:line="360" w:lineRule="auto"/>
              <w:ind w:firstLine="420"/>
              <w:rPr>
                <w:rFonts w:hAnsiTheme="minorEastAsia" w:eastAsiaTheme="minorEastAsia"/>
                <w:color w:val="FF0000"/>
              </w:rPr>
            </w:pPr>
          </w:p>
          <w:p>
            <w:pPr>
              <w:snapToGrid w:val="0"/>
              <w:spacing w:line="360" w:lineRule="auto"/>
              <w:ind w:firstLine="420"/>
              <w:rPr>
                <w:rFonts w:hAnsiTheme="minorEastAsia" w:eastAsiaTheme="minorEastAsia"/>
                <w:color w:val="FF0000"/>
              </w:rPr>
            </w:pPr>
          </w:p>
          <w:p>
            <w:pPr>
              <w:snapToGrid w:val="0"/>
              <w:spacing w:line="360" w:lineRule="auto"/>
              <w:ind w:firstLine="420"/>
              <w:rPr>
                <w:rFonts w:hAnsiTheme="minorEastAsia" w:eastAsiaTheme="minorEastAsia"/>
                <w:color w:val="FF0000"/>
              </w:rPr>
            </w:pPr>
          </w:p>
          <w:p>
            <w:pPr>
              <w:snapToGrid w:val="0"/>
              <w:spacing w:line="360" w:lineRule="auto"/>
              <w:ind w:firstLine="420"/>
              <w:rPr>
                <w:rFonts w:hAnsiTheme="minorEastAsia" w:eastAsiaTheme="minorEastAsia"/>
                <w:color w:val="FF0000"/>
              </w:rPr>
            </w:pPr>
          </w:p>
        </w:tc>
      </w:tr>
    </w:tbl>
    <w:p>
      <w:pPr>
        <w:ind w:firstLine="480"/>
        <w:rPr>
          <w:color w:val="FF0000"/>
        </w:rPr>
        <w:sectPr>
          <w:pgSz w:w="11906" w:h="16838"/>
          <w:pgMar w:top="1701" w:right="1531" w:bottom="1701" w:left="1531" w:header="851" w:footer="992" w:gutter="0"/>
          <w:pgNumType w:fmt="numberInDash"/>
          <w:cols w:space="425" w:num="1"/>
          <w:docGrid w:type="lines" w:linePitch="312" w:charSpace="0"/>
        </w:sect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6" w:hRule="atLeast"/>
        </w:trPr>
        <w:tc>
          <w:tcPr>
            <w:tcW w:w="817" w:type="dxa"/>
            <w:vAlign w:val="center"/>
          </w:tcPr>
          <w:p>
            <w:pPr>
              <w:spacing w:line="360" w:lineRule="auto"/>
              <w:jc w:val="center"/>
              <w:rPr>
                <w:rFonts w:ascii="宋体" w:hAnsi="宋体" w:cs="宋体"/>
                <w:bCs/>
              </w:rPr>
            </w:pPr>
            <w:r>
              <w:rPr>
                <w:rFonts w:hint="eastAsia" w:ascii="宋体" w:hAnsi="宋体" w:cs="宋体"/>
                <w:bCs/>
              </w:rPr>
              <w:t>运营</w:t>
            </w:r>
          </w:p>
          <w:p>
            <w:pPr>
              <w:spacing w:line="360" w:lineRule="auto"/>
              <w:jc w:val="center"/>
              <w:rPr>
                <w:rFonts w:ascii="宋体" w:hAnsi="宋体" w:cs="宋体"/>
                <w:bCs/>
              </w:rPr>
            </w:pPr>
            <w:r>
              <w:rPr>
                <w:rFonts w:hint="eastAsia" w:ascii="宋体" w:hAnsi="宋体" w:cs="宋体"/>
                <w:bCs/>
              </w:rPr>
              <w:t>期环</w:t>
            </w:r>
          </w:p>
          <w:p>
            <w:pPr>
              <w:spacing w:line="360" w:lineRule="auto"/>
              <w:jc w:val="center"/>
              <w:rPr>
                <w:rFonts w:ascii="宋体" w:hAnsi="宋体" w:cs="宋体"/>
                <w:bCs/>
              </w:rPr>
            </w:pPr>
            <w:r>
              <w:rPr>
                <w:rFonts w:hint="eastAsia" w:ascii="宋体" w:hAnsi="宋体" w:cs="宋体"/>
                <w:bCs/>
              </w:rPr>
              <w:t>境影</w:t>
            </w:r>
          </w:p>
          <w:p>
            <w:pPr>
              <w:spacing w:line="360" w:lineRule="auto"/>
              <w:jc w:val="center"/>
              <w:rPr>
                <w:rFonts w:ascii="宋体" w:hAnsi="宋体" w:cs="宋体"/>
                <w:bCs/>
              </w:rPr>
            </w:pPr>
            <w:r>
              <w:rPr>
                <w:rFonts w:hint="eastAsia" w:ascii="宋体" w:hAnsi="宋体" w:cs="宋体"/>
                <w:bCs/>
              </w:rPr>
              <w:t>响和</w:t>
            </w:r>
          </w:p>
          <w:p>
            <w:pPr>
              <w:spacing w:line="360" w:lineRule="auto"/>
              <w:jc w:val="center"/>
              <w:rPr>
                <w:rFonts w:ascii="宋体" w:hAnsi="宋体" w:cs="宋体"/>
                <w:bCs/>
              </w:rPr>
            </w:pPr>
            <w:r>
              <w:rPr>
                <w:rFonts w:hint="eastAsia" w:ascii="宋体" w:hAnsi="宋体" w:cs="宋体"/>
                <w:bCs/>
              </w:rPr>
              <w:t>保护</w:t>
            </w:r>
          </w:p>
          <w:p>
            <w:pPr>
              <w:spacing w:line="360" w:lineRule="auto"/>
              <w:jc w:val="center"/>
              <w:rPr>
                <w:color w:val="FF0000"/>
              </w:rPr>
            </w:pPr>
            <w:r>
              <w:rPr>
                <w:rFonts w:hint="eastAsia" w:ascii="宋体" w:hAnsi="宋体" w:cs="宋体"/>
                <w:bCs/>
              </w:rPr>
              <w:t>措施</w:t>
            </w:r>
          </w:p>
        </w:tc>
        <w:tc>
          <w:tcPr>
            <w:tcW w:w="8243" w:type="dxa"/>
          </w:tcPr>
          <w:p>
            <w:pPr>
              <w:snapToGrid w:val="0"/>
              <w:spacing w:line="360" w:lineRule="auto"/>
              <w:ind w:firstLine="420"/>
              <w:rPr>
                <w:rFonts w:hAnsiTheme="minorEastAsia" w:eastAsiaTheme="minorEastAsia"/>
              </w:rPr>
            </w:pPr>
            <w:r>
              <w:rPr>
                <w:rFonts w:hint="eastAsia" w:hAnsiTheme="minorEastAsia" w:eastAsiaTheme="minorEastAsia"/>
              </w:rPr>
              <w:t>（2）环境管理要求</w:t>
            </w:r>
          </w:p>
          <w:p>
            <w:pPr>
              <w:snapToGrid w:val="0"/>
              <w:spacing w:line="360" w:lineRule="auto"/>
              <w:ind w:firstLine="420"/>
              <w:rPr>
                <w:rFonts w:hAnsiTheme="minorEastAsia" w:eastAsiaTheme="minorEastAsia"/>
              </w:rPr>
            </w:pPr>
            <w:r>
              <w:rPr>
                <w:rFonts w:hint="eastAsia" w:hAnsiTheme="minorEastAsia" w:eastAsiaTheme="minorEastAsia"/>
              </w:rPr>
              <w:t>①固废收集：建立全厂统一的固废分类收集制度，将生活垃圾与工业固废进行分类收集，做好分类收集堆放，严禁固废乱堆乱放，保持厂区整洁生产。</w:t>
            </w:r>
          </w:p>
          <w:p>
            <w:pPr>
              <w:snapToGrid w:val="0"/>
              <w:spacing w:line="360" w:lineRule="auto"/>
              <w:ind w:firstLine="420"/>
              <w:rPr>
                <w:rFonts w:hAnsiTheme="minorEastAsia" w:eastAsiaTheme="minorEastAsia"/>
              </w:rPr>
            </w:pPr>
            <w:r>
              <w:rPr>
                <w:rFonts w:hint="eastAsia" w:hAnsiTheme="minorEastAsia" w:eastAsiaTheme="minorEastAsia"/>
              </w:rPr>
              <w:t>②废物应及时外运处理，如无法立即外运，则应设置暂存场地，不能露天堆放。盛装的容器上须按要求粘贴标签。</w:t>
            </w:r>
          </w:p>
          <w:p>
            <w:pPr>
              <w:snapToGrid w:val="0"/>
              <w:spacing w:line="360" w:lineRule="auto"/>
              <w:ind w:firstLine="420"/>
              <w:rPr>
                <w:rFonts w:hAnsiTheme="minorEastAsia" w:eastAsiaTheme="minorEastAsia"/>
              </w:rPr>
            </w:pPr>
            <w:r>
              <w:rPr>
                <w:rFonts w:hint="eastAsia" w:hAnsiTheme="minorEastAsia" w:eastAsiaTheme="minorEastAsia"/>
              </w:rPr>
              <w:t>③由于这些固废需要先在厂区内暂存到一定量时才外运，因此需按照危废处置、暂存的环保法规的要求在厂区内设专门的暂存库进行暂存。</w:t>
            </w:r>
          </w:p>
          <w:p>
            <w:pPr>
              <w:snapToGrid w:val="0"/>
              <w:spacing w:line="360" w:lineRule="auto"/>
              <w:ind w:firstLine="420"/>
            </w:pPr>
            <w:r>
              <w:rPr>
                <w:rFonts w:hint="eastAsia" w:hAnsiTheme="minorEastAsia" w:eastAsiaTheme="minorEastAsia"/>
              </w:rPr>
              <w:t>④生活垃圾一起由城市环卫部门集中收集后统一处理，企业应做好妥善的收集工作，定期联系环卫部门进行清运</w:t>
            </w:r>
          </w:p>
          <w:p>
            <w:pPr>
              <w:adjustRightInd w:val="0"/>
              <w:snapToGrid w:val="0"/>
              <w:spacing w:before="156" w:beforeLines="50" w:line="360" w:lineRule="auto"/>
              <w:rPr>
                <w:b/>
                <w:bCs/>
              </w:rPr>
            </w:pPr>
            <w:r>
              <w:rPr>
                <w:rFonts w:hint="eastAsia"/>
                <w:b/>
                <w:bCs/>
              </w:rPr>
              <w:t>5、地下水、土壤</w:t>
            </w:r>
          </w:p>
          <w:p>
            <w:pPr>
              <w:snapToGrid w:val="0"/>
              <w:spacing w:line="360" w:lineRule="auto"/>
              <w:ind w:firstLine="420"/>
              <w:rPr>
                <w:rFonts w:hAnsiTheme="minorEastAsia" w:eastAsiaTheme="minorEastAsia"/>
              </w:rPr>
            </w:pPr>
            <w:r>
              <w:rPr>
                <w:rFonts w:hint="eastAsia" w:hAnsiTheme="minorEastAsia" w:eastAsiaTheme="minorEastAsia"/>
              </w:rPr>
              <w:t>（1）污染途径</w:t>
            </w:r>
          </w:p>
          <w:p>
            <w:pPr>
              <w:snapToGrid w:val="0"/>
              <w:spacing w:line="360" w:lineRule="auto"/>
              <w:ind w:firstLine="420"/>
              <w:rPr>
                <w:rFonts w:hAnsiTheme="minorEastAsia" w:eastAsiaTheme="minorEastAsia"/>
              </w:rPr>
            </w:pPr>
            <w:r>
              <w:rPr>
                <w:rFonts w:hint="eastAsia" w:hAnsiTheme="minorEastAsia" w:eastAsiaTheme="minorEastAsia"/>
              </w:rPr>
              <w:t>本项目可能造成地下水及土壤污染途径主要为：生产车间、废水处理设施等区域，主要污染物为废水（清洗浸泡废水）等设施的防渗措施不到位、地面下沉或设施质量问题导致废水下渗而污染地下水、土壤。</w:t>
            </w:r>
          </w:p>
          <w:p>
            <w:pPr>
              <w:snapToGrid w:val="0"/>
              <w:spacing w:line="360" w:lineRule="auto"/>
              <w:ind w:firstLine="420"/>
              <w:rPr>
                <w:rFonts w:hAnsiTheme="minorEastAsia" w:eastAsiaTheme="minorEastAsia"/>
              </w:rPr>
            </w:pPr>
            <w:r>
              <w:rPr>
                <w:rFonts w:hint="eastAsia" w:hAnsiTheme="minorEastAsia" w:eastAsiaTheme="minorEastAsia"/>
              </w:rPr>
              <w:t>（2）防控措施</w:t>
            </w:r>
          </w:p>
          <w:p>
            <w:pPr>
              <w:snapToGrid w:val="0"/>
              <w:spacing w:line="360" w:lineRule="auto"/>
              <w:ind w:firstLine="420"/>
              <w:rPr>
                <w:rFonts w:hAnsiTheme="minorEastAsia" w:eastAsiaTheme="minorEastAsia"/>
              </w:rPr>
            </w:pPr>
            <w:r>
              <w:rPr>
                <w:rFonts w:hint="eastAsia" w:hAnsiTheme="minorEastAsia" w:eastAsiaTheme="minorEastAsia"/>
              </w:rPr>
              <w:t>针对可能发生的地下水及土壤污染，本项目运行期地下水及土壤污染防治措施将按照“源头控制、末端防治、污染监控、应急响应”相结合的原则，从污染物的产生、入渗、扩散、应急响应全方位进行防控。</w:t>
            </w:r>
          </w:p>
          <w:p>
            <w:pPr>
              <w:pStyle w:val="59"/>
              <w:numPr>
                <w:ilvl w:val="0"/>
                <w:numId w:val="4"/>
              </w:numPr>
              <w:snapToGrid w:val="0"/>
              <w:spacing w:line="360" w:lineRule="auto"/>
              <w:ind w:left="0" w:firstLine="357" w:firstLineChars="0"/>
              <w:rPr>
                <w:rFonts w:hAnsiTheme="minorEastAsia" w:eastAsiaTheme="minorEastAsia"/>
              </w:rPr>
            </w:pPr>
            <w:r>
              <w:rPr>
                <w:rFonts w:hint="eastAsia" w:hAnsiTheme="minorEastAsia" w:eastAsiaTheme="minorEastAsia"/>
              </w:rPr>
              <w:t>源头控制措施：主要包括废水的收集和处置；通过采取相应的措施防止和降低污染物跑、冒、滴、漏，将污染物泄漏的环境风险事故降到最低程度。</w:t>
            </w:r>
          </w:p>
          <w:p>
            <w:pPr>
              <w:snapToGrid w:val="0"/>
              <w:spacing w:line="360" w:lineRule="auto"/>
              <w:ind w:firstLine="420"/>
              <w:rPr>
                <w:rFonts w:hAnsiTheme="minorEastAsia" w:eastAsiaTheme="minorEastAsia"/>
              </w:rPr>
            </w:pPr>
            <w:r>
              <w:rPr>
                <w:rFonts w:hint="eastAsia" w:hAnsiTheme="minorEastAsia" w:eastAsiaTheme="minorEastAsia"/>
              </w:rPr>
              <w:t>②末端控制措施：主要包括建设区域污染区地面的防渗措施和泄漏、渗漏污染物收集措施，即在污染区地面进行防渗处理，防止洒落地面的污染物渗入地下，并把滞留在地面的污染物收集起来；末端控制采取分区防渗，根据可能泄漏至地面区域污染物的性质和生产单元的构筑方式，将地下水污染防治划分为重点污染防治区、一般污染防治区和非污染防治区，并采取相应防渗措施。</w:t>
            </w:r>
          </w:p>
          <w:p>
            <w:pPr>
              <w:snapToGrid w:val="0"/>
              <w:spacing w:line="360" w:lineRule="auto"/>
              <w:ind w:firstLine="420"/>
              <w:rPr>
                <w:rFonts w:hAnsiTheme="minorEastAsia" w:eastAsiaTheme="minorEastAsia"/>
              </w:rPr>
            </w:pPr>
            <w:r>
              <w:rPr>
                <w:rFonts w:hint="eastAsia" w:hAnsiTheme="minorEastAsia" w:eastAsiaTheme="minorEastAsia"/>
              </w:rPr>
              <w:t>③污染监控体系：实施覆盖生产区地下水污染监控系统，建立完善的监测制度，配备先进的检测仪器和设备，及时发现和控制污染；</w:t>
            </w:r>
          </w:p>
          <w:p>
            <w:pPr>
              <w:snapToGrid w:val="0"/>
              <w:spacing w:line="360" w:lineRule="auto"/>
              <w:ind w:firstLine="420"/>
              <w:rPr>
                <w:rFonts w:hAnsiTheme="minorEastAsia" w:eastAsiaTheme="minorEastAsia"/>
              </w:rPr>
            </w:pPr>
            <w:r>
              <w:rPr>
                <w:rFonts w:hint="eastAsia" w:hAnsiTheme="minorEastAsia" w:eastAsiaTheme="minorEastAsia"/>
              </w:rPr>
              <w:t>④应急响应措施：包括一旦发现地下水污染事故，立即启动应急预案、采取应急措施控制地下水污染，并使污染得到治理。</w:t>
            </w:r>
          </w:p>
          <w:p>
            <w:pPr>
              <w:snapToGrid w:val="0"/>
              <w:spacing w:line="360" w:lineRule="auto"/>
              <w:ind w:firstLine="420"/>
              <w:rPr>
                <w:rFonts w:hAnsiTheme="minorEastAsia" w:eastAsiaTheme="minorEastAsia"/>
              </w:rPr>
            </w:pPr>
            <w:r>
              <w:rPr>
                <w:rFonts w:hint="eastAsia" w:hAnsiTheme="minorEastAsia" w:eastAsiaTheme="minorEastAsia"/>
              </w:rPr>
              <w:t>项目建设拟对废水隔油沉淀池、化粪池、污水管道等地面进行硬化、防渗处理，并设置相应的收集沟和事故池，一旦发生泄漏可以及时收集，避免污染地下水。</w:t>
            </w:r>
          </w:p>
          <w:p>
            <w:pPr>
              <w:snapToGrid w:val="0"/>
              <w:spacing w:line="360" w:lineRule="auto"/>
              <w:ind w:firstLine="420"/>
              <w:rPr>
                <w:rFonts w:hAnsiTheme="minorEastAsia" w:eastAsiaTheme="minorEastAsia"/>
              </w:rPr>
            </w:pPr>
            <w:r>
              <w:rPr>
                <w:rFonts w:hint="eastAsia" w:hAnsiTheme="minorEastAsia" w:eastAsiaTheme="minorEastAsia"/>
              </w:rPr>
              <w:t>（3）分区防渗要求</w:t>
            </w:r>
          </w:p>
          <w:p>
            <w:pPr>
              <w:snapToGrid w:val="0"/>
              <w:spacing w:line="360" w:lineRule="auto"/>
              <w:ind w:firstLine="420"/>
              <w:rPr>
                <w:rFonts w:hAnsiTheme="minorEastAsia" w:eastAsiaTheme="minorEastAsia"/>
              </w:rPr>
            </w:pPr>
            <w:r>
              <w:rPr>
                <w:rFonts w:hint="eastAsia" w:hAnsiTheme="minorEastAsia" w:eastAsiaTheme="minorEastAsia"/>
              </w:rPr>
              <w:t>本项目地下水污染防治措施主要为地面防渗措施。按重点污染防治区、一般污染防治区和非污染防治区进行分区防渗。具体防渗分区要求详见下表。</w:t>
            </w:r>
          </w:p>
          <w:p>
            <w:pPr>
              <w:pStyle w:val="17"/>
              <w:spacing w:beforeLines="0"/>
              <w:ind w:firstLine="0" w:firstLineChars="0"/>
              <w:jc w:val="center"/>
              <w:rPr>
                <w:rFonts w:hAnsi="宋体"/>
                <w:b/>
                <w:bCs/>
                <w:sz w:val="21"/>
                <w:szCs w:val="21"/>
              </w:rPr>
            </w:pPr>
            <w:r>
              <w:rPr>
                <w:rFonts w:hint="eastAsia" w:hAnsi="宋体"/>
                <w:b/>
                <w:bCs/>
                <w:sz w:val="21"/>
                <w:szCs w:val="21"/>
              </w:rPr>
              <w:t>表4-12  分区防渗要求表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159"/>
              <w:gridCol w:w="1275"/>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pPr>
                    <w:pStyle w:val="30"/>
                    <w:spacing w:line="300" w:lineRule="auto"/>
                    <w:rPr>
                      <w:bCs/>
                    </w:rPr>
                  </w:pPr>
                  <w:r>
                    <w:rPr>
                      <w:bCs/>
                    </w:rPr>
                    <w:t>防治区分区</w:t>
                  </w:r>
                </w:p>
              </w:tc>
              <w:tc>
                <w:tcPr>
                  <w:tcW w:w="3159" w:type="dxa"/>
                  <w:vAlign w:val="center"/>
                </w:tcPr>
                <w:p>
                  <w:pPr>
                    <w:pStyle w:val="30"/>
                    <w:spacing w:line="300" w:lineRule="auto"/>
                    <w:rPr>
                      <w:bCs/>
                    </w:rPr>
                  </w:pPr>
                  <w:r>
                    <w:rPr>
                      <w:bCs/>
                    </w:rPr>
                    <w:t>装置或构筑物名称</w:t>
                  </w:r>
                </w:p>
              </w:tc>
              <w:tc>
                <w:tcPr>
                  <w:tcW w:w="1275" w:type="dxa"/>
                  <w:vAlign w:val="center"/>
                </w:tcPr>
                <w:p>
                  <w:pPr>
                    <w:pStyle w:val="30"/>
                    <w:spacing w:line="300" w:lineRule="auto"/>
                    <w:rPr>
                      <w:bCs/>
                    </w:rPr>
                  </w:pPr>
                  <w:r>
                    <w:rPr>
                      <w:bCs/>
                    </w:rPr>
                    <w:t>防渗区域</w:t>
                  </w:r>
                </w:p>
              </w:tc>
              <w:tc>
                <w:tcPr>
                  <w:tcW w:w="2602" w:type="dxa"/>
                  <w:vAlign w:val="center"/>
                </w:tcPr>
                <w:p>
                  <w:pPr>
                    <w:pStyle w:val="30"/>
                    <w:spacing w:line="300" w:lineRule="auto"/>
                    <w:rPr>
                      <w:bCs/>
                    </w:rPr>
                  </w:pPr>
                  <w:r>
                    <w:rPr>
                      <w:bCs/>
                    </w:rPr>
                    <w:t>防渗要求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pPr>
                    <w:pStyle w:val="30"/>
                    <w:spacing w:line="300" w:lineRule="auto"/>
                    <w:rPr>
                      <w:b w:val="0"/>
                    </w:rPr>
                  </w:pPr>
                  <w:r>
                    <w:rPr>
                      <w:b w:val="0"/>
                    </w:rPr>
                    <w:t>重点防渗区</w:t>
                  </w:r>
                </w:p>
              </w:tc>
              <w:tc>
                <w:tcPr>
                  <w:tcW w:w="3159" w:type="dxa"/>
                  <w:vAlign w:val="center"/>
                </w:tcPr>
                <w:p>
                  <w:pPr>
                    <w:pStyle w:val="30"/>
                    <w:spacing w:line="300" w:lineRule="auto"/>
                    <w:rPr>
                      <w:b w:val="0"/>
                    </w:rPr>
                  </w:pPr>
                  <w:r>
                    <w:rPr>
                      <w:b w:val="0"/>
                    </w:rPr>
                    <w:t>废水隔油沉淀池、化粪池</w:t>
                  </w:r>
                </w:p>
              </w:tc>
              <w:tc>
                <w:tcPr>
                  <w:tcW w:w="1275" w:type="dxa"/>
                  <w:vAlign w:val="center"/>
                </w:tcPr>
                <w:p>
                  <w:pPr>
                    <w:pStyle w:val="30"/>
                    <w:spacing w:line="300" w:lineRule="auto"/>
                    <w:rPr>
                      <w:b w:val="0"/>
                    </w:rPr>
                  </w:pPr>
                  <w:r>
                    <w:rPr>
                      <w:b w:val="0"/>
                    </w:rPr>
                    <w:t>底部、水池四周</w:t>
                  </w:r>
                </w:p>
              </w:tc>
              <w:tc>
                <w:tcPr>
                  <w:tcW w:w="2602" w:type="dxa"/>
                  <w:vAlign w:val="center"/>
                </w:tcPr>
                <w:p>
                  <w:pPr>
                    <w:pStyle w:val="30"/>
                    <w:spacing w:line="300" w:lineRule="auto"/>
                    <w:rPr>
                      <w:b w:val="0"/>
                    </w:rPr>
                  </w:pPr>
                  <w:r>
                    <w:rPr>
                      <w:b w:val="0"/>
                    </w:rPr>
                    <w:t>等效黏土防渗层Mb≥6.0m，K≤1×10</w:t>
                  </w:r>
                  <w:r>
                    <w:rPr>
                      <w:b w:val="0"/>
                      <w:vertAlign w:val="superscript"/>
                    </w:rPr>
                    <w:t>-7</w:t>
                  </w:r>
                  <w:r>
                    <w:rPr>
                      <w:b w:val="0"/>
                    </w:rPr>
                    <w:t>；或参照执行GB18598执行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pPr>
                    <w:pStyle w:val="30"/>
                    <w:spacing w:line="300" w:lineRule="auto"/>
                    <w:rPr>
                      <w:b w:val="0"/>
                    </w:rPr>
                  </w:pPr>
                  <w:r>
                    <w:rPr>
                      <w:b w:val="0"/>
                    </w:rPr>
                    <w:t>一般防渗区</w:t>
                  </w:r>
                </w:p>
              </w:tc>
              <w:tc>
                <w:tcPr>
                  <w:tcW w:w="3159" w:type="dxa"/>
                  <w:vAlign w:val="center"/>
                </w:tcPr>
                <w:p>
                  <w:pPr>
                    <w:pStyle w:val="30"/>
                    <w:spacing w:line="300" w:lineRule="auto"/>
                    <w:rPr>
                      <w:b w:val="0"/>
                    </w:rPr>
                  </w:pPr>
                  <w:r>
                    <w:rPr>
                      <w:b w:val="0"/>
                    </w:rPr>
                    <w:t>车间</w:t>
                  </w:r>
                </w:p>
              </w:tc>
              <w:tc>
                <w:tcPr>
                  <w:tcW w:w="1275" w:type="dxa"/>
                  <w:vAlign w:val="center"/>
                </w:tcPr>
                <w:p>
                  <w:pPr>
                    <w:pStyle w:val="30"/>
                    <w:spacing w:line="300" w:lineRule="auto"/>
                    <w:rPr>
                      <w:b w:val="0"/>
                    </w:rPr>
                  </w:pPr>
                  <w:r>
                    <w:rPr>
                      <w:b w:val="0"/>
                    </w:rPr>
                    <w:t>地面</w:t>
                  </w:r>
                </w:p>
              </w:tc>
              <w:tc>
                <w:tcPr>
                  <w:tcW w:w="2602" w:type="dxa"/>
                  <w:vAlign w:val="center"/>
                </w:tcPr>
                <w:p>
                  <w:pPr>
                    <w:pStyle w:val="30"/>
                    <w:spacing w:line="300" w:lineRule="auto"/>
                    <w:rPr>
                      <w:b w:val="0"/>
                    </w:rPr>
                  </w:pPr>
                  <w:r>
                    <w:rPr>
                      <w:b w:val="0"/>
                    </w:rPr>
                    <w:t>等效黏土防渗层Mb≥1.5m，K≤1×10</w:t>
                  </w:r>
                  <w:r>
                    <w:rPr>
                      <w:b w:val="0"/>
                      <w:vertAlign w:val="superscript"/>
                    </w:rPr>
                    <w:t>-7</w:t>
                  </w:r>
                  <w:r>
                    <w:rPr>
                      <w:b w:val="0"/>
                    </w:rPr>
                    <w:t>；或参照执行GB16889执行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1" w:type="dxa"/>
                  <w:vAlign w:val="center"/>
                </w:tcPr>
                <w:p>
                  <w:pPr>
                    <w:pStyle w:val="30"/>
                    <w:spacing w:line="300" w:lineRule="auto"/>
                    <w:rPr>
                      <w:b w:val="0"/>
                    </w:rPr>
                  </w:pPr>
                  <w:r>
                    <w:rPr>
                      <w:b w:val="0"/>
                    </w:rPr>
                    <w:t>简单防渗区</w:t>
                  </w:r>
                </w:p>
              </w:tc>
              <w:tc>
                <w:tcPr>
                  <w:tcW w:w="3159" w:type="dxa"/>
                  <w:vAlign w:val="center"/>
                </w:tcPr>
                <w:p>
                  <w:pPr>
                    <w:pStyle w:val="30"/>
                    <w:spacing w:line="300" w:lineRule="auto"/>
                    <w:rPr>
                      <w:b w:val="0"/>
                    </w:rPr>
                  </w:pPr>
                  <w:r>
                    <w:rPr>
                      <w:b w:val="0"/>
                    </w:rPr>
                    <w:t>除重点、一般防渗区以外的区域</w:t>
                  </w:r>
                </w:p>
              </w:tc>
              <w:tc>
                <w:tcPr>
                  <w:tcW w:w="1275" w:type="dxa"/>
                  <w:vAlign w:val="center"/>
                </w:tcPr>
                <w:p>
                  <w:pPr>
                    <w:pStyle w:val="30"/>
                    <w:spacing w:line="300" w:lineRule="auto"/>
                    <w:rPr>
                      <w:b w:val="0"/>
                    </w:rPr>
                  </w:pPr>
                  <w:r>
                    <w:rPr>
                      <w:b w:val="0"/>
                    </w:rPr>
                    <w:t>地面</w:t>
                  </w:r>
                </w:p>
              </w:tc>
              <w:tc>
                <w:tcPr>
                  <w:tcW w:w="2602" w:type="dxa"/>
                  <w:vAlign w:val="center"/>
                </w:tcPr>
                <w:p>
                  <w:pPr>
                    <w:pStyle w:val="30"/>
                    <w:spacing w:line="300" w:lineRule="auto"/>
                    <w:rPr>
                      <w:b w:val="0"/>
                    </w:rPr>
                  </w:pPr>
                  <w:r>
                    <w:rPr>
                      <w:b w:val="0"/>
                    </w:rPr>
                    <w:t>一般地面硬化</w:t>
                  </w:r>
                </w:p>
              </w:tc>
            </w:tr>
          </w:tbl>
          <w:p>
            <w:pPr>
              <w:adjustRightInd w:val="0"/>
              <w:snapToGrid w:val="0"/>
              <w:spacing w:before="156" w:beforeLines="50" w:line="360" w:lineRule="auto"/>
              <w:ind w:firstLine="420"/>
              <w:rPr>
                <w:rFonts w:hAnsiTheme="minorEastAsia" w:eastAsiaTheme="minorEastAsia"/>
              </w:rPr>
            </w:pPr>
            <w:r>
              <w:rPr>
                <w:rFonts w:hint="eastAsia" w:hAnsiTheme="minorEastAsia" w:eastAsiaTheme="minorEastAsia"/>
              </w:rPr>
              <w:t>项目地下水污染防治分区及采取防治措施分析如下：</w:t>
            </w:r>
          </w:p>
          <w:p>
            <w:pPr>
              <w:pStyle w:val="59"/>
              <w:numPr>
                <w:ilvl w:val="0"/>
                <w:numId w:val="5"/>
              </w:numPr>
              <w:snapToGrid w:val="0"/>
              <w:spacing w:line="360" w:lineRule="auto"/>
              <w:ind w:firstLineChars="0"/>
              <w:rPr>
                <w:rFonts w:hAnsiTheme="minorEastAsia" w:eastAsiaTheme="minorEastAsia"/>
              </w:rPr>
            </w:pPr>
            <w:r>
              <w:rPr>
                <w:rFonts w:hint="eastAsia" w:hAnsiTheme="minorEastAsia" w:eastAsiaTheme="minorEastAsia"/>
              </w:rPr>
              <w:t>重点防渗区及建设要求</w:t>
            </w:r>
          </w:p>
          <w:p>
            <w:pPr>
              <w:snapToGrid w:val="0"/>
              <w:spacing w:line="360" w:lineRule="auto"/>
              <w:ind w:firstLine="420"/>
              <w:rPr>
                <w:rFonts w:hAnsiTheme="minorEastAsia" w:eastAsiaTheme="minorEastAsia"/>
              </w:rPr>
            </w:pPr>
            <w:r>
              <w:rPr>
                <w:rFonts w:hint="eastAsia" w:hAnsiTheme="minorEastAsia" w:eastAsiaTheme="minorEastAsia"/>
              </w:rPr>
              <w:t>重点污染防治区主要包括废水隔油沉淀池、化粪池、事故应急池、污水管道等，防渗措施如下：</w:t>
            </w:r>
          </w:p>
          <w:p>
            <w:pPr>
              <w:snapToGrid w:val="0"/>
              <w:spacing w:line="360" w:lineRule="auto"/>
              <w:ind w:firstLine="420"/>
            </w:pPr>
            <w:r>
              <w:rPr>
                <w:rFonts w:hint="eastAsia"/>
              </w:rPr>
              <w:t>a、</w:t>
            </w:r>
            <w:r>
              <w:rPr>
                <w:rFonts w:hint="eastAsia" w:hAnsiTheme="minorEastAsia" w:eastAsiaTheme="minorEastAsia"/>
              </w:rPr>
              <w:t>废水隔油沉淀池、</w:t>
            </w:r>
            <w:r>
              <w:rPr>
                <w:rFonts w:hint="eastAsia"/>
              </w:rPr>
              <w:t>事故应急池、化粪池等水池采用钢筋混凝土结构，采用特殊防腐、防渗处理，在防腐、防渗结构上设隔离层，并与地面隔离层连成整体。经防渗处理后等效黏土防渗层Mb≥6.0m，渗透系数≤1.0×10</w:t>
            </w:r>
            <w:r>
              <w:rPr>
                <w:rFonts w:hint="eastAsia"/>
                <w:vertAlign w:val="superscript"/>
              </w:rPr>
              <w:t>-7</w:t>
            </w:r>
            <w:r>
              <w:rPr>
                <w:rFonts w:hint="eastAsia"/>
              </w:rPr>
              <w:t>cm/s。</w:t>
            </w:r>
          </w:p>
          <w:p>
            <w:pPr>
              <w:snapToGrid w:val="0"/>
              <w:spacing w:line="360" w:lineRule="auto"/>
              <w:ind w:firstLine="420"/>
            </w:pPr>
            <w:r>
              <w:rPr>
                <w:rFonts w:hint="eastAsia"/>
              </w:rPr>
              <w:t>b、污水管道采用强度高、腐蚀裕度大的管道材料（如无缝钢管）和高等级防腐材料，尽量使用焊接连接，不得使用承插管。</w:t>
            </w:r>
          </w:p>
          <w:p>
            <w:pPr>
              <w:snapToGrid w:val="0"/>
              <w:spacing w:line="360" w:lineRule="auto"/>
              <w:ind w:firstLine="420"/>
            </w:pPr>
            <w:r>
              <w:rPr>
                <w:rFonts w:hint="eastAsia"/>
              </w:rPr>
              <w:t>重点污染防治区的防渗工程建议采取约20cm厚的水泥抗渗混凝土基础，地表采取五布八油的防渗涂层，要求防渗层的渗透系数小于1.0×10</w:t>
            </w:r>
            <w:r>
              <w:rPr>
                <w:rFonts w:hint="eastAsia"/>
                <w:vertAlign w:val="superscript"/>
              </w:rPr>
              <w:t>-10</w:t>
            </w:r>
            <w:r>
              <w:rPr>
                <w:rFonts w:hint="eastAsia"/>
              </w:rPr>
              <w:t>cm/s；车间防渗涂层的墙裙应在1m以上。</w:t>
            </w:r>
          </w:p>
          <w:p>
            <w:pPr>
              <w:snapToGrid w:val="0"/>
              <w:spacing w:line="360" w:lineRule="auto"/>
              <w:ind w:firstLine="420"/>
            </w:pPr>
            <w:r>
              <w:rPr>
                <w:rFonts w:hint="eastAsia"/>
              </w:rPr>
              <w:t>②一般防渗区</w:t>
            </w:r>
          </w:p>
          <w:p>
            <w:pPr>
              <w:snapToGrid w:val="0"/>
              <w:spacing w:line="360" w:lineRule="auto"/>
              <w:ind w:firstLine="420"/>
            </w:pPr>
            <w:r>
              <w:rPr>
                <w:rFonts w:hint="eastAsia"/>
              </w:rPr>
              <w:t>主要包括车间，均采用防渗混凝土地面。</w:t>
            </w:r>
          </w:p>
          <w:p>
            <w:pPr>
              <w:snapToGrid w:val="0"/>
              <w:spacing w:line="360" w:lineRule="auto"/>
              <w:ind w:firstLine="420"/>
            </w:pPr>
            <w:r>
              <w:rPr>
                <w:rFonts w:hint="eastAsia"/>
              </w:rPr>
              <w:t>一般污染防治区的工程防渗措施建议通过在抗渗钢筋（钢纤维）混凝土面层中掺水泥基础防水剂，其下垫砂石几层，原土夯实大道防渗的目的，对于混凝土中间的缩缝、胀缝和与实体基础的缝隙，通过填充柔性材料、防渗填塞料达到防渗的目的。</w:t>
            </w:r>
          </w:p>
          <w:p>
            <w:pPr>
              <w:snapToGrid w:val="0"/>
              <w:spacing w:line="360" w:lineRule="auto"/>
              <w:ind w:firstLine="420"/>
            </w:pPr>
            <w:r>
              <w:rPr>
                <w:rFonts w:hint="eastAsia"/>
              </w:rPr>
              <w:t>③简单防渗区</w:t>
            </w:r>
          </w:p>
          <w:p>
            <w:pPr>
              <w:snapToGrid w:val="0"/>
              <w:spacing w:line="360" w:lineRule="auto"/>
              <w:ind w:firstLine="420"/>
            </w:pPr>
            <w:r>
              <w:rPr>
                <w:rFonts w:hint="eastAsia"/>
              </w:rPr>
              <w:t>主要包括办公区、厂区道路等不会对地下水造成污染的区域。对于基本上不产生污染物的简单防渗区，不采取专门针对地下水污染的防治措施。</w:t>
            </w:r>
          </w:p>
          <w:p>
            <w:pPr>
              <w:snapToGrid w:val="0"/>
              <w:spacing w:line="360" w:lineRule="auto"/>
              <w:ind w:firstLine="420"/>
            </w:pPr>
            <w:r>
              <w:rPr>
                <w:rFonts w:hint="eastAsia"/>
              </w:rPr>
              <w:t>对于厂区各污染防治区的防渗结构应根据环评要求进行设计和建设，确保各污染防治区的防渗能力满足要求。防渗措施和各污染防治区的防渗效果应作为项目竣工环保验收内容之一。</w:t>
            </w:r>
          </w:p>
          <w:p>
            <w:pPr>
              <w:autoSpaceDE w:val="0"/>
              <w:autoSpaceDN w:val="0"/>
              <w:adjustRightInd w:val="0"/>
              <w:snapToGrid w:val="0"/>
              <w:spacing w:line="360" w:lineRule="auto"/>
              <w:rPr>
                <w:b/>
                <w:kern w:val="0"/>
              </w:rPr>
            </w:pPr>
            <w:r>
              <w:rPr>
                <w:rFonts w:hint="eastAsia"/>
                <w:b/>
                <w:kern w:val="0"/>
              </w:rPr>
              <w:t>6、环境风险</w:t>
            </w:r>
          </w:p>
          <w:p>
            <w:pPr>
              <w:snapToGrid w:val="0"/>
              <w:spacing w:line="360" w:lineRule="auto"/>
              <w:ind w:firstLine="420"/>
            </w:pPr>
            <w:r>
              <w:rPr>
                <w:rFonts w:hint="eastAsia"/>
              </w:rPr>
              <w:t>（1）风险调查</w:t>
            </w:r>
          </w:p>
          <w:p>
            <w:pPr>
              <w:adjustRightInd w:val="0"/>
              <w:snapToGrid w:val="0"/>
              <w:spacing w:before="156" w:beforeLines="50" w:line="360" w:lineRule="auto"/>
              <w:ind w:firstLine="420"/>
            </w:pPr>
            <w:r>
              <w:rPr>
                <w:rFonts w:hint="eastAsia"/>
              </w:rPr>
              <w:t>本项目项目不涉及《建设项目环境风险评价技术导则》（HJ 169-2018）附录B中重点关注的危险物质。项目可能涉及的环境风险主要是天然气事故风险、大气污染事故风险。</w:t>
            </w:r>
          </w:p>
          <w:p>
            <w:pPr>
              <w:snapToGrid w:val="0"/>
              <w:spacing w:line="360" w:lineRule="auto"/>
              <w:ind w:firstLine="420"/>
            </w:pPr>
            <w:r>
              <w:rPr>
                <w:rFonts w:hint="eastAsia"/>
              </w:rPr>
              <w:t>（2）环境影响途径及危害后果</w:t>
            </w:r>
          </w:p>
          <w:p>
            <w:pPr>
              <w:snapToGrid w:val="0"/>
              <w:spacing w:line="360" w:lineRule="auto"/>
              <w:ind w:firstLine="420"/>
            </w:pPr>
            <w:r>
              <w:rPr>
                <w:rFonts w:hint="eastAsia"/>
              </w:rPr>
              <w:t>①天然气事故风险</w:t>
            </w:r>
          </w:p>
          <w:p>
            <w:pPr>
              <w:snapToGrid w:val="0"/>
              <w:spacing w:line="360" w:lineRule="auto"/>
              <w:ind w:firstLine="420"/>
            </w:pPr>
            <w:r>
              <w:rPr>
                <w:rFonts w:hint="eastAsia"/>
              </w:rPr>
              <w:t>项目天然气事故主要为天然气泄漏，天然气泄漏可能会导致燃爆风险事故，泄漏至外环境对附近造成污染。</w:t>
            </w:r>
          </w:p>
          <w:p>
            <w:pPr>
              <w:snapToGrid w:val="0"/>
              <w:spacing w:line="360" w:lineRule="auto"/>
              <w:ind w:firstLine="420"/>
            </w:pPr>
            <w:r>
              <w:rPr>
                <w:rFonts w:hint="eastAsia"/>
              </w:rPr>
              <w:t>②大气污染事故风险</w:t>
            </w:r>
          </w:p>
          <w:p>
            <w:pPr>
              <w:snapToGrid w:val="0"/>
              <w:spacing w:line="360" w:lineRule="auto"/>
              <w:ind w:firstLine="420"/>
            </w:pPr>
            <w:r>
              <w:rPr>
                <w:rFonts w:hint="eastAsia"/>
              </w:rPr>
              <w:t>项目废气处理设施非正常运行时，未处理废气直接排放对附近大气环境造成污染，对附近人员健康造成危害。</w:t>
            </w:r>
          </w:p>
          <w:p>
            <w:pPr>
              <w:snapToGrid w:val="0"/>
              <w:spacing w:line="360" w:lineRule="auto"/>
              <w:ind w:firstLine="420"/>
            </w:pPr>
            <w:r>
              <w:rPr>
                <w:rFonts w:hint="eastAsia"/>
              </w:rPr>
              <w:t>（3）风险防范措施</w:t>
            </w:r>
          </w:p>
          <w:p>
            <w:pPr>
              <w:snapToGrid w:val="0"/>
              <w:spacing w:line="360" w:lineRule="auto"/>
              <w:ind w:firstLine="420"/>
            </w:pPr>
            <w:r>
              <w:rPr>
                <w:rFonts w:hint="eastAsia"/>
              </w:rPr>
              <w:t>项目生产过程中，必须加强安全管理，提高事故防范措施，做好突发性环境污染事故的预防，提高对突发性污染事故的应急处理能力。建议企业应考虑下列安全防范措施，以避免事故的发生：①尽量采用技术先进和安全可靠的设备，并按国家有关规定在经营场地内设置必要的安全设施；②企业经营场地应做好防渗防漏、防雨措施防止原料被雨水冲刷后引起二次污染；③在生产岗位设置事故柜和急救器材、救生器、防护面罩、衣、护目镜、胶皮手套、耳塞等防护、急救用品。</w:t>
            </w:r>
          </w:p>
          <w:p>
            <w:pPr>
              <w:snapToGrid w:val="0"/>
              <w:spacing w:line="360" w:lineRule="auto"/>
              <w:ind w:firstLine="420"/>
              <w:rPr>
                <w:color w:val="FF0000"/>
              </w:rPr>
            </w:pPr>
            <w:r>
              <w:rPr>
                <w:rFonts w:hint="eastAsia"/>
              </w:rPr>
              <w:t>编制突发环境事件应急预案，组建环境事件应急组织机构，明确各应急小组的职责，合理规定本项目突发环境事件的预防、预警机制，制定应急处置措施及处置方法。同时，建设单位编制的突发事件环境风险应急预案应与周边企业、常德市生态环境局经开区分局之间建立应急联动机制。并建立应急救援队伍和物资储备，定期组织预案演练。</w:t>
            </w:r>
          </w:p>
        </w:tc>
      </w:tr>
    </w:tbl>
    <w:p>
      <w:pPr>
        <w:ind w:firstLine="480"/>
        <w:rPr>
          <w:color w:val="FF0000"/>
        </w:rPr>
        <w:sectPr>
          <w:pgSz w:w="11906" w:h="16838"/>
          <w:pgMar w:top="1701" w:right="1531" w:bottom="1701" w:left="1531" w:header="851" w:footer="992" w:gutter="0"/>
          <w:pgNumType w:fmt="numberInDash"/>
          <w:cols w:space="425" w:num="1"/>
          <w:docGrid w:type="lines" w:linePitch="312" w:charSpace="0"/>
        </w:sectPr>
      </w:pPr>
    </w:p>
    <w:p>
      <w:pPr>
        <w:pStyle w:val="3"/>
        <w:jc w:val="center"/>
        <w:rPr>
          <w:rFonts w:ascii="黑体" w:hAnsi="黑体" w:eastAsia="黑体"/>
          <w:b w:val="0"/>
          <w:bCs w:val="0"/>
          <w:sz w:val="30"/>
          <w:szCs w:val="30"/>
        </w:rPr>
      </w:pPr>
      <w:bookmarkStart w:id="4" w:name="_Toc100330846"/>
      <w:r>
        <w:rPr>
          <w:rFonts w:hint="eastAsia" w:ascii="黑体" w:hAnsi="黑体" w:eastAsia="黑体"/>
          <w:b w:val="0"/>
          <w:bCs w:val="0"/>
          <w:sz w:val="30"/>
          <w:szCs w:val="30"/>
        </w:rPr>
        <w:t>五、环境保护措施监督检查清单</w:t>
      </w:r>
      <w:bookmarkEnd w:id="4"/>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851"/>
        <w:gridCol w:w="852"/>
        <w:gridCol w:w="1417"/>
        <w:gridCol w:w="2269"/>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tcBorders>
              <w:tl2br w:val="single" w:color="auto" w:sz="4" w:space="0"/>
            </w:tcBorders>
          </w:tcPr>
          <w:p>
            <w:pPr>
              <w:spacing w:line="360" w:lineRule="auto"/>
              <w:jc w:val="right"/>
              <w:rPr>
                <w:b/>
              </w:rPr>
            </w:pPr>
            <w:r>
              <w:rPr>
                <w:rFonts w:hint="eastAsia"/>
                <w:b/>
              </w:rPr>
              <w:t>内容</w:t>
            </w:r>
          </w:p>
          <w:p>
            <w:pPr>
              <w:spacing w:line="360" w:lineRule="auto"/>
              <w:rPr>
                <w:b/>
              </w:rPr>
            </w:pPr>
            <w:r>
              <w:rPr>
                <w:rFonts w:hint="eastAsia"/>
                <w:b/>
              </w:rPr>
              <w:t>要素</w:t>
            </w:r>
          </w:p>
        </w:tc>
        <w:tc>
          <w:tcPr>
            <w:tcW w:w="940" w:type="pct"/>
            <w:gridSpan w:val="2"/>
            <w:vAlign w:val="center"/>
          </w:tcPr>
          <w:p>
            <w:pPr>
              <w:spacing w:line="360" w:lineRule="auto"/>
              <w:jc w:val="center"/>
              <w:rPr>
                <w:rFonts w:ascii="宋体" w:hAnsi="宋体" w:cs="宋体"/>
                <w:b/>
              </w:rPr>
            </w:pPr>
            <w:r>
              <w:rPr>
                <w:rFonts w:hint="eastAsia" w:ascii="宋体" w:hAnsi="宋体" w:cs="宋体"/>
                <w:b/>
              </w:rPr>
              <w:t>排放口(编号、</w:t>
            </w:r>
          </w:p>
          <w:p>
            <w:pPr>
              <w:spacing w:line="360" w:lineRule="auto"/>
              <w:jc w:val="center"/>
              <w:rPr>
                <w:rFonts w:ascii="宋体" w:hAnsi="宋体" w:cs="宋体"/>
                <w:b/>
              </w:rPr>
            </w:pPr>
            <w:r>
              <w:rPr>
                <w:rFonts w:hint="eastAsia" w:ascii="宋体" w:hAnsi="宋体" w:cs="宋体"/>
                <w:b/>
              </w:rPr>
              <w:t>名称)/污染源</w:t>
            </w:r>
          </w:p>
        </w:tc>
        <w:tc>
          <w:tcPr>
            <w:tcW w:w="782" w:type="pct"/>
            <w:vAlign w:val="center"/>
          </w:tcPr>
          <w:p>
            <w:pPr>
              <w:spacing w:line="360" w:lineRule="auto"/>
              <w:jc w:val="center"/>
              <w:rPr>
                <w:rFonts w:ascii="宋体" w:hAnsi="宋体" w:cs="宋体"/>
                <w:b/>
              </w:rPr>
            </w:pPr>
            <w:r>
              <w:rPr>
                <w:rFonts w:hint="eastAsia" w:ascii="宋体" w:hAnsi="宋体" w:cs="宋体"/>
                <w:b/>
              </w:rPr>
              <w:t>污染物项目</w:t>
            </w:r>
          </w:p>
        </w:tc>
        <w:tc>
          <w:tcPr>
            <w:tcW w:w="1252" w:type="pct"/>
            <w:vAlign w:val="center"/>
          </w:tcPr>
          <w:p>
            <w:pPr>
              <w:spacing w:line="360" w:lineRule="auto"/>
              <w:jc w:val="center"/>
              <w:rPr>
                <w:rFonts w:ascii="宋体" w:hAnsi="宋体" w:cs="宋体"/>
                <w:b/>
              </w:rPr>
            </w:pPr>
            <w:r>
              <w:rPr>
                <w:rFonts w:hint="eastAsia" w:ascii="宋体" w:hAnsi="宋体" w:cs="宋体"/>
                <w:b/>
              </w:rPr>
              <w:t>环境保护措施</w:t>
            </w:r>
          </w:p>
        </w:tc>
        <w:tc>
          <w:tcPr>
            <w:tcW w:w="1263" w:type="pct"/>
            <w:vAlign w:val="center"/>
          </w:tcPr>
          <w:p>
            <w:pPr>
              <w:spacing w:line="360" w:lineRule="auto"/>
              <w:jc w:val="center"/>
              <w:rPr>
                <w:rFonts w:ascii="宋体" w:hAnsi="宋体" w:cs="宋体"/>
                <w:b/>
              </w:rPr>
            </w:pPr>
            <w:r>
              <w:rPr>
                <w:rFonts w:hint="eastAsia" w:ascii="宋体" w:hAnsi="宋体" w:cs="宋体"/>
                <w:b/>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Merge w:val="restart"/>
            <w:vAlign w:val="center"/>
          </w:tcPr>
          <w:p>
            <w:pPr>
              <w:spacing w:line="360" w:lineRule="auto"/>
              <w:jc w:val="center"/>
            </w:pPr>
            <w:r>
              <w:rPr>
                <w:rFonts w:hint="eastAsia" w:ascii="宋体" w:hAnsi="宋体" w:cs="宋体"/>
              </w:rPr>
              <w:t>大气环境</w:t>
            </w:r>
          </w:p>
        </w:tc>
        <w:tc>
          <w:tcPr>
            <w:tcW w:w="470" w:type="pct"/>
            <w:vMerge w:val="restart"/>
            <w:vAlign w:val="center"/>
          </w:tcPr>
          <w:p>
            <w:pPr>
              <w:spacing w:line="360" w:lineRule="auto"/>
              <w:jc w:val="center"/>
            </w:pPr>
            <w:r>
              <w:t>D</w:t>
            </w:r>
            <w:r>
              <w:rPr>
                <w:rFonts w:hint="eastAsia"/>
              </w:rPr>
              <w:t>A001</w:t>
            </w:r>
          </w:p>
        </w:tc>
        <w:tc>
          <w:tcPr>
            <w:tcW w:w="470" w:type="pct"/>
            <w:vAlign w:val="center"/>
          </w:tcPr>
          <w:p>
            <w:pPr>
              <w:spacing w:line="360" w:lineRule="auto"/>
              <w:jc w:val="center"/>
            </w:pPr>
            <w:r>
              <w:rPr>
                <w:rFonts w:hint="eastAsia"/>
              </w:rPr>
              <w:t>油炸废气</w:t>
            </w:r>
          </w:p>
        </w:tc>
        <w:tc>
          <w:tcPr>
            <w:tcW w:w="782" w:type="pct"/>
            <w:vAlign w:val="center"/>
          </w:tcPr>
          <w:p>
            <w:pPr>
              <w:spacing w:line="360" w:lineRule="auto"/>
              <w:jc w:val="center"/>
            </w:pPr>
            <w:r>
              <w:rPr>
                <w:rFonts w:hint="eastAsia"/>
              </w:rPr>
              <w:t>油烟</w:t>
            </w:r>
          </w:p>
        </w:tc>
        <w:tc>
          <w:tcPr>
            <w:tcW w:w="1252" w:type="pct"/>
            <w:vAlign w:val="center"/>
          </w:tcPr>
          <w:p>
            <w:pPr>
              <w:spacing w:line="360" w:lineRule="auto"/>
              <w:jc w:val="center"/>
            </w:pPr>
            <w:r>
              <w:rPr>
                <w:rFonts w:hint="eastAsia"/>
              </w:rPr>
              <w:t>水雾除油+离心除油</w:t>
            </w:r>
          </w:p>
        </w:tc>
        <w:tc>
          <w:tcPr>
            <w:tcW w:w="1263" w:type="pct"/>
            <w:vAlign w:val="center"/>
          </w:tcPr>
          <w:p>
            <w:pPr>
              <w:spacing w:line="360" w:lineRule="auto"/>
              <w:jc w:val="center"/>
            </w:pPr>
            <w:r>
              <w:rPr>
                <w:rFonts w:hint="eastAsia"/>
              </w:rPr>
              <w:t>《饮食业油烟排放标准（试行）》（GB1848-2001）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Merge w:val="continue"/>
            <w:vAlign w:val="center"/>
          </w:tcPr>
          <w:p>
            <w:pPr>
              <w:spacing w:line="360" w:lineRule="auto"/>
              <w:jc w:val="center"/>
              <w:rPr>
                <w:rFonts w:ascii="宋体" w:hAnsi="宋体" w:cs="宋体"/>
              </w:rPr>
            </w:pPr>
          </w:p>
        </w:tc>
        <w:tc>
          <w:tcPr>
            <w:tcW w:w="470" w:type="pct"/>
            <w:vMerge w:val="continue"/>
            <w:vAlign w:val="center"/>
          </w:tcPr>
          <w:p>
            <w:pPr>
              <w:spacing w:line="360" w:lineRule="auto"/>
              <w:jc w:val="center"/>
            </w:pPr>
          </w:p>
        </w:tc>
        <w:tc>
          <w:tcPr>
            <w:tcW w:w="470" w:type="pct"/>
            <w:vAlign w:val="center"/>
          </w:tcPr>
          <w:p>
            <w:pPr>
              <w:spacing w:line="360" w:lineRule="auto"/>
              <w:jc w:val="center"/>
            </w:pPr>
            <w:r>
              <w:rPr>
                <w:rFonts w:hint="eastAsia"/>
              </w:rPr>
              <w:t>炒制废气</w:t>
            </w:r>
          </w:p>
        </w:tc>
        <w:tc>
          <w:tcPr>
            <w:tcW w:w="782" w:type="pct"/>
            <w:vAlign w:val="center"/>
          </w:tcPr>
          <w:p>
            <w:pPr>
              <w:spacing w:line="360" w:lineRule="auto"/>
              <w:jc w:val="center"/>
            </w:pPr>
            <w:r>
              <w:rPr>
                <w:rFonts w:hint="eastAsia"/>
              </w:rPr>
              <w:t>颗粒物</w:t>
            </w:r>
          </w:p>
        </w:tc>
        <w:tc>
          <w:tcPr>
            <w:tcW w:w="1252" w:type="pct"/>
            <w:vAlign w:val="center"/>
          </w:tcPr>
          <w:p>
            <w:pPr>
              <w:spacing w:line="360" w:lineRule="auto"/>
              <w:jc w:val="center"/>
            </w:pPr>
            <w:r>
              <w:rPr>
                <w:rFonts w:hint="eastAsia"/>
              </w:rPr>
              <w:t>喷淋除尘</w:t>
            </w:r>
          </w:p>
        </w:tc>
        <w:tc>
          <w:tcPr>
            <w:tcW w:w="1263" w:type="pct"/>
            <w:vAlign w:val="center"/>
          </w:tcPr>
          <w:p>
            <w:pPr>
              <w:spacing w:line="360" w:lineRule="auto"/>
              <w:jc w:val="center"/>
            </w:pPr>
            <w:r>
              <w:rPr>
                <w:rFonts w:hint="eastAsia"/>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Merge w:val="continue"/>
            <w:vAlign w:val="center"/>
          </w:tcPr>
          <w:p>
            <w:pPr>
              <w:spacing w:line="360" w:lineRule="auto"/>
              <w:jc w:val="center"/>
              <w:rPr>
                <w:rFonts w:ascii="宋体" w:hAnsi="宋体" w:cs="宋体"/>
              </w:rPr>
            </w:pPr>
          </w:p>
        </w:tc>
        <w:tc>
          <w:tcPr>
            <w:tcW w:w="470" w:type="pct"/>
            <w:vAlign w:val="center"/>
          </w:tcPr>
          <w:p>
            <w:pPr>
              <w:spacing w:line="360" w:lineRule="auto"/>
              <w:jc w:val="center"/>
            </w:pPr>
            <w:r>
              <w:t>D</w:t>
            </w:r>
            <w:r>
              <w:rPr>
                <w:rFonts w:hint="eastAsia"/>
              </w:rPr>
              <w:t>A002</w:t>
            </w:r>
          </w:p>
        </w:tc>
        <w:tc>
          <w:tcPr>
            <w:tcW w:w="470" w:type="pct"/>
            <w:vAlign w:val="center"/>
          </w:tcPr>
          <w:p>
            <w:pPr>
              <w:spacing w:line="360" w:lineRule="auto"/>
              <w:jc w:val="center"/>
            </w:pPr>
            <w:r>
              <w:t>燃烧废气</w:t>
            </w:r>
          </w:p>
        </w:tc>
        <w:tc>
          <w:tcPr>
            <w:tcW w:w="782" w:type="pct"/>
            <w:vAlign w:val="center"/>
          </w:tcPr>
          <w:p>
            <w:pPr>
              <w:spacing w:line="360" w:lineRule="auto"/>
              <w:jc w:val="center"/>
            </w:pPr>
            <w:r>
              <w:t>SO</w:t>
            </w:r>
            <w:r>
              <w:rPr>
                <w:vertAlign w:val="subscript"/>
              </w:rPr>
              <w:t>2</w:t>
            </w:r>
            <w:r>
              <w:t>、NO</w:t>
            </w:r>
            <w:r>
              <w:rPr>
                <w:vertAlign w:val="subscript"/>
              </w:rPr>
              <w:t>X</w:t>
            </w:r>
            <w:r>
              <w:t>、颗粒物</w:t>
            </w:r>
          </w:p>
        </w:tc>
        <w:tc>
          <w:tcPr>
            <w:tcW w:w="1252" w:type="pct"/>
            <w:vAlign w:val="center"/>
          </w:tcPr>
          <w:p>
            <w:pPr>
              <w:spacing w:line="360" w:lineRule="auto"/>
              <w:jc w:val="center"/>
            </w:pPr>
            <w:r>
              <w:rPr>
                <w:rFonts w:hint="eastAsia"/>
              </w:rPr>
              <w:t>低氮燃烧</w:t>
            </w:r>
          </w:p>
        </w:tc>
        <w:tc>
          <w:tcPr>
            <w:tcW w:w="1263" w:type="pct"/>
            <w:vAlign w:val="center"/>
          </w:tcPr>
          <w:p>
            <w:pPr>
              <w:spacing w:line="360" w:lineRule="auto"/>
              <w:jc w:val="center"/>
            </w:pPr>
            <w:r>
              <w:rPr>
                <w:rFonts w:hint="eastAsia"/>
              </w:rPr>
              <w:t>《湖南省工业炉窑大气污染综合治理实施方案》（湘环发〔2020〕6号）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Merge w:val="continue"/>
            <w:vAlign w:val="center"/>
          </w:tcPr>
          <w:p>
            <w:pPr>
              <w:spacing w:line="360" w:lineRule="auto"/>
              <w:jc w:val="center"/>
              <w:rPr>
                <w:rFonts w:ascii="宋体" w:hAnsi="宋体" w:cs="宋体"/>
              </w:rPr>
            </w:pPr>
          </w:p>
        </w:tc>
        <w:tc>
          <w:tcPr>
            <w:tcW w:w="940" w:type="pct"/>
            <w:gridSpan w:val="2"/>
            <w:vAlign w:val="center"/>
          </w:tcPr>
          <w:p>
            <w:pPr>
              <w:spacing w:line="360" w:lineRule="auto"/>
              <w:jc w:val="center"/>
            </w:pPr>
            <w:r>
              <w:t>面源</w:t>
            </w:r>
          </w:p>
        </w:tc>
        <w:tc>
          <w:tcPr>
            <w:tcW w:w="782" w:type="pct"/>
            <w:vAlign w:val="center"/>
          </w:tcPr>
          <w:p>
            <w:pPr>
              <w:spacing w:line="360" w:lineRule="auto"/>
              <w:jc w:val="center"/>
            </w:pPr>
            <w:r>
              <w:t>颗粒物</w:t>
            </w:r>
          </w:p>
        </w:tc>
        <w:tc>
          <w:tcPr>
            <w:tcW w:w="1252" w:type="pct"/>
            <w:vAlign w:val="center"/>
          </w:tcPr>
          <w:p>
            <w:pPr>
              <w:spacing w:line="360" w:lineRule="auto"/>
              <w:jc w:val="center"/>
            </w:pPr>
            <w:r>
              <w:rPr>
                <w:rFonts w:hint="eastAsia"/>
              </w:rPr>
              <w:t>/</w:t>
            </w:r>
          </w:p>
        </w:tc>
        <w:tc>
          <w:tcPr>
            <w:tcW w:w="1263" w:type="pct"/>
            <w:vAlign w:val="center"/>
          </w:tcPr>
          <w:p>
            <w:pPr>
              <w:spacing w:line="360" w:lineRule="auto"/>
              <w:jc w:val="center"/>
            </w:pPr>
            <w:r>
              <w:rPr>
                <w:rFonts w:hint="eastAsia"/>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pPr>
              <w:spacing w:line="360" w:lineRule="auto"/>
              <w:jc w:val="center"/>
            </w:pPr>
            <w:r>
              <w:rPr>
                <w:rFonts w:hint="eastAsia" w:ascii="宋体" w:hAnsi="宋体" w:cs="宋体"/>
              </w:rPr>
              <w:t>地表水环境</w:t>
            </w:r>
          </w:p>
        </w:tc>
        <w:tc>
          <w:tcPr>
            <w:tcW w:w="940" w:type="pct"/>
            <w:gridSpan w:val="2"/>
            <w:vAlign w:val="center"/>
          </w:tcPr>
          <w:p>
            <w:pPr>
              <w:spacing w:line="360" w:lineRule="auto"/>
              <w:jc w:val="center"/>
            </w:pPr>
            <w:r>
              <w:rPr>
                <w:rFonts w:hint="eastAsia"/>
              </w:rPr>
              <w:t>DW001生产废水、生活废水</w:t>
            </w:r>
          </w:p>
        </w:tc>
        <w:tc>
          <w:tcPr>
            <w:tcW w:w="782" w:type="pct"/>
            <w:vAlign w:val="center"/>
          </w:tcPr>
          <w:p>
            <w:pPr>
              <w:spacing w:line="360" w:lineRule="auto"/>
              <w:jc w:val="center"/>
            </w:pPr>
            <w:r>
              <w:rPr>
                <w:rFonts w:hint="eastAsia"/>
              </w:rPr>
              <w:t>pH、COD</w:t>
            </w:r>
            <w:r>
              <w:rPr>
                <w:rFonts w:hint="eastAsia"/>
                <w:vertAlign w:val="subscript"/>
              </w:rPr>
              <w:t>Cr</w:t>
            </w:r>
            <w:r>
              <w:rPr>
                <w:rFonts w:hint="eastAsia"/>
              </w:rPr>
              <w:t>、BOD</w:t>
            </w:r>
            <w:r>
              <w:rPr>
                <w:rFonts w:hint="eastAsia"/>
                <w:vertAlign w:val="subscript"/>
              </w:rPr>
              <w:t>5</w:t>
            </w:r>
            <w:r>
              <w:rPr>
                <w:rFonts w:hint="eastAsia"/>
              </w:rPr>
              <w:t>、SS、氨氮、石油类</w:t>
            </w:r>
          </w:p>
        </w:tc>
        <w:tc>
          <w:tcPr>
            <w:tcW w:w="1252" w:type="pct"/>
            <w:vAlign w:val="center"/>
          </w:tcPr>
          <w:p>
            <w:pPr>
              <w:spacing w:line="360" w:lineRule="auto"/>
              <w:jc w:val="center"/>
            </w:pPr>
            <w:r>
              <w:rPr>
                <w:rFonts w:hint="eastAsia"/>
              </w:rPr>
              <w:t>隔油沉淀、经化粪池处理</w:t>
            </w:r>
          </w:p>
        </w:tc>
        <w:tc>
          <w:tcPr>
            <w:tcW w:w="1263" w:type="pct"/>
            <w:vAlign w:val="center"/>
          </w:tcPr>
          <w:p>
            <w:pPr>
              <w:spacing w:line="360" w:lineRule="auto"/>
              <w:jc w:val="center"/>
            </w:pPr>
            <w:r>
              <w:rPr>
                <w:rFonts w:hint="eastAsia"/>
              </w:rPr>
              <w:t>《污水综合排放标准》（GB8978-1996）三级标准及德山污水处理厂的进水水质要求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pPr>
              <w:spacing w:line="360" w:lineRule="auto"/>
              <w:jc w:val="center"/>
            </w:pPr>
            <w:r>
              <w:rPr>
                <w:rFonts w:hint="eastAsia"/>
              </w:rPr>
              <w:t>声环境</w:t>
            </w:r>
          </w:p>
        </w:tc>
        <w:tc>
          <w:tcPr>
            <w:tcW w:w="940" w:type="pct"/>
            <w:gridSpan w:val="2"/>
            <w:vAlign w:val="center"/>
          </w:tcPr>
          <w:p>
            <w:pPr>
              <w:spacing w:line="360" w:lineRule="auto"/>
              <w:jc w:val="center"/>
            </w:pPr>
            <w:r>
              <w:rPr>
                <w:rFonts w:hint="eastAsia"/>
              </w:rPr>
              <w:t>厂界噪声/设备运行</w:t>
            </w:r>
          </w:p>
        </w:tc>
        <w:tc>
          <w:tcPr>
            <w:tcW w:w="782" w:type="pct"/>
            <w:vAlign w:val="center"/>
          </w:tcPr>
          <w:p>
            <w:pPr>
              <w:spacing w:line="360" w:lineRule="auto"/>
              <w:jc w:val="center"/>
            </w:pPr>
            <w:r>
              <w:rPr>
                <w:rFonts w:hint="eastAsia"/>
              </w:rPr>
              <w:t>Leq</w:t>
            </w:r>
          </w:p>
        </w:tc>
        <w:tc>
          <w:tcPr>
            <w:tcW w:w="1252" w:type="pct"/>
            <w:vAlign w:val="center"/>
          </w:tcPr>
          <w:p>
            <w:pPr>
              <w:spacing w:line="360" w:lineRule="auto"/>
              <w:jc w:val="center"/>
            </w:pPr>
            <w:r>
              <w:rPr>
                <w:rFonts w:hint="eastAsia"/>
              </w:rPr>
              <w:t>设备基础减振</w:t>
            </w:r>
          </w:p>
        </w:tc>
        <w:tc>
          <w:tcPr>
            <w:tcW w:w="1263" w:type="pct"/>
            <w:vAlign w:val="center"/>
          </w:tcPr>
          <w:p>
            <w:pPr>
              <w:spacing w:line="360" w:lineRule="auto"/>
              <w:jc w:val="center"/>
            </w:pPr>
            <w:r>
              <w:rPr>
                <w:rFonts w:hint="eastAsia"/>
              </w:rPr>
              <w:t>《工业企业厂界环境噪声排放标准》（GB12348-2008）3类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pPr>
              <w:spacing w:line="360" w:lineRule="auto"/>
              <w:jc w:val="center"/>
            </w:pPr>
            <w:r>
              <w:rPr>
                <w:rFonts w:hint="eastAsia"/>
              </w:rPr>
              <w:t>固体废物</w:t>
            </w:r>
          </w:p>
        </w:tc>
        <w:tc>
          <w:tcPr>
            <w:tcW w:w="4237" w:type="pct"/>
            <w:gridSpan w:val="5"/>
            <w:vAlign w:val="center"/>
          </w:tcPr>
          <w:p>
            <w:pPr>
              <w:adjustRightInd w:val="0"/>
              <w:snapToGrid w:val="0"/>
              <w:spacing w:before="156" w:beforeLines="50" w:line="360" w:lineRule="auto"/>
              <w:ind w:firstLine="420"/>
            </w:pPr>
            <w:r>
              <w:rPr>
                <w:rFonts w:hint="eastAsia"/>
              </w:rPr>
              <w:t>（1）一般固体废物收集后外售综合利用。</w:t>
            </w:r>
          </w:p>
          <w:p>
            <w:pPr>
              <w:snapToGrid w:val="0"/>
              <w:spacing w:line="360" w:lineRule="auto"/>
              <w:ind w:firstLine="420"/>
            </w:pPr>
            <w:r>
              <w:rPr>
                <w:rFonts w:hint="eastAsia"/>
              </w:rPr>
              <w:t>（2）生活垃圾委托环卫部门及时清运。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63" w:type="pct"/>
            <w:vAlign w:val="center"/>
          </w:tcPr>
          <w:p>
            <w:pPr>
              <w:spacing w:line="360" w:lineRule="auto"/>
              <w:jc w:val="center"/>
            </w:pPr>
            <w:r>
              <w:rPr>
                <w:rFonts w:hint="eastAsia" w:ascii="宋体" w:hAnsi="宋体" w:cs="宋体"/>
              </w:rPr>
              <w:t>土壤及地下水污染防治措施</w:t>
            </w:r>
          </w:p>
        </w:tc>
        <w:tc>
          <w:tcPr>
            <w:tcW w:w="4237" w:type="pct"/>
            <w:gridSpan w:val="5"/>
            <w:vAlign w:val="center"/>
          </w:tcPr>
          <w:p>
            <w:pPr>
              <w:adjustRightInd w:val="0"/>
              <w:snapToGrid w:val="0"/>
              <w:spacing w:before="156" w:beforeLines="50" w:line="360" w:lineRule="auto"/>
              <w:ind w:firstLine="420"/>
            </w:pPr>
            <w:r>
              <w:rPr>
                <w:rFonts w:hint="eastAsia"/>
              </w:rPr>
              <w:t>采取分区防渗。隔油沉淀池、事故应急池、化粪池、污水管道等设置为重点防渗。车间等设置为一般防渗区。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pPr>
              <w:spacing w:line="360" w:lineRule="auto"/>
              <w:jc w:val="center"/>
            </w:pPr>
            <w:r>
              <w:rPr>
                <w:rFonts w:hint="eastAsia"/>
              </w:rPr>
              <w:t>环境风险</w:t>
            </w:r>
          </w:p>
          <w:p>
            <w:pPr>
              <w:spacing w:line="360" w:lineRule="auto"/>
              <w:jc w:val="center"/>
            </w:pPr>
            <w:r>
              <w:rPr>
                <w:rFonts w:hint="eastAsia"/>
              </w:rPr>
              <w:t>防范措施</w:t>
            </w:r>
          </w:p>
        </w:tc>
        <w:tc>
          <w:tcPr>
            <w:tcW w:w="4237" w:type="pct"/>
            <w:gridSpan w:val="5"/>
            <w:vAlign w:val="center"/>
          </w:tcPr>
          <w:p>
            <w:pPr>
              <w:adjustRightInd w:val="0"/>
              <w:snapToGrid w:val="0"/>
              <w:spacing w:before="156" w:beforeLines="50" w:line="360" w:lineRule="auto"/>
              <w:ind w:firstLine="420"/>
              <w:rPr>
                <w:bCs/>
              </w:rPr>
            </w:pPr>
            <w:r>
              <w:rPr>
                <w:rFonts w:hint="eastAsia"/>
                <w:bCs/>
              </w:rPr>
              <w:t>严格危险化学品管理，制定完善的管理制度。编制突发环境事件应急预案并备案。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pPr>
              <w:spacing w:line="360" w:lineRule="auto"/>
              <w:jc w:val="center"/>
            </w:pPr>
            <w:r>
              <w:rPr>
                <w:rFonts w:hint="eastAsia"/>
              </w:rPr>
              <w:t>其他环境</w:t>
            </w:r>
          </w:p>
          <w:p>
            <w:pPr>
              <w:spacing w:line="360" w:lineRule="auto"/>
              <w:jc w:val="center"/>
              <w:rPr>
                <w:color w:val="FF0000"/>
              </w:rPr>
            </w:pPr>
            <w:r>
              <w:rPr>
                <w:rFonts w:hint="eastAsia"/>
              </w:rPr>
              <w:t>管理要求</w:t>
            </w:r>
          </w:p>
        </w:tc>
        <w:tc>
          <w:tcPr>
            <w:tcW w:w="4237" w:type="pct"/>
            <w:gridSpan w:val="5"/>
          </w:tcPr>
          <w:p>
            <w:pPr>
              <w:adjustRightInd w:val="0"/>
              <w:snapToGrid w:val="0"/>
              <w:spacing w:before="156" w:beforeLines="50" w:line="360" w:lineRule="auto"/>
              <w:rPr>
                <w:b/>
                <w:bCs/>
              </w:rPr>
            </w:pPr>
            <w:r>
              <w:rPr>
                <w:rFonts w:hint="eastAsia"/>
                <w:b/>
                <w:bCs/>
              </w:rPr>
              <w:t>1、</w:t>
            </w:r>
            <w:r>
              <w:rPr>
                <w:b/>
                <w:bCs/>
              </w:rPr>
              <w:t>规范化排污口建设</w:t>
            </w:r>
          </w:p>
          <w:p>
            <w:pPr>
              <w:snapToGrid w:val="0"/>
              <w:spacing w:line="360" w:lineRule="auto"/>
              <w:ind w:firstLine="420"/>
            </w:pPr>
            <w:r>
              <w:t>（1）排放口设置要求</w:t>
            </w:r>
          </w:p>
          <w:p>
            <w:pPr>
              <w:snapToGrid w:val="0"/>
              <w:spacing w:line="360" w:lineRule="auto"/>
              <w:ind w:firstLine="420"/>
            </w:pPr>
            <w:r>
              <w:t>根据《关于开展排放口规范化整治工作的通知》（环发〔1999〕24号），凡生产经营场所集中在一个地点的单位，原则上只允许设污水和“清下水”排污口各一个。确因特殊原因需要增加排污口，须报经环保部门审核同意。本项目设置一个污水排放口。污水排放口位置设置在厂区</w:t>
            </w:r>
            <w:r>
              <w:rPr>
                <w:rFonts w:hint="eastAsia"/>
              </w:rPr>
              <w:t>西北侧</w:t>
            </w:r>
            <w:r>
              <w:t>面，设置一段长度不小于1米长的明渠（长、宽、高要规则，便于测量）。</w:t>
            </w:r>
          </w:p>
          <w:p>
            <w:pPr>
              <w:snapToGrid w:val="0"/>
              <w:spacing w:line="360" w:lineRule="auto"/>
              <w:ind w:firstLine="420"/>
            </w:pPr>
            <w:r>
              <w:t>（2）排污口标志设置的基本要求：</w:t>
            </w:r>
          </w:p>
          <w:p>
            <w:pPr>
              <w:snapToGrid w:val="0"/>
              <w:spacing w:line="360" w:lineRule="auto"/>
              <w:ind w:firstLine="420"/>
            </w:pPr>
            <w:r>
              <w:rPr>
                <w:rFonts w:hint="eastAsia"/>
              </w:rPr>
              <w:t>①</w:t>
            </w:r>
            <w:r>
              <w:t>一切排污者的排污口（源）和固体废物贮存、处置场所，必须按照国家标准《环境保护图形标志》（GB15562.1-1995、GB15562.2-1995）的规定，设置与之相适应的环境保护图形标志牌。标志牌按标准制作。</w:t>
            </w:r>
          </w:p>
          <w:p>
            <w:pPr>
              <w:snapToGrid w:val="0"/>
              <w:spacing w:line="360" w:lineRule="auto"/>
              <w:ind w:firstLine="420"/>
            </w:pPr>
            <w:r>
              <w:rPr>
                <w:rFonts w:hint="eastAsia"/>
              </w:rPr>
              <w:t>②</w:t>
            </w:r>
            <w:r>
              <w:t>环境保护图形标志牌应设置在距排污口（源）及固体废物贮存（处置）场所或采样点较近且醒目处，并能长久保留。设置高度一般为：环境保护图形标志牌上缘距离地面2米。</w:t>
            </w:r>
          </w:p>
          <w:p>
            <w:pPr>
              <w:autoSpaceDE w:val="0"/>
              <w:autoSpaceDN w:val="0"/>
              <w:adjustRightInd w:val="0"/>
              <w:snapToGrid w:val="0"/>
              <w:spacing w:line="360" w:lineRule="auto"/>
              <w:rPr>
                <w:b/>
                <w:kern w:val="0"/>
              </w:rPr>
            </w:pPr>
            <w:r>
              <w:rPr>
                <w:rFonts w:hint="eastAsia"/>
                <w:b/>
                <w:kern w:val="0"/>
              </w:rPr>
              <w:t>2、排污许可管理要求</w:t>
            </w:r>
          </w:p>
          <w:p>
            <w:pPr>
              <w:snapToGrid w:val="0"/>
              <w:spacing w:line="360" w:lineRule="auto"/>
              <w:ind w:firstLine="420"/>
            </w:pPr>
            <w:r>
              <w:rPr>
                <w:rFonts w:hint="eastAsia"/>
              </w:rPr>
              <w:t>根据《排污许可证申请与核发技术规范 总则》（HJ942-2018）、《排污许可管理办法（试行）》（环保部令 第48号）及《固定污染源排污许可分类管理名录》（2019年版），本项目以天然气为能源，属于“五十一、通用工序”中“工业炉窑”中的“除纳入重点排污单位名录的，以天然气或者电为能源的加热炉、热处理炉或者干燥炉（窑）”，“九、食品制造业14”中“其他方便食品制造1439”，属于简化管理。</w:t>
            </w:r>
          </w:p>
          <w:p>
            <w:pPr>
              <w:snapToGrid w:val="0"/>
              <w:spacing w:line="360" w:lineRule="auto"/>
              <w:ind w:firstLine="420"/>
            </w:pPr>
            <w:r>
              <w:rPr>
                <w:rFonts w:hint="eastAsia"/>
              </w:rPr>
              <w:t>在本项目取得环境影响评价审批意见后，在正式运营前，企业应按照《排污许可证申请与核发技术规范 食品制造工业—方便食品、食品及饲料添加剂制造工业》（HJ 1030.3—2019）中相关要求申请排污许可证。</w:t>
            </w:r>
          </w:p>
          <w:p>
            <w:pPr>
              <w:autoSpaceDE w:val="0"/>
              <w:autoSpaceDN w:val="0"/>
              <w:adjustRightInd w:val="0"/>
              <w:snapToGrid w:val="0"/>
              <w:spacing w:line="360" w:lineRule="auto"/>
              <w:rPr>
                <w:b/>
                <w:kern w:val="0"/>
              </w:rPr>
            </w:pPr>
            <w:r>
              <w:rPr>
                <w:rFonts w:hint="eastAsia"/>
                <w:b/>
                <w:kern w:val="0"/>
              </w:rPr>
              <w:t>3、竣工环保验收</w:t>
            </w:r>
          </w:p>
          <w:p>
            <w:pPr>
              <w:snapToGrid w:val="0"/>
              <w:spacing w:line="360" w:lineRule="auto"/>
              <w:ind w:firstLine="420"/>
            </w:pPr>
            <w:r>
              <w:t>按照《建设项目竣工环境保护验收暂行办法》中的要求，建设项目竣工后，建设单位应当依照国家有关法律法规、建设项目竣工环境保护验收技术规范、建设项目环境影响报告书（表）和审批决定等要求，编制建设项目竣工环境保护验收报告，并依法向社会公开。</w:t>
            </w:r>
          </w:p>
          <w:p>
            <w:pPr>
              <w:autoSpaceDE w:val="0"/>
              <w:autoSpaceDN w:val="0"/>
              <w:adjustRightInd w:val="0"/>
              <w:snapToGrid w:val="0"/>
              <w:spacing w:line="360" w:lineRule="auto"/>
              <w:rPr>
                <w:b/>
                <w:kern w:val="0"/>
              </w:rPr>
            </w:pPr>
            <w:r>
              <w:rPr>
                <w:rFonts w:hint="eastAsia"/>
                <w:b/>
                <w:kern w:val="0"/>
              </w:rPr>
              <w:t>4、自行监测计划</w:t>
            </w:r>
          </w:p>
          <w:p>
            <w:pPr>
              <w:snapToGrid w:val="0"/>
              <w:spacing w:line="360" w:lineRule="auto"/>
              <w:ind w:firstLine="420"/>
            </w:pPr>
            <w:r>
              <w:rPr>
                <w:rFonts w:hint="eastAsia"/>
              </w:rPr>
              <w:t>根据《排污单位自行监测技术指南 总则》（HJ819-2017）和《排污许可证申请与核发技术规范 食品制造工业—方便食品、食品及饲料添加剂制造工业》（HJ 1030.3—2019）、《排污许可证申请与核发技术规范 工业炉窑》（HJ1121-2020），制定本项目自行监测计划，详见下表。</w:t>
            </w:r>
          </w:p>
          <w:p>
            <w:pPr>
              <w:pStyle w:val="52"/>
              <w:ind w:firstLine="0" w:firstLineChars="0"/>
              <w:contextualSpacing/>
              <w:jc w:val="center"/>
              <w:rPr>
                <w:b/>
                <w:sz w:val="21"/>
                <w:szCs w:val="21"/>
              </w:rPr>
            </w:pPr>
            <w:r>
              <w:rPr>
                <w:rFonts w:hint="eastAsia"/>
                <w:b/>
                <w:sz w:val="21"/>
                <w:szCs w:val="21"/>
              </w:rPr>
              <w:t>表5-1  自行监测计划表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276"/>
              <w:gridCol w:w="439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pPr>
                    <w:pStyle w:val="30"/>
                    <w:rPr>
                      <w:rStyle w:val="39"/>
                      <w:rFonts w:hint="default" w:ascii="Times New Roman" w:hAnsi="Times New Roman"/>
                      <w:b/>
                      <w:color w:val="auto"/>
                      <w:sz w:val="21"/>
                      <w:szCs w:val="21"/>
                    </w:rPr>
                  </w:pPr>
                  <w:r>
                    <w:rPr>
                      <w:rStyle w:val="39"/>
                      <w:rFonts w:hint="default" w:ascii="Times New Roman" w:hAnsi="Times New Roman"/>
                      <w:b/>
                      <w:color w:val="auto"/>
                      <w:sz w:val="21"/>
                      <w:szCs w:val="21"/>
                    </w:rPr>
                    <w:t>项目</w:t>
                  </w:r>
                </w:p>
              </w:tc>
              <w:tc>
                <w:tcPr>
                  <w:tcW w:w="1276" w:type="dxa"/>
                  <w:vAlign w:val="center"/>
                </w:tcPr>
                <w:p>
                  <w:pPr>
                    <w:pStyle w:val="30"/>
                    <w:rPr>
                      <w:rStyle w:val="39"/>
                      <w:rFonts w:hint="default" w:ascii="Times New Roman" w:hAnsi="Times New Roman"/>
                      <w:b/>
                      <w:color w:val="auto"/>
                      <w:sz w:val="21"/>
                      <w:szCs w:val="21"/>
                    </w:rPr>
                  </w:pPr>
                  <w:r>
                    <w:rPr>
                      <w:rStyle w:val="39"/>
                      <w:rFonts w:hint="default" w:ascii="Times New Roman" w:hAnsi="Times New Roman"/>
                      <w:b/>
                      <w:color w:val="auto"/>
                      <w:sz w:val="21"/>
                      <w:szCs w:val="21"/>
                    </w:rPr>
                    <w:t>监测点位</w:t>
                  </w:r>
                </w:p>
              </w:tc>
              <w:tc>
                <w:tcPr>
                  <w:tcW w:w="4394" w:type="dxa"/>
                  <w:vAlign w:val="center"/>
                </w:tcPr>
                <w:p>
                  <w:pPr>
                    <w:pStyle w:val="30"/>
                    <w:rPr>
                      <w:rStyle w:val="39"/>
                      <w:rFonts w:hint="default" w:ascii="Times New Roman" w:hAnsi="Times New Roman"/>
                      <w:b/>
                      <w:color w:val="auto"/>
                      <w:sz w:val="21"/>
                      <w:szCs w:val="21"/>
                    </w:rPr>
                  </w:pPr>
                  <w:r>
                    <w:rPr>
                      <w:rStyle w:val="39"/>
                      <w:rFonts w:hint="default" w:ascii="Times New Roman" w:hAnsi="Times New Roman"/>
                      <w:b/>
                      <w:color w:val="auto"/>
                      <w:sz w:val="21"/>
                      <w:szCs w:val="21"/>
                    </w:rPr>
                    <w:t>监测因子</w:t>
                  </w:r>
                </w:p>
              </w:tc>
              <w:tc>
                <w:tcPr>
                  <w:tcW w:w="1184" w:type="dxa"/>
                  <w:vAlign w:val="center"/>
                </w:tcPr>
                <w:p>
                  <w:pPr>
                    <w:pStyle w:val="30"/>
                    <w:rPr>
                      <w:rStyle w:val="39"/>
                      <w:rFonts w:hint="default" w:ascii="Times New Roman" w:hAnsi="Times New Roman"/>
                      <w:b/>
                      <w:color w:val="auto"/>
                      <w:sz w:val="21"/>
                      <w:szCs w:val="21"/>
                    </w:rPr>
                  </w:pPr>
                  <w:r>
                    <w:rPr>
                      <w:rStyle w:val="39"/>
                      <w:rFonts w:hint="default" w:ascii="Times New Roman" w:hAnsi="Times New Roman"/>
                      <w:b/>
                      <w:color w:val="auto"/>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Merge w:val="restart"/>
                  <w:vAlign w:val="center"/>
                </w:tcPr>
                <w:p>
                  <w:pPr>
                    <w:pStyle w:val="30"/>
                    <w:rPr>
                      <w:rStyle w:val="39"/>
                      <w:rFonts w:hint="default" w:ascii="Times New Roman" w:hAnsi="Times New Roman"/>
                      <w:b w:val="0"/>
                      <w:color w:val="auto"/>
                      <w:sz w:val="21"/>
                      <w:szCs w:val="21"/>
                    </w:rPr>
                  </w:pPr>
                  <w:r>
                    <w:rPr>
                      <w:rStyle w:val="39"/>
                      <w:rFonts w:hint="default" w:ascii="Times New Roman" w:hAnsi="Times New Roman"/>
                      <w:b w:val="0"/>
                      <w:color w:val="auto"/>
                      <w:sz w:val="21"/>
                      <w:szCs w:val="21"/>
                    </w:rPr>
                    <w:t>废气</w:t>
                  </w:r>
                </w:p>
              </w:tc>
              <w:tc>
                <w:tcPr>
                  <w:tcW w:w="1276" w:type="dxa"/>
                  <w:vAlign w:val="center"/>
                </w:tcPr>
                <w:p>
                  <w:pPr>
                    <w:spacing w:line="300" w:lineRule="auto"/>
                    <w:jc w:val="center"/>
                    <w:rPr>
                      <w:szCs w:val="24"/>
                    </w:rPr>
                  </w:pPr>
                  <w:r>
                    <w:rPr>
                      <w:rFonts w:hint="eastAsia"/>
                      <w:szCs w:val="24"/>
                    </w:rPr>
                    <w:t>DA001</w:t>
                  </w:r>
                  <w:r>
                    <w:rPr>
                      <w:szCs w:val="24"/>
                    </w:rPr>
                    <w:t>排气筒</w:t>
                  </w:r>
                </w:p>
              </w:tc>
              <w:tc>
                <w:tcPr>
                  <w:tcW w:w="4394" w:type="dxa"/>
                  <w:vAlign w:val="center"/>
                </w:tcPr>
                <w:p>
                  <w:pPr>
                    <w:spacing w:line="300" w:lineRule="auto"/>
                    <w:jc w:val="center"/>
                    <w:rPr>
                      <w:szCs w:val="24"/>
                    </w:rPr>
                  </w:pPr>
                  <w:r>
                    <w:rPr>
                      <w:rFonts w:hint="eastAsia"/>
                      <w:szCs w:val="24"/>
                    </w:rPr>
                    <w:t>颗粒物、油烟</w:t>
                  </w:r>
                </w:p>
              </w:tc>
              <w:tc>
                <w:tcPr>
                  <w:tcW w:w="1184" w:type="dxa"/>
                  <w:vAlign w:val="center"/>
                </w:tcPr>
                <w:p>
                  <w:pPr>
                    <w:spacing w:line="300" w:lineRule="auto"/>
                    <w:jc w:val="center"/>
                    <w:rPr>
                      <w:szCs w:val="24"/>
                    </w:rPr>
                  </w:pPr>
                  <w:r>
                    <w:rPr>
                      <w:szCs w:val="24"/>
                    </w:rPr>
                    <w:t>1次/</w:t>
                  </w:r>
                  <w:r>
                    <w:rPr>
                      <w:rFonts w:hint="eastAsia"/>
                      <w:szCs w:val="24"/>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Merge w:val="continue"/>
                  <w:vAlign w:val="center"/>
                </w:tcPr>
                <w:p>
                  <w:pPr>
                    <w:pStyle w:val="30"/>
                    <w:rPr>
                      <w:rStyle w:val="39"/>
                      <w:rFonts w:hint="default" w:ascii="Times New Roman" w:hAnsi="Times New Roman"/>
                      <w:b w:val="0"/>
                      <w:color w:val="auto"/>
                      <w:sz w:val="21"/>
                      <w:szCs w:val="21"/>
                    </w:rPr>
                  </w:pPr>
                </w:p>
              </w:tc>
              <w:tc>
                <w:tcPr>
                  <w:tcW w:w="1276" w:type="dxa"/>
                  <w:vAlign w:val="center"/>
                </w:tcPr>
                <w:p>
                  <w:pPr>
                    <w:spacing w:line="300" w:lineRule="auto"/>
                    <w:jc w:val="center"/>
                    <w:rPr>
                      <w:szCs w:val="24"/>
                    </w:rPr>
                  </w:pPr>
                  <w:r>
                    <w:rPr>
                      <w:rFonts w:hint="eastAsia"/>
                      <w:szCs w:val="24"/>
                    </w:rPr>
                    <w:t>DA002</w:t>
                  </w:r>
                  <w:r>
                    <w:rPr>
                      <w:szCs w:val="24"/>
                    </w:rPr>
                    <w:t>排气筒</w:t>
                  </w:r>
                </w:p>
              </w:tc>
              <w:tc>
                <w:tcPr>
                  <w:tcW w:w="4394" w:type="dxa"/>
                  <w:vAlign w:val="center"/>
                </w:tcPr>
                <w:p>
                  <w:pPr>
                    <w:spacing w:line="300" w:lineRule="auto"/>
                    <w:jc w:val="center"/>
                    <w:rPr>
                      <w:szCs w:val="24"/>
                    </w:rPr>
                  </w:pPr>
                  <w:r>
                    <w:rPr>
                      <w:rFonts w:hint="eastAsia"/>
                      <w:szCs w:val="24"/>
                    </w:rPr>
                    <w:t>颗粒物、SO</w:t>
                  </w:r>
                  <w:r>
                    <w:rPr>
                      <w:rFonts w:hint="eastAsia"/>
                      <w:szCs w:val="24"/>
                      <w:vertAlign w:val="subscript"/>
                    </w:rPr>
                    <w:t>2</w:t>
                  </w:r>
                  <w:r>
                    <w:rPr>
                      <w:rFonts w:hint="eastAsia"/>
                      <w:szCs w:val="24"/>
                    </w:rPr>
                    <w:t>、NOx</w:t>
                  </w:r>
                </w:p>
              </w:tc>
              <w:tc>
                <w:tcPr>
                  <w:tcW w:w="1184" w:type="dxa"/>
                  <w:vAlign w:val="center"/>
                </w:tcPr>
                <w:p>
                  <w:pPr>
                    <w:spacing w:line="300" w:lineRule="auto"/>
                    <w:jc w:val="center"/>
                    <w:rPr>
                      <w:szCs w:val="24"/>
                    </w:rPr>
                  </w:pPr>
                  <w:r>
                    <w:rPr>
                      <w:szCs w:val="24"/>
                    </w:rPr>
                    <w:t>1次/</w:t>
                  </w:r>
                  <w:r>
                    <w:rPr>
                      <w:rFonts w:hint="eastAsia"/>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8" w:type="dxa"/>
                  <w:vMerge w:val="continue"/>
                  <w:vAlign w:val="center"/>
                </w:tcPr>
                <w:p>
                  <w:pPr>
                    <w:pStyle w:val="30"/>
                    <w:rPr>
                      <w:rStyle w:val="39"/>
                      <w:rFonts w:hint="default" w:ascii="Times New Roman" w:hAnsi="Times New Roman"/>
                      <w:b w:val="0"/>
                      <w:color w:val="auto"/>
                      <w:sz w:val="21"/>
                      <w:szCs w:val="21"/>
                    </w:rPr>
                  </w:pPr>
                </w:p>
              </w:tc>
              <w:tc>
                <w:tcPr>
                  <w:tcW w:w="1276" w:type="dxa"/>
                  <w:vAlign w:val="center"/>
                </w:tcPr>
                <w:p>
                  <w:pPr>
                    <w:spacing w:line="300" w:lineRule="auto"/>
                    <w:jc w:val="center"/>
                    <w:rPr>
                      <w:szCs w:val="24"/>
                    </w:rPr>
                  </w:pPr>
                  <w:r>
                    <w:rPr>
                      <w:szCs w:val="24"/>
                    </w:rPr>
                    <w:t>厂界</w:t>
                  </w:r>
                </w:p>
              </w:tc>
              <w:tc>
                <w:tcPr>
                  <w:tcW w:w="4394" w:type="dxa"/>
                  <w:vAlign w:val="center"/>
                </w:tcPr>
                <w:p>
                  <w:pPr>
                    <w:spacing w:line="300" w:lineRule="auto"/>
                    <w:jc w:val="center"/>
                    <w:rPr>
                      <w:szCs w:val="24"/>
                    </w:rPr>
                  </w:pPr>
                  <w:r>
                    <w:rPr>
                      <w:rFonts w:hint="eastAsia"/>
                      <w:szCs w:val="24"/>
                    </w:rPr>
                    <w:t>颗粒物</w:t>
                  </w:r>
                </w:p>
              </w:tc>
              <w:tc>
                <w:tcPr>
                  <w:tcW w:w="1184" w:type="dxa"/>
                  <w:vAlign w:val="center"/>
                </w:tcPr>
                <w:p>
                  <w:pPr>
                    <w:spacing w:line="300" w:lineRule="auto"/>
                    <w:jc w:val="center"/>
                    <w:rPr>
                      <w:szCs w:val="24"/>
                    </w:rPr>
                  </w:pPr>
                  <w:r>
                    <w:rPr>
                      <w:szCs w:val="24"/>
                    </w:rPr>
                    <w:t>1次/</w:t>
                  </w:r>
                  <w:r>
                    <w:rPr>
                      <w:rFonts w:hint="eastAsia"/>
                      <w:szCs w:val="24"/>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pPr>
                    <w:pStyle w:val="30"/>
                    <w:rPr>
                      <w:rStyle w:val="39"/>
                      <w:rFonts w:hint="default" w:ascii="Times New Roman" w:hAnsi="Times New Roman"/>
                      <w:b w:val="0"/>
                      <w:bCs/>
                      <w:color w:val="auto"/>
                      <w:sz w:val="21"/>
                      <w:szCs w:val="21"/>
                    </w:rPr>
                  </w:pPr>
                  <w:r>
                    <w:rPr>
                      <w:rStyle w:val="39"/>
                      <w:rFonts w:hint="default" w:ascii="Times New Roman" w:hAnsi="Times New Roman"/>
                      <w:b w:val="0"/>
                      <w:bCs/>
                      <w:color w:val="auto"/>
                      <w:sz w:val="21"/>
                      <w:szCs w:val="21"/>
                    </w:rPr>
                    <w:t>废水</w:t>
                  </w:r>
                </w:p>
              </w:tc>
              <w:tc>
                <w:tcPr>
                  <w:tcW w:w="1276" w:type="dxa"/>
                  <w:vAlign w:val="center"/>
                </w:tcPr>
                <w:p>
                  <w:pPr>
                    <w:pStyle w:val="30"/>
                    <w:rPr>
                      <w:rStyle w:val="39"/>
                      <w:rFonts w:hint="default" w:ascii="Times New Roman" w:hAnsi="Times New Roman"/>
                      <w:b w:val="0"/>
                      <w:bCs/>
                      <w:color w:val="auto"/>
                      <w:sz w:val="21"/>
                      <w:szCs w:val="21"/>
                    </w:rPr>
                  </w:pPr>
                  <w:r>
                    <w:rPr>
                      <w:rStyle w:val="39"/>
                      <w:rFonts w:hint="default" w:ascii="Times New Roman" w:hAnsi="Times New Roman"/>
                      <w:b w:val="0"/>
                      <w:bCs/>
                      <w:color w:val="auto"/>
                      <w:sz w:val="21"/>
                      <w:szCs w:val="21"/>
                    </w:rPr>
                    <w:t>DW001</w:t>
                  </w:r>
                </w:p>
              </w:tc>
              <w:tc>
                <w:tcPr>
                  <w:tcW w:w="4394" w:type="dxa"/>
                  <w:vAlign w:val="center"/>
                </w:tcPr>
                <w:p>
                  <w:pPr>
                    <w:pStyle w:val="30"/>
                    <w:rPr>
                      <w:rStyle w:val="39"/>
                      <w:rFonts w:hint="default" w:ascii="Times New Roman" w:hAnsi="Times New Roman"/>
                      <w:b w:val="0"/>
                      <w:bCs/>
                      <w:color w:val="auto"/>
                      <w:sz w:val="21"/>
                      <w:szCs w:val="21"/>
                    </w:rPr>
                  </w:pPr>
                  <w:r>
                    <w:rPr>
                      <w:b w:val="0"/>
                    </w:rPr>
                    <w:t>pH、COD</w:t>
                  </w:r>
                  <w:r>
                    <w:rPr>
                      <w:b w:val="0"/>
                      <w:vertAlign w:val="subscript"/>
                    </w:rPr>
                    <w:t>Cr</w:t>
                  </w:r>
                  <w:r>
                    <w:rPr>
                      <w:b w:val="0"/>
                    </w:rPr>
                    <w:t>、SS、氨氮、石油类</w:t>
                  </w:r>
                  <w:r>
                    <w:rPr>
                      <w:rFonts w:hint="eastAsia"/>
                      <w:b w:val="0"/>
                    </w:rPr>
                    <w:t>、BOD</w:t>
                  </w:r>
                  <w:r>
                    <w:rPr>
                      <w:rFonts w:hint="eastAsia"/>
                      <w:b w:val="0"/>
                      <w:vertAlign w:val="subscript"/>
                    </w:rPr>
                    <w:t>5</w:t>
                  </w:r>
                </w:p>
              </w:tc>
              <w:tc>
                <w:tcPr>
                  <w:tcW w:w="1184" w:type="dxa"/>
                  <w:vAlign w:val="center"/>
                </w:tcPr>
                <w:p>
                  <w:pPr>
                    <w:pStyle w:val="30"/>
                    <w:rPr>
                      <w:rStyle w:val="39"/>
                      <w:rFonts w:hint="default" w:ascii="Times New Roman" w:hAnsi="Times New Roman"/>
                      <w:b w:val="0"/>
                      <w:bCs/>
                      <w:color w:val="auto"/>
                      <w:sz w:val="21"/>
                      <w:szCs w:val="21"/>
                    </w:rPr>
                  </w:pPr>
                  <w:r>
                    <w:rPr>
                      <w:rStyle w:val="39"/>
                      <w:rFonts w:hint="default" w:ascii="Times New Roman" w:hAnsi="Times New Roman"/>
                      <w:b w:val="0"/>
                      <w:bCs/>
                      <w:color w:val="auto"/>
                      <w:sz w:val="21"/>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pPr>
                    <w:pStyle w:val="30"/>
                    <w:rPr>
                      <w:rStyle w:val="39"/>
                      <w:rFonts w:hint="default" w:ascii="Times New Roman" w:hAnsi="Times New Roman"/>
                      <w:b w:val="0"/>
                      <w:bCs/>
                      <w:color w:val="auto"/>
                      <w:sz w:val="21"/>
                      <w:szCs w:val="21"/>
                    </w:rPr>
                  </w:pPr>
                  <w:r>
                    <w:rPr>
                      <w:rStyle w:val="39"/>
                      <w:rFonts w:hint="default" w:ascii="Times New Roman" w:hAnsi="Times New Roman"/>
                      <w:b w:val="0"/>
                      <w:bCs/>
                      <w:color w:val="auto"/>
                      <w:sz w:val="21"/>
                      <w:szCs w:val="21"/>
                    </w:rPr>
                    <w:t>噪声</w:t>
                  </w:r>
                </w:p>
              </w:tc>
              <w:tc>
                <w:tcPr>
                  <w:tcW w:w="1276" w:type="dxa"/>
                  <w:vAlign w:val="center"/>
                </w:tcPr>
                <w:p>
                  <w:pPr>
                    <w:pStyle w:val="30"/>
                    <w:rPr>
                      <w:rStyle w:val="39"/>
                      <w:rFonts w:hint="default" w:ascii="Times New Roman" w:hAnsi="Times New Roman"/>
                      <w:b w:val="0"/>
                      <w:bCs/>
                      <w:color w:val="auto"/>
                      <w:sz w:val="21"/>
                      <w:szCs w:val="21"/>
                    </w:rPr>
                  </w:pPr>
                  <w:r>
                    <w:rPr>
                      <w:rStyle w:val="39"/>
                      <w:rFonts w:hint="default" w:ascii="Times New Roman" w:hAnsi="Times New Roman"/>
                      <w:b w:val="0"/>
                      <w:bCs/>
                      <w:color w:val="auto"/>
                      <w:sz w:val="21"/>
                      <w:szCs w:val="21"/>
                    </w:rPr>
                    <w:t>厂界四周</w:t>
                  </w:r>
                </w:p>
              </w:tc>
              <w:tc>
                <w:tcPr>
                  <w:tcW w:w="4394" w:type="dxa"/>
                  <w:vAlign w:val="center"/>
                </w:tcPr>
                <w:p>
                  <w:pPr>
                    <w:pStyle w:val="30"/>
                    <w:rPr>
                      <w:rStyle w:val="39"/>
                      <w:rFonts w:hint="default" w:ascii="Times New Roman" w:hAnsi="Times New Roman"/>
                      <w:b w:val="0"/>
                      <w:bCs/>
                      <w:color w:val="auto"/>
                      <w:sz w:val="21"/>
                      <w:szCs w:val="21"/>
                    </w:rPr>
                  </w:pPr>
                  <w:r>
                    <w:rPr>
                      <w:rStyle w:val="39"/>
                      <w:rFonts w:hint="default" w:ascii="Times New Roman" w:hAnsi="Times New Roman"/>
                      <w:b w:val="0"/>
                      <w:bCs/>
                      <w:color w:val="auto"/>
                      <w:sz w:val="21"/>
                      <w:szCs w:val="21"/>
                    </w:rPr>
                    <w:t>等效连续A声级</w:t>
                  </w:r>
                </w:p>
              </w:tc>
              <w:tc>
                <w:tcPr>
                  <w:tcW w:w="1184" w:type="dxa"/>
                  <w:vAlign w:val="center"/>
                </w:tcPr>
                <w:p>
                  <w:pPr>
                    <w:pStyle w:val="30"/>
                    <w:rPr>
                      <w:rStyle w:val="39"/>
                      <w:rFonts w:hint="default" w:ascii="Times New Roman" w:hAnsi="Times New Roman"/>
                      <w:b w:val="0"/>
                      <w:bCs/>
                      <w:color w:val="auto"/>
                      <w:sz w:val="21"/>
                      <w:szCs w:val="21"/>
                    </w:rPr>
                  </w:pPr>
                  <w:r>
                    <w:rPr>
                      <w:rStyle w:val="39"/>
                      <w:rFonts w:hint="default" w:ascii="Times New Roman" w:hAnsi="Times New Roman"/>
                      <w:b w:val="0"/>
                      <w:bCs/>
                      <w:color w:val="auto"/>
                      <w:sz w:val="21"/>
                      <w:szCs w:val="21"/>
                    </w:rPr>
                    <w:t>1次/季度</w:t>
                  </w:r>
                </w:p>
              </w:tc>
            </w:tr>
          </w:tbl>
          <w:p>
            <w:pPr>
              <w:snapToGrid w:val="0"/>
              <w:spacing w:line="360" w:lineRule="auto"/>
              <w:ind w:firstLine="420"/>
              <w:rPr>
                <w:color w:val="FF0000"/>
              </w:rPr>
            </w:pPr>
          </w:p>
          <w:p>
            <w:pPr>
              <w:snapToGrid w:val="0"/>
              <w:spacing w:line="360" w:lineRule="auto"/>
              <w:ind w:firstLine="420"/>
              <w:rPr>
                <w:color w:val="FF0000"/>
              </w:rPr>
            </w:pPr>
          </w:p>
        </w:tc>
      </w:tr>
    </w:tbl>
    <w:p>
      <w:pPr>
        <w:ind w:firstLine="480"/>
        <w:rPr>
          <w:color w:val="FF0000"/>
        </w:rPr>
        <w:sectPr>
          <w:pgSz w:w="11906" w:h="16838"/>
          <w:pgMar w:top="1701" w:right="1531" w:bottom="1701" w:left="1531" w:header="851" w:footer="992" w:gutter="0"/>
          <w:pgNumType w:fmt="numberInDash"/>
          <w:cols w:space="425" w:num="1"/>
          <w:docGrid w:type="lines" w:linePitch="312" w:charSpace="0"/>
        </w:sectPr>
      </w:pPr>
    </w:p>
    <w:p>
      <w:pPr>
        <w:pStyle w:val="3"/>
        <w:jc w:val="center"/>
        <w:rPr>
          <w:rFonts w:ascii="黑体" w:hAnsi="黑体" w:eastAsia="黑体"/>
          <w:b w:val="0"/>
          <w:bCs w:val="0"/>
          <w:sz w:val="30"/>
          <w:szCs w:val="30"/>
        </w:rPr>
      </w:pPr>
      <w:bookmarkStart w:id="5" w:name="_Toc100330847"/>
      <w:r>
        <w:rPr>
          <w:rFonts w:hint="eastAsia" w:ascii="黑体" w:hAnsi="黑体" w:eastAsia="黑体"/>
          <w:b w:val="0"/>
          <w:bCs w:val="0"/>
          <w:sz w:val="30"/>
          <w:szCs w:val="30"/>
        </w:rPr>
        <w:t>六、结论</w:t>
      </w:r>
      <w:bookmarkEnd w:id="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4" w:hRule="atLeast"/>
        </w:trPr>
        <w:tc>
          <w:tcPr>
            <w:tcW w:w="9060" w:type="dxa"/>
          </w:tcPr>
          <w:p>
            <w:pPr>
              <w:spacing w:line="360" w:lineRule="auto"/>
              <w:ind w:firstLine="420"/>
              <w:rPr>
                <w:color w:val="FF0000"/>
                <w:sz w:val="18"/>
              </w:rPr>
            </w:pPr>
            <w:r>
              <w:rPr>
                <w:rFonts w:hint="eastAsia"/>
              </w:rPr>
              <w:t>综上所述，</w:t>
            </w:r>
            <w:r>
              <w:t>本项目建设符合国家产业政策要求</w:t>
            </w:r>
            <w:r>
              <w:rPr>
                <w:rFonts w:hint="eastAsia"/>
              </w:rPr>
              <w:t>，在采取相应的治理措施后，污染物排放可满足相应的国家排放标准。通过对本项目环境影响评价，认为只要在本项目的建设中认真执行环保“三同时”制度，具体落实本环评中提出的各污染防治措施，从环保角度看，本项目的实施是可行的。</w:t>
            </w:r>
          </w:p>
        </w:tc>
      </w:tr>
    </w:tbl>
    <w:p>
      <w:pPr>
        <w:pStyle w:val="3"/>
        <w:rPr>
          <w:rFonts w:ascii="黑体" w:hAnsi="黑体" w:eastAsia="黑体"/>
          <w:b w:val="0"/>
          <w:bCs w:val="0"/>
          <w:color w:val="FF0000"/>
          <w:sz w:val="30"/>
          <w:szCs w:val="30"/>
        </w:rPr>
        <w:sectPr>
          <w:pgSz w:w="11906" w:h="16838"/>
          <w:pgMar w:top="1418" w:right="1588" w:bottom="1418" w:left="1588" w:header="851" w:footer="992" w:gutter="0"/>
          <w:pgNumType w:fmt="numberInDash"/>
          <w:cols w:space="425" w:num="1"/>
          <w:docGrid w:type="lines" w:linePitch="326" w:charSpace="0"/>
        </w:sectPr>
      </w:pPr>
    </w:p>
    <w:p>
      <w:pPr>
        <w:pStyle w:val="3"/>
        <w:jc w:val="center"/>
        <w:rPr>
          <w:rFonts w:ascii="黑体" w:hAnsi="黑体" w:eastAsia="黑体"/>
          <w:b w:val="0"/>
          <w:bCs w:val="0"/>
          <w:sz w:val="30"/>
          <w:szCs w:val="30"/>
        </w:rPr>
      </w:pPr>
      <w:bookmarkStart w:id="6" w:name="_Toc100330848"/>
      <w:r>
        <w:rPr>
          <w:rFonts w:hint="eastAsia" w:ascii="黑体" w:hAnsi="黑体" w:eastAsia="黑体"/>
          <w:b w:val="0"/>
          <w:bCs w:val="0"/>
          <w:sz w:val="30"/>
          <w:szCs w:val="30"/>
        </w:rPr>
        <w:t>本工程大气污染物排放基本情况一览表</w:t>
      </w:r>
      <w:bookmarkEnd w:id="6"/>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1105"/>
        <w:gridCol w:w="1932"/>
        <w:gridCol w:w="494"/>
        <w:gridCol w:w="994"/>
        <w:gridCol w:w="1701"/>
        <w:gridCol w:w="849"/>
        <w:gridCol w:w="935"/>
        <w:gridCol w:w="1105"/>
        <w:gridCol w:w="1105"/>
        <w:gridCol w:w="25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9" w:type="pct"/>
            <w:gridSpan w:val="2"/>
            <w:vAlign w:val="center"/>
          </w:tcPr>
          <w:p>
            <w:pPr>
              <w:jc w:val="center"/>
            </w:pPr>
            <w:r>
              <w:t>污染源项</w:t>
            </w:r>
          </w:p>
        </w:tc>
        <w:tc>
          <w:tcPr>
            <w:tcW w:w="696" w:type="pct"/>
            <w:vMerge w:val="restart"/>
            <w:vAlign w:val="center"/>
          </w:tcPr>
          <w:p>
            <w:pPr>
              <w:jc w:val="center"/>
            </w:pPr>
            <w:r>
              <w:t>治理措施</w:t>
            </w:r>
          </w:p>
        </w:tc>
        <w:tc>
          <w:tcPr>
            <w:tcW w:w="178" w:type="pct"/>
            <w:vMerge w:val="restart"/>
            <w:vAlign w:val="center"/>
          </w:tcPr>
          <w:p>
            <w:pPr>
              <w:jc w:val="center"/>
            </w:pPr>
            <w:r>
              <w:rPr>
                <w:rFonts w:hint="eastAsia"/>
              </w:rPr>
              <w:t>排放</w:t>
            </w:r>
          </w:p>
          <w:p>
            <w:pPr>
              <w:jc w:val="center"/>
            </w:pPr>
            <w:r>
              <w:rPr>
                <w:rFonts w:hint="eastAsia"/>
              </w:rPr>
              <w:t>形式</w:t>
            </w:r>
          </w:p>
        </w:tc>
        <w:tc>
          <w:tcPr>
            <w:tcW w:w="358" w:type="pct"/>
            <w:vMerge w:val="restart"/>
            <w:vAlign w:val="center"/>
          </w:tcPr>
          <w:p>
            <w:pPr>
              <w:jc w:val="center"/>
            </w:pPr>
            <w:r>
              <w:rPr>
                <w:rFonts w:hint="eastAsia"/>
              </w:rPr>
              <w:t>排放口编号</w:t>
            </w:r>
          </w:p>
        </w:tc>
        <w:tc>
          <w:tcPr>
            <w:tcW w:w="613" w:type="pct"/>
            <w:vMerge w:val="restart"/>
            <w:vAlign w:val="center"/>
          </w:tcPr>
          <w:p>
            <w:pPr>
              <w:jc w:val="center"/>
            </w:pPr>
            <w:r>
              <w:rPr>
                <w:rFonts w:hint="eastAsia"/>
              </w:rPr>
              <w:t>排放口坐标</w:t>
            </w:r>
          </w:p>
        </w:tc>
        <w:tc>
          <w:tcPr>
            <w:tcW w:w="306" w:type="pct"/>
            <w:vMerge w:val="restart"/>
            <w:vAlign w:val="center"/>
          </w:tcPr>
          <w:p>
            <w:pPr>
              <w:jc w:val="center"/>
            </w:pPr>
            <w:r>
              <w:rPr>
                <w:rFonts w:hint="eastAsia"/>
              </w:rPr>
              <w:t>排放口类型</w:t>
            </w:r>
          </w:p>
        </w:tc>
        <w:tc>
          <w:tcPr>
            <w:tcW w:w="337" w:type="pct"/>
            <w:vMerge w:val="restart"/>
            <w:vAlign w:val="center"/>
          </w:tcPr>
          <w:p>
            <w:pPr>
              <w:jc w:val="center"/>
            </w:pPr>
            <w:r>
              <w:rPr>
                <w:rFonts w:hint="eastAsia"/>
              </w:rPr>
              <w:t>污染</w:t>
            </w:r>
          </w:p>
          <w:p>
            <w:pPr>
              <w:jc w:val="center"/>
            </w:pPr>
            <w:r>
              <w:rPr>
                <w:rFonts w:hint="eastAsia"/>
              </w:rPr>
              <w:t>因子</w:t>
            </w:r>
          </w:p>
        </w:tc>
        <w:tc>
          <w:tcPr>
            <w:tcW w:w="796" w:type="pct"/>
            <w:gridSpan w:val="2"/>
            <w:vAlign w:val="center"/>
          </w:tcPr>
          <w:p>
            <w:pPr>
              <w:jc w:val="center"/>
            </w:pPr>
            <w:r>
              <w:rPr>
                <w:rFonts w:hint="eastAsia"/>
              </w:rPr>
              <w:t>标准值</w:t>
            </w:r>
          </w:p>
        </w:tc>
        <w:tc>
          <w:tcPr>
            <w:tcW w:w="917" w:type="pct"/>
            <w:vMerge w:val="restart"/>
            <w:vAlign w:val="center"/>
          </w:tcPr>
          <w:p>
            <w:pPr>
              <w:jc w:val="center"/>
            </w:pPr>
            <w: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01" w:type="pct"/>
            <w:vAlign w:val="center"/>
          </w:tcPr>
          <w:p>
            <w:pPr>
              <w:jc w:val="center"/>
            </w:pPr>
            <w:r>
              <w:rPr>
                <w:rFonts w:hint="eastAsia"/>
              </w:rPr>
              <w:t>生产工艺</w:t>
            </w:r>
          </w:p>
        </w:tc>
        <w:tc>
          <w:tcPr>
            <w:tcW w:w="398" w:type="pct"/>
            <w:vAlign w:val="center"/>
          </w:tcPr>
          <w:p>
            <w:pPr>
              <w:jc w:val="center"/>
            </w:pPr>
            <w:r>
              <w:rPr>
                <w:rFonts w:hint="eastAsia"/>
              </w:rPr>
              <w:t>产污设备</w:t>
            </w:r>
          </w:p>
        </w:tc>
        <w:tc>
          <w:tcPr>
            <w:tcW w:w="696" w:type="pct"/>
            <w:vMerge w:val="continue"/>
            <w:vAlign w:val="center"/>
          </w:tcPr>
          <w:p>
            <w:pPr>
              <w:jc w:val="center"/>
            </w:pPr>
          </w:p>
        </w:tc>
        <w:tc>
          <w:tcPr>
            <w:tcW w:w="178" w:type="pct"/>
            <w:vMerge w:val="continue"/>
            <w:vAlign w:val="center"/>
          </w:tcPr>
          <w:p>
            <w:pPr>
              <w:jc w:val="center"/>
            </w:pPr>
          </w:p>
        </w:tc>
        <w:tc>
          <w:tcPr>
            <w:tcW w:w="358" w:type="pct"/>
            <w:vMerge w:val="continue"/>
            <w:vAlign w:val="center"/>
          </w:tcPr>
          <w:p>
            <w:pPr>
              <w:jc w:val="center"/>
            </w:pPr>
          </w:p>
        </w:tc>
        <w:tc>
          <w:tcPr>
            <w:tcW w:w="613" w:type="pct"/>
            <w:vMerge w:val="continue"/>
            <w:vAlign w:val="center"/>
          </w:tcPr>
          <w:p>
            <w:pPr>
              <w:jc w:val="center"/>
            </w:pPr>
          </w:p>
        </w:tc>
        <w:tc>
          <w:tcPr>
            <w:tcW w:w="306" w:type="pct"/>
            <w:vMerge w:val="continue"/>
            <w:vAlign w:val="center"/>
          </w:tcPr>
          <w:p>
            <w:pPr>
              <w:jc w:val="center"/>
            </w:pPr>
          </w:p>
        </w:tc>
        <w:tc>
          <w:tcPr>
            <w:tcW w:w="337" w:type="pct"/>
            <w:vMerge w:val="continue"/>
            <w:vAlign w:val="center"/>
          </w:tcPr>
          <w:p>
            <w:pPr>
              <w:jc w:val="center"/>
            </w:pPr>
          </w:p>
        </w:tc>
        <w:tc>
          <w:tcPr>
            <w:tcW w:w="398" w:type="pct"/>
            <w:vAlign w:val="center"/>
          </w:tcPr>
          <w:p>
            <w:pPr>
              <w:pStyle w:val="54"/>
              <w:rPr>
                <w:rFonts w:cs="Times New Roman"/>
                <w:b w:val="0"/>
                <w:sz w:val="21"/>
                <w:szCs w:val="21"/>
              </w:rPr>
            </w:pPr>
            <w:r>
              <w:rPr>
                <w:rFonts w:hint="eastAsia" w:cs="Times New Roman"/>
                <w:b w:val="0"/>
                <w:sz w:val="21"/>
                <w:szCs w:val="21"/>
              </w:rPr>
              <w:t>浓度</w:t>
            </w:r>
            <w:r>
              <w:rPr>
                <w:rFonts w:cs="Times New Roman"/>
                <w:b w:val="0"/>
                <w:sz w:val="21"/>
                <w:szCs w:val="21"/>
              </w:rPr>
              <w:t>限值（mg/m</w:t>
            </w:r>
            <w:r>
              <w:rPr>
                <w:rFonts w:cs="Times New Roman"/>
                <w:b w:val="0"/>
                <w:sz w:val="21"/>
                <w:szCs w:val="21"/>
                <w:vertAlign w:val="superscript"/>
              </w:rPr>
              <w:t>3</w:t>
            </w:r>
            <w:r>
              <w:rPr>
                <w:rFonts w:cs="Times New Roman"/>
                <w:b w:val="0"/>
                <w:sz w:val="21"/>
                <w:szCs w:val="21"/>
              </w:rPr>
              <w:t>）</w:t>
            </w:r>
          </w:p>
        </w:tc>
        <w:tc>
          <w:tcPr>
            <w:tcW w:w="398" w:type="pct"/>
            <w:vAlign w:val="center"/>
          </w:tcPr>
          <w:p>
            <w:pPr>
              <w:pStyle w:val="54"/>
              <w:rPr>
                <w:rFonts w:cs="Times New Roman"/>
                <w:b w:val="0"/>
                <w:sz w:val="21"/>
                <w:szCs w:val="21"/>
              </w:rPr>
            </w:pPr>
            <w:r>
              <w:rPr>
                <w:rFonts w:cs="Times New Roman"/>
                <w:b w:val="0"/>
                <w:sz w:val="21"/>
                <w:szCs w:val="21"/>
              </w:rPr>
              <w:t>速率</w:t>
            </w:r>
            <w:r>
              <w:rPr>
                <w:rFonts w:hint="eastAsia" w:cs="Times New Roman"/>
                <w:b w:val="0"/>
                <w:sz w:val="21"/>
                <w:szCs w:val="21"/>
              </w:rPr>
              <w:t>限值</w:t>
            </w:r>
          </w:p>
          <w:p>
            <w:pPr>
              <w:pStyle w:val="54"/>
              <w:rPr>
                <w:rFonts w:cs="Times New Roman"/>
                <w:b w:val="0"/>
                <w:sz w:val="21"/>
                <w:szCs w:val="21"/>
              </w:rPr>
            </w:pPr>
            <w:r>
              <w:rPr>
                <w:rFonts w:cs="Times New Roman"/>
                <w:b w:val="0"/>
                <w:sz w:val="21"/>
                <w:szCs w:val="21"/>
              </w:rPr>
              <w:t>（kg/h）</w:t>
            </w:r>
          </w:p>
        </w:tc>
        <w:tc>
          <w:tcPr>
            <w:tcW w:w="917" w:type="pct"/>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01" w:type="pct"/>
            <w:vAlign w:val="center"/>
          </w:tcPr>
          <w:p>
            <w:pPr>
              <w:jc w:val="center"/>
            </w:pPr>
            <w:r>
              <w:rPr>
                <w:rFonts w:hint="eastAsia"/>
              </w:rPr>
              <w:t>油炸</w:t>
            </w:r>
          </w:p>
        </w:tc>
        <w:tc>
          <w:tcPr>
            <w:tcW w:w="398" w:type="pct"/>
            <w:vAlign w:val="center"/>
          </w:tcPr>
          <w:p>
            <w:pPr>
              <w:jc w:val="center"/>
            </w:pPr>
            <w:r>
              <w:rPr>
                <w:rFonts w:hint="eastAsia"/>
              </w:rPr>
              <w:t>油炸设备</w:t>
            </w:r>
          </w:p>
        </w:tc>
        <w:tc>
          <w:tcPr>
            <w:tcW w:w="696" w:type="pct"/>
            <w:vAlign w:val="center"/>
          </w:tcPr>
          <w:p>
            <w:pPr>
              <w:jc w:val="center"/>
            </w:pPr>
            <w:r>
              <w:rPr>
                <w:rFonts w:hint="eastAsia"/>
              </w:rPr>
              <w:t>水雾除油+离心除油+20m排气筒</w:t>
            </w:r>
          </w:p>
        </w:tc>
        <w:tc>
          <w:tcPr>
            <w:tcW w:w="178" w:type="pct"/>
            <w:vMerge w:val="restart"/>
            <w:vAlign w:val="center"/>
          </w:tcPr>
          <w:p>
            <w:pPr>
              <w:jc w:val="center"/>
            </w:pPr>
            <w:r>
              <w:t>有组织</w:t>
            </w:r>
          </w:p>
        </w:tc>
        <w:tc>
          <w:tcPr>
            <w:tcW w:w="358" w:type="pct"/>
            <w:vMerge w:val="restart"/>
            <w:vAlign w:val="center"/>
          </w:tcPr>
          <w:p>
            <w:pPr>
              <w:jc w:val="center"/>
            </w:pPr>
            <w:r>
              <w:rPr>
                <w:rFonts w:hint="eastAsia"/>
              </w:rPr>
              <w:t>DA001</w:t>
            </w:r>
          </w:p>
        </w:tc>
        <w:tc>
          <w:tcPr>
            <w:tcW w:w="613" w:type="pct"/>
            <w:vMerge w:val="restart"/>
            <w:vAlign w:val="center"/>
          </w:tcPr>
          <w:p>
            <w:pPr>
              <w:wordWrap w:val="0"/>
              <w:topLinePunct/>
              <w:jc w:val="center"/>
            </w:pPr>
            <w:r>
              <w:rPr>
                <w:rFonts w:hint="eastAsia"/>
              </w:rPr>
              <w:t>经度：</w:t>
            </w:r>
            <w:r>
              <w:t>111</w:t>
            </w:r>
            <w:r>
              <w:rPr>
                <w:rFonts w:hint="eastAsia"/>
              </w:rPr>
              <w:t>.702782</w:t>
            </w:r>
            <w:r>
              <w:t>E</w:t>
            </w:r>
          </w:p>
          <w:p>
            <w:pPr>
              <w:jc w:val="center"/>
            </w:pPr>
            <w:r>
              <w:rPr>
                <w:rFonts w:hint="eastAsia"/>
              </w:rPr>
              <w:t>纬度：</w:t>
            </w:r>
            <w:r>
              <w:t>2</w:t>
            </w:r>
            <w:r>
              <w:rPr>
                <w:rFonts w:hint="eastAsia"/>
              </w:rPr>
              <w:t>8.900333</w:t>
            </w:r>
          </w:p>
        </w:tc>
        <w:tc>
          <w:tcPr>
            <w:tcW w:w="306" w:type="pct"/>
            <w:vMerge w:val="restart"/>
            <w:vAlign w:val="center"/>
          </w:tcPr>
          <w:p>
            <w:pPr>
              <w:jc w:val="center"/>
            </w:pPr>
            <w:r>
              <w:rPr>
                <w:rFonts w:hint="eastAsia"/>
              </w:rPr>
              <w:t>一般排放口</w:t>
            </w:r>
          </w:p>
        </w:tc>
        <w:tc>
          <w:tcPr>
            <w:tcW w:w="337" w:type="pct"/>
            <w:vAlign w:val="center"/>
          </w:tcPr>
          <w:p>
            <w:pPr>
              <w:jc w:val="center"/>
            </w:pPr>
            <w:r>
              <w:t>油烟</w:t>
            </w:r>
          </w:p>
        </w:tc>
        <w:tc>
          <w:tcPr>
            <w:tcW w:w="398" w:type="pct"/>
            <w:vAlign w:val="center"/>
          </w:tcPr>
          <w:p>
            <w:pPr>
              <w:pStyle w:val="54"/>
              <w:rPr>
                <w:rFonts w:cs="Times New Roman"/>
                <w:b w:val="0"/>
                <w:sz w:val="21"/>
                <w:szCs w:val="21"/>
              </w:rPr>
            </w:pPr>
            <w:r>
              <w:rPr>
                <w:rFonts w:hint="eastAsia" w:cs="Times New Roman"/>
                <w:b w:val="0"/>
                <w:sz w:val="21"/>
                <w:szCs w:val="21"/>
              </w:rPr>
              <w:t>2.0</w:t>
            </w:r>
          </w:p>
        </w:tc>
        <w:tc>
          <w:tcPr>
            <w:tcW w:w="398" w:type="pct"/>
            <w:vAlign w:val="center"/>
          </w:tcPr>
          <w:p>
            <w:pPr>
              <w:pStyle w:val="54"/>
              <w:rPr>
                <w:rFonts w:cs="Times New Roman"/>
                <w:b w:val="0"/>
                <w:sz w:val="21"/>
                <w:szCs w:val="21"/>
              </w:rPr>
            </w:pPr>
            <w:r>
              <w:rPr>
                <w:rFonts w:hint="eastAsia" w:cs="Times New Roman"/>
                <w:b w:val="0"/>
                <w:sz w:val="21"/>
                <w:szCs w:val="21"/>
              </w:rPr>
              <w:t>/</w:t>
            </w:r>
          </w:p>
        </w:tc>
        <w:tc>
          <w:tcPr>
            <w:tcW w:w="917" w:type="pct"/>
            <w:vAlign w:val="center"/>
          </w:tcPr>
          <w:p>
            <w:pPr>
              <w:jc w:val="center"/>
            </w:pPr>
            <w:r>
              <w:rPr>
                <w:rFonts w:hint="eastAsia"/>
              </w:rPr>
              <w:t>《饮食业油烟排放标准（试行）》（GB1848-2001）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01" w:type="pct"/>
            <w:vAlign w:val="center"/>
          </w:tcPr>
          <w:p>
            <w:pPr>
              <w:jc w:val="center"/>
            </w:pPr>
            <w:r>
              <w:rPr>
                <w:rFonts w:hint="eastAsia"/>
              </w:rPr>
              <w:t>炒制</w:t>
            </w:r>
          </w:p>
        </w:tc>
        <w:tc>
          <w:tcPr>
            <w:tcW w:w="398" w:type="pct"/>
            <w:vAlign w:val="center"/>
          </w:tcPr>
          <w:p>
            <w:pPr>
              <w:jc w:val="center"/>
            </w:pPr>
            <w:r>
              <w:rPr>
                <w:rFonts w:hint="eastAsia"/>
              </w:rPr>
              <w:t>炒制设备</w:t>
            </w:r>
          </w:p>
        </w:tc>
        <w:tc>
          <w:tcPr>
            <w:tcW w:w="696" w:type="pct"/>
            <w:vAlign w:val="center"/>
          </w:tcPr>
          <w:p>
            <w:pPr>
              <w:jc w:val="center"/>
            </w:pPr>
            <w:r>
              <w:rPr>
                <w:rFonts w:hint="eastAsia"/>
              </w:rPr>
              <w:t>喷淋除尘+20m排气筒</w:t>
            </w:r>
          </w:p>
        </w:tc>
        <w:tc>
          <w:tcPr>
            <w:tcW w:w="178" w:type="pct"/>
            <w:vMerge w:val="continue"/>
            <w:vAlign w:val="center"/>
          </w:tcPr>
          <w:p>
            <w:pPr>
              <w:jc w:val="center"/>
            </w:pPr>
          </w:p>
        </w:tc>
        <w:tc>
          <w:tcPr>
            <w:tcW w:w="358" w:type="pct"/>
            <w:vMerge w:val="continue"/>
            <w:vAlign w:val="center"/>
          </w:tcPr>
          <w:p>
            <w:pPr>
              <w:jc w:val="center"/>
            </w:pPr>
          </w:p>
        </w:tc>
        <w:tc>
          <w:tcPr>
            <w:tcW w:w="613" w:type="pct"/>
            <w:vMerge w:val="continue"/>
            <w:vAlign w:val="center"/>
          </w:tcPr>
          <w:p>
            <w:pPr>
              <w:jc w:val="center"/>
            </w:pPr>
          </w:p>
        </w:tc>
        <w:tc>
          <w:tcPr>
            <w:tcW w:w="306" w:type="pct"/>
            <w:vMerge w:val="continue"/>
            <w:vAlign w:val="center"/>
          </w:tcPr>
          <w:p>
            <w:pPr>
              <w:jc w:val="center"/>
            </w:pPr>
          </w:p>
        </w:tc>
        <w:tc>
          <w:tcPr>
            <w:tcW w:w="337" w:type="pct"/>
            <w:vAlign w:val="center"/>
          </w:tcPr>
          <w:p>
            <w:pPr>
              <w:jc w:val="center"/>
            </w:pPr>
            <w:r>
              <w:t>颗粒物</w:t>
            </w:r>
          </w:p>
        </w:tc>
        <w:tc>
          <w:tcPr>
            <w:tcW w:w="398" w:type="pct"/>
            <w:vAlign w:val="center"/>
          </w:tcPr>
          <w:p>
            <w:pPr>
              <w:pStyle w:val="54"/>
              <w:rPr>
                <w:rFonts w:cs="Times New Roman"/>
                <w:b w:val="0"/>
                <w:sz w:val="21"/>
                <w:szCs w:val="21"/>
              </w:rPr>
            </w:pPr>
            <w:r>
              <w:rPr>
                <w:rFonts w:hint="eastAsia" w:cs="Times New Roman"/>
                <w:b w:val="0"/>
                <w:sz w:val="21"/>
                <w:szCs w:val="21"/>
              </w:rPr>
              <w:t>120</w:t>
            </w:r>
          </w:p>
        </w:tc>
        <w:tc>
          <w:tcPr>
            <w:tcW w:w="398" w:type="pct"/>
            <w:vAlign w:val="center"/>
          </w:tcPr>
          <w:p>
            <w:pPr>
              <w:pStyle w:val="54"/>
              <w:rPr>
                <w:rFonts w:cs="Times New Roman"/>
                <w:b w:val="0"/>
                <w:sz w:val="21"/>
                <w:szCs w:val="21"/>
              </w:rPr>
            </w:pPr>
            <w:r>
              <w:rPr>
                <w:rFonts w:hint="eastAsia" w:cs="Times New Roman"/>
                <w:b w:val="0"/>
                <w:sz w:val="21"/>
                <w:szCs w:val="21"/>
              </w:rPr>
              <w:t>5.9</w:t>
            </w:r>
          </w:p>
        </w:tc>
        <w:tc>
          <w:tcPr>
            <w:tcW w:w="917" w:type="pct"/>
            <w:vAlign w:val="center"/>
          </w:tcPr>
          <w:p>
            <w:pPr>
              <w:jc w:val="center"/>
            </w:pPr>
            <w:r>
              <w:rPr>
                <w:rFonts w:hint="eastAsia"/>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01" w:type="pct"/>
            <w:vMerge w:val="restart"/>
            <w:vAlign w:val="center"/>
          </w:tcPr>
          <w:p>
            <w:pPr>
              <w:jc w:val="center"/>
            </w:pPr>
            <w:r>
              <w:rPr>
                <w:rFonts w:hint="eastAsia"/>
              </w:rPr>
              <w:t>天然气燃烧</w:t>
            </w:r>
          </w:p>
        </w:tc>
        <w:tc>
          <w:tcPr>
            <w:tcW w:w="398" w:type="pct"/>
            <w:vMerge w:val="restart"/>
            <w:vAlign w:val="center"/>
          </w:tcPr>
          <w:p>
            <w:pPr>
              <w:jc w:val="center"/>
            </w:pPr>
            <w:r>
              <w:rPr>
                <w:rFonts w:hint="eastAsia"/>
              </w:rPr>
              <w:t>燃烧器</w:t>
            </w:r>
          </w:p>
        </w:tc>
        <w:tc>
          <w:tcPr>
            <w:tcW w:w="696" w:type="pct"/>
            <w:vMerge w:val="restart"/>
            <w:vAlign w:val="center"/>
          </w:tcPr>
          <w:p>
            <w:pPr>
              <w:jc w:val="center"/>
            </w:pPr>
            <w:r>
              <w:t>低氮燃烧</w:t>
            </w:r>
            <w:r>
              <w:rPr>
                <w:rFonts w:hint="eastAsia"/>
              </w:rPr>
              <w:t>+20m排气筒</w:t>
            </w:r>
          </w:p>
        </w:tc>
        <w:tc>
          <w:tcPr>
            <w:tcW w:w="178" w:type="pct"/>
            <w:vMerge w:val="restart"/>
            <w:vAlign w:val="center"/>
          </w:tcPr>
          <w:p>
            <w:pPr>
              <w:jc w:val="center"/>
            </w:pPr>
            <w:r>
              <w:t>有组织</w:t>
            </w:r>
          </w:p>
        </w:tc>
        <w:tc>
          <w:tcPr>
            <w:tcW w:w="358" w:type="pct"/>
            <w:vMerge w:val="restart"/>
            <w:vAlign w:val="center"/>
          </w:tcPr>
          <w:p>
            <w:pPr>
              <w:jc w:val="center"/>
            </w:pPr>
            <w:r>
              <w:rPr>
                <w:rFonts w:hint="eastAsia"/>
              </w:rPr>
              <w:t>DA002</w:t>
            </w:r>
          </w:p>
        </w:tc>
        <w:tc>
          <w:tcPr>
            <w:tcW w:w="613" w:type="pct"/>
            <w:vMerge w:val="restart"/>
            <w:vAlign w:val="center"/>
          </w:tcPr>
          <w:p>
            <w:pPr>
              <w:wordWrap w:val="0"/>
              <w:topLinePunct/>
              <w:jc w:val="center"/>
            </w:pPr>
            <w:r>
              <w:rPr>
                <w:rFonts w:hint="eastAsia"/>
              </w:rPr>
              <w:t>经度：</w:t>
            </w:r>
            <w:r>
              <w:t>111</w:t>
            </w:r>
            <w:r>
              <w:rPr>
                <w:rFonts w:hint="eastAsia"/>
              </w:rPr>
              <w:t>.702782</w:t>
            </w:r>
            <w:r>
              <w:t>E</w:t>
            </w:r>
          </w:p>
          <w:p>
            <w:pPr>
              <w:jc w:val="center"/>
            </w:pPr>
            <w:r>
              <w:rPr>
                <w:rFonts w:hint="eastAsia"/>
              </w:rPr>
              <w:t>纬度：</w:t>
            </w:r>
            <w:r>
              <w:t>2</w:t>
            </w:r>
            <w:r>
              <w:rPr>
                <w:rFonts w:hint="eastAsia"/>
              </w:rPr>
              <w:t>8.900333</w:t>
            </w:r>
          </w:p>
        </w:tc>
        <w:tc>
          <w:tcPr>
            <w:tcW w:w="306" w:type="pct"/>
            <w:vMerge w:val="restart"/>
            <w:vAlign w:val="center"/>
          </w:tcPr>
          <w:p>
            <w:pPr>
              <w:jc w:val="center"/>
            </w:pPr>
            <w:r>
              <w:rPr>
                <w:rFonts w:hint="eastAsia"/>
              </w:rPr>
              <w:t>一般排放口</w:t>
            </w:r>
          </w:p>
        </w:tc>
        <w:tc>
          <w:tcPr>
            <w:tcW w:w="337" w:type="pct"/>
            <w:vAlign w:val="center"/>
          </w:tcPr>
          <w:p>
            <w:pPr>
              <w:adjustRightInd w:val="0"/>
              <w:snapToGrid w:val="0"/>
              <w:spacing w:line="300" w:lineRule="auto"/>
              <w:jc w:val="center"/>
              <w:rPr>
                <w:kern w:val="0"/>
              </w:rPr>
            </w:pPr>
            <w:r>
              <w:rPr>
                <w:rFonts w:hint="eastAsia"/>
                <w:kern w:val="0"/>
              </w:rPr>
              <w:t>二氧化硫</w:t>
            </w:r>
          </w:p>
        </w:tc>
        <w:tc>
          <w:tcPr>
            <w:tcW w:w="398" w:type="pct"/>
            <w:vAlign w:val="center"/>
          </w:tcPr>
          <w:p>
            <w:pPr>
              <w:adjustRightInd w:val="0"/>
              <w:snapToGrid w:val="0"/>
              <w:spacing w:line="300" w:lineRule="auto"/>
              <w:jc w:val="center"/>
              <w:rPr>
                <w:kern w:val="0"/>
              </w:rPr>
            </w:pPr>
            <w:r>
              <w:rPr>
                <w:rFonts w:hint="eastAsia"/>
                <w:kern w:val="0"/>
              </w:rPr>
              <w:t>200</w:t>
            </w:r>
          </w:p>
        </w:tc>
        <w:tc>
          <w:tcPr>
            <w:tcW w:w="398" w:type="pct"/>
            <w:vAlign w:val="center"/>
          </w:tcPr>
          <w:p>
            <w:pPr>
              <w:pStyle w:val="54"/>
              <w:rPr>
                <w:rFonts w:cs="Times New Roman"/>
                <w:b w:val="0"/>
                <w:sz w:val="21"/>
                <w:szCs w:val="21"/>
              </w:rPr>
            </w:pPr>
            <w:r>
              <w:rPr>
                <w:rFonts w:hint="eastAsia" w:cs="Times New Roman"/>
                <w:b w:val="0"/>
                <w:sz w:val="21"/>
                <w:szCs w:val="21"/>
              </w:rPr>
              <w:t>/</w:t>
            </w:r>
          </w:p>
        </w:tc>
        <w:tc>
          <w:tcPr>
            <w:tcW w:w="917" w:type="pct"/>
            <w:vMerge w:val="restart"/>
            <w:vAlign w:val="center"/>
          </w:tcPr>
          <w:p>
            <w:pPr>
              <w:jc w:val="center"/>
            </w:pPr>
            <w:r>
              <w:rPr>
                <w:rFonts w:hint="eastAsia"/>
              </w:rPr>
              <w:t>《湖南省工业炉窑大气污染综合治理实施方案》（湘环发〔2020〕6号）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01" w:type="pct"/>
            <w:vMerge w:val="continue"/>
            <w:vAlign w:val="center"/>
          </w:tcPr>
          <w:p>
            <w:pPr>
              <w:jc w:val="center"/>
            </w:pPr>
          </w:p>
        </w:tc>
        <w:tc>
          <w:tcPr>
            <w:tcW w:w="398" w:type="pct"/>
            <w:vMerge w:val="continue"/>
            <w:vAlign w:val="center"/>
          </w:tcPr>
          <w:p>
            <w:pPr>
              <w:jc w:val="center"/>
            </w:pPr>
          </w:p>
        </w:tc>
        <w:tc>
          <w:tcPr>
            <w:tcW w:w="696" w:type="pct"/>
            <w:vMerge w:val="continue"/>
            <w:vAlign w:val="center"/>
          </w:tcPr>
          <w:p>
            <w:pPr>
              <w:jc w:val="center"/>
            </w:pPr>
          </w:p>
        </w:tc>
        <w:tc>
          <w:tcPr>
            <w:tcW w:w="178" w:type="pct"/>
            <w:vMerge w:val="continue"/>
            <w:vAlign w:val="center"/>
          </w:tcPr>
          <w:p>
            <w:pPr>
              <w:jc w:val="center"/>
            </w:pPr>
          </w:p>
        </w:tc>
        <w:tc>
          <w:tcPr>
            <w:tcW w:w="358" w:type="pct"/>
            <w:vMerge w:val="continue"/>
            <w:vAlign w:val="center"/>
          </w:tcPr>
          <w:p>
            <w:pPr>
              <w:jc w:val="center"/>
            </w:pPr>
          </w:p>
        </w:tc>
        <w:tc>
          <w:tcPr>
            <w:tcW w:w="613" w:type="pct"/>
            <w:vMerge w:val="continue"/>
            <w:vAlign w:val="center"/>
          </w:tcPr>
          <w:p>
            <w:pPr>
              <w:wordWrap w:val="0"/>
              <w:topLinePunct/>
              <w:jc w:val="center"/>
            </w:pPr>
          </w:p>
        </w:tc>
        <w:tc>
          <w:tcPr>
            <w:tcW w:w="306" w:type="pct"/>
            <w:vMerge w:val="continue"/>
            <w:vAlign w:val="center"/>
          </w:tcPr>
          <w:p>
            <w:pPr>
              <w:jc w:val="center"/>
            </w:pPr>
          </w:p>
        </w:tc>
        <w:tc>
          <w:tcPr>
            <w:tcW w:w="337" w:type="pct"/>
            <w:vAlign w:val="center"/>
          </w:tcPr>
          <w:p>
            <w:pPr>
              <w:adjustRightInd w:val="0"/>
              <w:snapToGrid w:val="0"/>
              <w:spacing w:line="300" w:lineRule="auto"/>
              <w:jc w:val="center"/>
              <w:rPr>
                <w:kern w:val="0"/>
              </w:rPr>
            </w:pPr>
            <w:r>
              <w:rPr>
                <w:rFonts w:hint="eastAsia"/>
                <w:kern w:val="0"/>
              </w:rPr>
              <w:t>氮氧化物</w:t>
            </w:r>
          </w:p>
        </w:tc>
        <w:tc>
          <w:tcPr>
            <w:tcW w:w="398" w:type="pct"/>
            <w:vAlign w:val="center"/>
          </w:tcPr>
          <w:p>
            <w:pPr>
              <w:adjustRightInd w:val="0"/>
              <w:snapToGrid w:val="0"/>
              <w:spacing w:line="300" w:lineRule="auto"/>
              <w:jc w:val="center"/>
              <w:rPr>
                <w:kern w:val="0"/>
              </w:rPr>
            </w:pPr>
            <w:r>
              <w:rPr>
                <w:rFonts w:hint="eastAsia"/>
                <w:kern w:val="0"/>
              </w:rPr>
              <w:t>300</w:t>
            </w:r>
          </w:p>
        </w:tc>
        <w:tc>
          <w:tcPr>
            <w:tcW w:w="398" w:type="pct"/>
            <w:vAlign w:val="center"/>
          </w:tcPr>
          <w:p>
            <w:pPr>
              <w:pStyle w:val="54"/>
              <w:rPr>
                <w:rFonts w:cs="Times New Roman"/>
                <w:b w:val="0"/>
                <w:sz w:val="21"/>
                <w:szCs w:val="21"/>
              </w:rPr>
            </w:pPr>
            <w:r>
              <w:rPr>
                <w:rFonts w:hint="eastAsia" w:cs="Times New Roman"/>
                <w:b w:val="0"/>
                <w:sz w:val="21"/>
                <w:szCs w:val="21"/>
              </w:rPr>
              <w:t>/</w:t>
            </w:r>
          </w:p>
        </w:tc>
        <w:tc>
          <w:tcPr>
            <w:tcW w:w="917" w:type="pct"/>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01" w:type="pct"/>
            <w:vMerge w:val="continue"/>
            <w:vAlign w:val="center"/>
          </w:tcPr>
          <w:p>
            <w:pPr>
              <w:jc w:val="center"/>
            </w:pPr>
          </w:p>
        </w:tc>
        <w:tc>
          <w:tcPr>
            <w:tcW w:w="398" w:type="pct"/>
            <w:vMerge w:val="continue"/>
            <w:vAlign w:val="center"/>
          </w:tcPr>
          <w:p>
            <w:pPr>
              <w:jc w:val="center"/>
            </w:pPr>
          </w:p>
        </w:tc>
        <w:tc>
          <w:tcPr>
            <w:tcW w:w="696" w:type="pct"/>
            <w:vMerge w:val="continue"/>
            <w:vAlign w:val="center"/>
          </w:tcPr>
          <w:p>
            <w:pPr>
              <w:jc w:val="center"/>
            </w:pPr>
          </w:p>
        </w:tc>
        <w:tc>
          <w:tcPr>
            <w:tcW w:w="178" w:type="pct"/>
            <w:vMerge w:val="continue"/>
            <w:vAlign w:val="center"/>
          </w:tcPr>
          <w:p>
            <w:pPr>
              <w:jc w:val="center"/>
            </w:pPr>
          </w:p>
        </w:tc>
        <w:tc>
          <w:tcPr>
            <w:tcW w:w="358" w:type="pct"/>
            <w:vMerge w:val="continue"/>
            <w:vAlign w:val="center"/>
          </w:tcPr>
          <w:p>
            <w:pPr>
              <w:jc w:val="center"/>
            </w:pPr>
          </w:p>
        </w:tc>
        <w:tc>
          <w:tcPr>
            <w:tcW w:w="613" w:type="pct"/>
            <w:vMerge w:val="continue"/>
            <w:vAlign w:val="center"/>
          </w:tcPr>
          <w:p>
            <w:pPr>
              <w:wordWrap w:val="0"/>
              <w:topLinePunct/>
              <w:jc w:val="center"/>
            </w:pPr>
          </w:p>
        </w:tc>
        <w:tc>
          <w:tcPr>
            <w:tcW w:w="306" w:type="pct"/>
            <w:vMerge w:val="continue"/>
            <w:vAlign w:val="center"/>
          </w:tcPr>
          <w:p>
            <w:pPr>
              <w:jc w:val="center"/>
            </w:pPr>
          </w:p>
        </w:tc>
        <w:tc>
          <w:tcPr>
            <w:tcW w:w="337" w:type="pct"/>
            <w:vAlign w:val="center"/>
          </w:tcPr>
          <w:p>
            <w:pPr>
              <w:adjustRightInd w:val="0"/>
              <w:snapToGrid w:val="0"/>
              <w:spacing w:line="300" w:lineRule="auto"/>
              <w:jc w:val="center"/>
              <w:rPr>
                <w:kern w:val="0"/>
              </w:rPr>
            </w:pPr>
            <w:r>
              <w:rPr>
                <w:rFonts w:hint="eastAsia"/>
                <w:kern w:val="0"/>
              </w:rPr>
              <w:t>颗粒物</w:t>
            </w:r>
          </w:p>
        </w:tc>
        <w:tc>
          <w:tcPr>
            <w:tcW w:w="398" w:type="pct"/>
            <w:vAlign w:val="center"/>
          </w:tcPr>
          <w:p>
            <w:pPr>
              <w:adjustRightInd w:val="0"/>
              <w:snapToGrid w:val="0"/>
              <w:spacing w:line="300" w:lineRule="auto"/>
              <w:jc w:val="center"/>
              <w:rPr>
                <w:kern w:val="0"/>
              </w:rPr>
            </w:pPr>
            <w:r>
              <w:rPr>
                <w:rFonts w:hint="eastAsia"/>
                <w:kern w:val="0"/>
              </w:rPr>
              <w:t>30</w:t>
            </w:r>
          </w:p>
        </w:tc>
        <w:tc>
          <w:tcPr>
            <w:tcW w:w="398" w:type="pct"/>
            <w:vAlign w:val="center"/>
          </w:tcPr>
          <w:p>
            <w:pPr>
              <w:pStyle w:val="54"/>
              <w:rPr>
                <w:rFonts w:cs="Times New Roman"/>
                <w:b w:val="0"/>
                <w:sz w:val="21"/>
                <w:szCs w:val="21"/>
              </w:rPr>
            </w:pPr>
            <w:r>
              <w:rPr>
                <w:rFonts w:hint="eastAsia" w:cs="Times New Roman"/>
                <w:b w:val="0"/>
                <w:sz w:val="21"/>
                <w:szCs w:val="21"/>
              </w:rPr>
              <w:t>/</w:t>
            </w:r>
          </w:p>
        </w:tc>
        <w:tc>
          <w:tcPr>
            <w:tcW w:w="917" w:type="pct"/>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9" w:type="pct"/>
            <w:gridSpan w:val="2"/>
            <w:vAlign w:val="center"/>
          </w:tcPr>
          <w:p>
            <w:pPr>
              <w:jc w:val="center"/>
            </w:pPr>
            <w:r>
              <w:rPr>
                <w:rFonts w:hint="eastAsia"/>
              </w:rPr>
              <w:t>厂界</w:t>
            </w:r>
          </w:p>
        </w:tc>
        <w:tc>
          <w:tcPr>
            <w:tcW w:w="696" w:type="pct"/>
            <w:vAlign w:val="center"/>
          </w:tcPr>
          <w:p>
            <w:pPr>
              <w:jc w:val="center"/>
            </w:pPr>
            <w:r>
              <w:rPr>
                <w:rFonts w:hint="eastAsia"/>
              </w:rPr>
              <w:t>加强密闭</w:t>
            </w:r>
          </w:p>
        </w:tc>
        <w:tc>
          <w:tcPr>
            <w:tcW w:w="178" w:type="pct"/>
            <w:vAlign w:val="center"/>
          </w:tcPr>
          <w:p>
            <w:pPr>
              <w:jc w:val="center"/>
            </w:pPr>
            <w:r>
              <w:rPr>
                <w:rFonts w:hint="eastAsia"/>
              </w:rPr>
              <w:t>无组织排放</w:t>
            </w:r>
          </w:p>
        </w:tc>
        <w:tc>
          <w:tcPr>
            <w:tcW w:w="1277" w:type="pct"/>
            <w:gridSpan w:val="3"/>
            <w:vAlign w:val="center"/>
          </w:tcPr>
          <w:p>
            <w:pPr>
              <w:jc w:val="center"/>
            </w:pPr>
            <w:r>
              <w:rPr>
                <w:rFonts w:hint="eastAsia"/>
              </w:rPr>
              <w:t>/</w:t>
            </w:r>
          </w:p>
        </w:tc>
        <w:tc>
          <w:tcPr>
            <w:tcW w:w="337" w:type="pct"/>
            <w:vAlign w:val="center"/>
          </w:tcPr>
          <w:p>
            <w:pPr>
              <w:adjustRightInd w:val="0"/>
              <w:snapToGrid w:val="0"/>
              <w:spacing w:line="300" w:lineRule="auto"/>
              <w:jc w:val="center"/>
              <w:rPr>
                <w:kern w:val="0"/>
              </w:rPr>
            </w:pPr>
            <w:r>
              <w:rPr>
                <w:rFonts w:hint="eastAsia"/>
                <w:kern w:val="0"/>
              </w:rPr>
              <w:t>颗粒物</w:t>
            </w:r>
          </w:p>
        </w:tc>
        <w:tc>
          <w:tcPr>
            <w:tcW w:w="398" w:type="pct"/>
            <w:vAlign w:val="center"/>
          </w:tcPr>
          <w:p>
            <w:pPr>
              <w:adjustRightInd w:val="0"/>
              <w:snapToGrid w:val="0"/>
              <w:spacing w:line="300" w:lineRule="auto"/>
              <w:jc w:val="center"/>
              <w:rPr>
                <w:kern w:val="0"/>
              </w:rPr>
            </w:pPr>
            <w:r>
              <w:rPr>
                <w:rFonts w:hint="eastAsia"/>
                <w:kern w:val="0"/>
              </w:rPr>
              <w:t>1.0</w:t>
            </w:r>
          </w:p>
        </w:tc>
        <w:tc>
          <w:tcPr>
            <w:tcW w:w="398" w:type="pct"/>
            <w:vAlign w:val="center"/>
          </w:tcPr>
          <w:p>
            <w:pPr>
              <w:pStyle w:val="54"/>
              <w:rPr>
                <w:rFonts w:cs="Times New Roman"/>
                <w:b w:val="0"/>
                <w:sz w:val="21"/>
                <w:szCs w:val="21"/>
              </w:rPr>
            </w:pPr>
            <w:r>
              <w:rPr>
                <w:rFonts w:hint="eastAsia" w:cs="Times New Roman"/>
                <w:b w:val="0"/>
                <w:sz w:val="21"/>
                <w:szCs w:val="21"/>
              </w:rPr>
              <w:t>/</w:t>
            </w:r>
          </w:p>
        </w:tc>
        <w:tc>
          <w:tcPr>
            <w:tcW w:w="917" w:type="pct"/>
            <w:vAlign w:val="center"/>
          </w:tcPr>
          <w:p>
            <w:pPr>
              <w:jc w:val="center"/>
            </w:pPr>
            <w:r>
              <w:rPr>
                <w:rFonts w:hint="eastAsia"/>
              </w:rPr>
              <w:t>《大气污染物综合排放标准》（GB16297-1996）</w:t>
            </w:r>
          </w:p>
        </w:tc>
      </w:tr>
    </w:tbl>
    <w:p>
      <w:pPr>
        <w:pStyle w:val="3"/>
        <w:rPr>
          <w:rFonts w:ascii="黑体" w:hAnsi="黑体" w:eastAsia="黑体"/>
          <w:b w:val="0"/>
          <w:bCs w:val="0"/>
          <w:color w:val="FF0000"/>
          <w:sz w:val="30"/>
          <w:szCs w:val="30"/>
        </w:rPr>
        <w:sectPr>
          <w:pgSz w:w="16838" w:h="11906" w:orient="landscape"/>
          <w:pgMar w:top="1418" w:right="1588" w:bottom="1418" w:left="1588" w:header="851" w:footer="992" w:gutter="0"/>
          <w:pgNumType w:fmt="numberInDash"/>
          <w:cols w:space="425" w:num="1"/>
          <w:docGrid w:type="lines" w:linePitch="326" w:charSpace="0"/>
        </w:sectPr>
      </w:pPr>
    </w:p>
    <w:p>
      <w:pPr>
        <w:pStyle w:val="3"/>
        <w:jc w:val="center"/>
        <w:rPr>
          <w:rFonts w:ascii="黑体" w:hAnsi="黑体" w:eastAsia="黑体"/>
          <w:b w:val="0"/>
          <w:bCs w:val="0"/>
          <w:sz w:val="30"/>
          <w:szCs w:val="30"/>
        </w:rPr>
      </w:pPr>
      <w:bookmarkStart w:id="7" w:name="_Toc100330849"/>
      <w:r>
        <w:rPr>
          <w:rFonts w:hint="eastAsia" w:ascii="黑体" w:hAnsi="黑体" w:eastAsia="黑体"/>
          <w:b w:val="0"/>
          <w:bCs w:val="0"/>
          <w:sz w:val="30"/>
          <w:szCs w:val="30"/>
        </w:rPr>
        <w:t>本工程废水污染物排放基本情况一览表</w:t>
      </w:r>
      <w:bookmarkEnd w:id="7"/>
    </w:p>
    <w:tbl>
      <w:tblPr>
        <w:tblStyle w:val="18"/>
        <w:tblW w:w="5000" w:type="pct"/>
        <w:tblInd w:w="0" w:type="dxa"/>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583"/>
        <w:gridCol w:w="1416"/>
        <w:gridCol w:w="1134"/>
        <w:gridCol w:w="994"/>
        <w:gridCol w:w="991"/>
        <w:gridCol w:w="1703"/>
        <w:gridCol w:w="1030"/>
        <w:gridCol w:w="1271"/>
        <w:gridCol w:w="816"/>
        <w:gridCol w:w="709"/>
        <w:gridCol w:w="1276"/>
        <w:gridCol w:w="1769"/>
      </w:tblGrid>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c>
          <w:tcPr>
            <w:tcW w:w="213" w:type="pct"/>
            <w:vMerge w:val="restart"/>
            <w:vAlign w:val="center"/>
          </w:tcPr>
          <w:p>
            <w:pPr>
              <w:jc w:val="center"/>
            </w:pPr>
            <w:r>
              <w:t>废水类别</w:t>
            </w:r>
          </w:p>
        </w:tc>
        <w:tc>
          <w:tcPr>
            <w:tcW w:w="517" w:type="pct"/>
            <w:vMerge w:val="restart"/>
            <w:vAlign w:val="center"/>
          </w:tcPr>
          <w:p>
            <w:pPr>
              <w:jc w:val="center"/>
            </w:pPr>
            <w:r>
              <w:rPr>
                <w:rFonts w:hint="eastAsia"/>
              </w:rPr>
              <w:t>产生环节</w:t>
            </w:r>
          </w:p>
        </w:tc>
        <w:tc>
          <w:tcPr>
            <w:tcW w:w="777" w:type="pct"/>
            <w:gridSpan w:val="2"/>
            <w:vAlign w:val="center"/>
          </w:tcPr>
          <w:p>
            <w:pPr>
              <w:jc w:val="center"/>
            </w:pPr>
            <w:r>
              <w:t>污染治理设施</w:t>
            </w:r>
          </w:p>
        </w:tc>
        <w:tc>
          <w:tcPr>
            <w:tcW w:w="362" w:type="pct"/>
            <w:vMerge w:val="restart"/>
            <w:vAlign w:val="center"/>
          </w:tcPr>
          <w:p>
            <w:pPr>
              <w:jc w:val="center"/>
            </w:pPr>
            <w:r>
              <w:t>排放口</w:t>
            </w:r>
          </w:p>
          <w:p>
            <w:pPr>
              <w:jc w:val="center"/>
            </w:pPr>
            <w:r>
              <w:t>编号</w:t>
            </w:r>
          </w:p>
        </w:tc>
        <w:tc>
          <w:tcPr>
            <w:tcW w:w="622" w:type="pct"/>
            <w:vMerge w:val="restart"/>
            <w:vAlign w:val="center"/>
          </w:tcPr>
          <w:p>
            <w:pPr>
              <w:jc w:val="center"/>
            </w:pPr>
            <w:r>
              <w:rPr>
                <w:rFonts w:hint="eastAsia"/>
              </w:rPr>
              <w:t>排放口坐标</w:t>
            </w:r>
          </w:p>
        </w:tc>
        <w:tc>
          <w:tcPr>
            <w:tcW w:w="376" w:type="pct"/>
            <w:vMerge w:val="restart"/>
            <w:vAlign w:val="center"/>
          </w:tcPr>
          <w:p>
            <w:pPr>
              <w:jc w:val="center"/>
            </w:pPr>
            <w:r>
              <w:t>排放</w:t>
            </w:r>
            <w:r>
              <w:rPr>
                <w:rFonts w:hint="eastAsia"/>
              </w:rPr>
              <w:t>方式</w:t>
            </w:r>
          </w:p>
        </w:tc>
        <w:tc>
          <w:tcPr>
            <w:tcW w:w="464" w:type="pct"/>
            <w:vMerge w:val="restart"/>
            <w:vAlign w:val="center"/>
          </w:tcPr>
          <w:p>
            <w:pPr>
              <w:jc w:val="center"/>
            </w:pPr>
            <w:r>
              <w:t>排放去向</w:t>
            </w:r>
          </w:p>
        </w:tc>
        <w:tc>
          <w:tcPr>
            <w:tcW w:w="298" w:type="pct"/>
            <w:vMerge w:val="restart"/>
            <w:vAlign w:val="center"/>
          </w:tcPr>
          <w:p>
            <w:pPr>
              <w:jc w:val="center"/>
            </w:pPr>
            <w:r>
              <w:rPr>
                <w:rFonts w:hint="eastAsia"/>
              </w:rPr>
              <w:t>排放口</w:t>
            </w:r>
          </w:p>
          <w:p>
            <w:pPr>
              <w:jc w:val="center"/>
            </w:pPr>
            <w:r>
              <w:rPr>
                <w:rFonts w:hint="eastAsia"/>
              </w:rPr>
              <w:t>类型</w:t>
            </w:r>
          </w:p>
        </w:tc>
        <w:tc>
          <w:tcPr>
            <w:tcW w:w="259" w:type="pct"/>
            <w:vMerge w:val="restart"/>
            <w:vAlign w:val="center"/>
          </w:tcPr>
          <w:p>
            <w:pPr>
              <w:jc w:val="center"/>
            </w:pPr>
            <w:r>
              <w:t>污染物种类</w:t>
            </w:r>
          </w:p>
        </w:tc>
        <w:tc>
          <w:tcPr>
            <w:tcW w:w="466" w:type="pct"/>
            <w:vMerge w:val="restart"/>
            <w:vAlign w:val="center"/>
          </w:tcPr>
          <w:p>
            <w:pPr>
              <w:jc w:val="center"/>
            </w:pPr>
            <w:r>
              <w:t>排放</w:t>
            </w:r>
            <w:r>
              <w:rPr>
                <w:rFonts w:hint="eastAsia"/>
              </w:rPr>
              <w:t>浓度限值</w:t>
            </w:r>
            <w:r>
              <w:t>（mg/</w:t>
            </w:r>
            <w:r>
              <w:rPr>
                <w:rFonts w:hint="eastAsia"/>
              </w:rPr>
              <w:t>L</w:t>
            </w:r>
            <w:r>
              <w:t>）</w:t>
            </w:r>
          </w:p>
        </w:tc>
        <w:tc>
          <w:tcPr>
            <w:tcW w:w="646" w:type="pct"/>
            <w:vMerge w:val="restart"/>
            <w:vAlign w:val="center"/>
          </w:tcPr>
          <w:p>
            <w:pPr>
              <w:jc w:val="center"/>
            </w:pPr>
            <w:r>
              <w:rPr>
                <w:rFonts w:hint="eastAsia"/>
              </w:rPr>
              <w:t>执行标准</w:t>
            </w: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c>
          <w:tcPr>
            <w:tcW w:w="213" w:type="pct"/>
            <w:vMerge w:val="continue"/>
            <w:vAlign w:val="center"/>
          </w:tcPr>
          <w:p>
            <w:pPr>
              <w:jc w:val="center"/>
            </w:pPr>
          </w:p>
        </w:tc>
        <w:tc>
          <w:tcPr>
            <w:tcW w:w="517" w:type="pct"/>
            <w:vMerge w:val="continue"/>
            <w:vAlign w:val="center"/>
          </w:tcPr>
          <w:p>
            <w:pPr>
              <w:jc w:val="center"/>
            </w:pPr>
          </w:p>
        </w:tc>
        <w:tc>
          <w:tcPr>
            <w:tcW w:w="414" w:type="pct"/>
            <w:vAlign w:val="center"/>
          </w:tcPr>
          <w:p>
            <w:pPr>
              <w:jc w:val="center"/>
            </w:pPr>
            <w:r>
              <w:t>污染治理设施名称</w:t>
            </w:r>
          </w:p>
        </w:tc>
        <w:tc>
          <w:tcPr>
            <w:tcW w:w="363" w:type="pct"/>
            <w:vAlign w:val="center"/>
          </w:tcPr>
          <w:p>
            <w:pPr>
              <w:jc w:val="center"/>
            </w:pPr>
            <w:r>
              <w:t>污染治理设施工艺</w:t>
            </w:r>
          </w:p>
        </w:tc>
        <w:tc>
          <w:tcPr>
            <w:tcW w:w="362" w:type="pct"/>
            <w:vMerge w:val="continue"/>
            <w:vAlign w:val="center"/>
          </w:tcPr>
          <w:p>
            <w:pPr>
              <w:jc w:val="center"/>
            </w:pPr>
          </w:p>
        </w:tc>
        <w:tc>
          <w:tcPr>
            <w:tcW w:w="622" w:type="pct"/>
            <w:vMerge w:val="continue"/>
            <w:vAlign w:val="center"/>
          </w:tcPr>
          <w:p>
            <w:pPr>
              <w:jc w:val="center"/>
            </w:pPr>
          </w:p>
        </w:tc>
        <w:tc>
          <w:tcPr>
            <w:tcW w:w="376" w:type="pct"/>
            <w:vMerge w:val="continue"/>
            <w:vAlign w:val="center"/>
          </w:tcPr>
          <w:p>
            <w:pPr>
              <w:jc w:val="center"/>
            </w:pPr>
          </w:p>
        </w:tc>
        <w:tc>
          <w:tcPr>
            <w:tcW w:w="464" w:type="pct"/>
            <w:vMerge w:val="continue"/>
            <w:vAlign w:val="center"/>
          </w:tcPr>
          <w:p>
            <w:pPr>
              <w:jc w:val="center"/>
            </w:pPr>
          </w:p>
        </w:tc>
        <w:tc>
          <w:tcPr>
            <w:tcW w:w="298" w:type="pct"/>
            <w:vMerge w:val="continue"/>
            <w:vAlign w:val="center"/>
          </w:tcPr>
          <w:p>
            <w:pPr>
              <w:jc w:val="center"/>
            </w:pPr>
          </w:p>
        </w:tc>
        <w:tc>
          <w:tcPr>
            <w:tcW w:w="259" w:type="pct"/>
            <w:vMerge w:val="continue"/>
            <w:vAlign w:val="center"/>
          </w:tcPr>
          <w:p>
            <w:pPr>
              <w:jc w:val="center"/>
            </w:pPr>
          </w:p>
        </w:tc>
        <w:tc>
          <w:tcPr>
            <w:tcW w:w="466" w:type="pct"/>
            <w:vMerge w:val="continue"/>
            <w:vAlign w:val="center"/>
          </w:tcPr>
          <w:p>
            <w:pPr>
              <w:jc w:val="center"/>
            </w:pPr>
          </w:p>
        </w:tc>
        <w:tc>
          <w:tcPr>
            <w:tcW w:w="646" w:type="pct"/>
            <w:vMerge w:val="continue"/>
            <w:vAlign w:val="center"/>
          </w:tcPr>
          <w:p>
            <w:pPr>
              <w:jc w:val="cente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c>
          <w:tcPr>
            <w:tcW w:w="213" w:type="pct"/>
            <w:vMerge w:val="restart"/>
            <w:vAlign w:val="center"/>
          </w:tcPr>
          <w:p>
            <w:pPr>
              <w:jc w:val="center"/>
            </w:pPr>
            <w:r>
              <w:t>生产废水</w:t>
            </w:r>
          </w:p>
        </w:tc>
        <w:tc>
          <w:tcPr>
            <w:tcW w:w="517" w:type="pct"/>
            <w:vMerge w:val="restart"/>
            <w:vAlign w:val="center"/>
          </w:tcPr>
          <w:p>
            <w:pPr>
              <w:jc w:val="center"/>
            </w:pPr>
            <w:r>
              <w:t>原料清洗浸泡、废气处理</w:t>
            </w:r>
          </w:p>
        </w:tc>
        <w:tc>
          <w:tcPr>
            <w:tcW w:w="414" w:type="pct"/>
            <w:vMerge w:val="restart"/>
            <w:vAlign w:val="center"/>
          </w:tcPr>
          <w:p>
            <w:pPr>
              <w:wordWrap w:val="0"/>
              <w:topLinePunct/>
              <w:jc w:val="center"/>
            </w:pPr>
            <w:r>
              <w:rPr>
                <w:rFonts w:hint="eastAsia"/>
              </w:rPr>
              <w:t>生产废水治理设施</w:t>
            </w:r>
          </w:p>
        </w:tc>
        <w:tc>
          <w:tcPr>
            <w:tcW w:w="363" w:type="pct"/>
            <w:vMerge w:val="restart"/>
            <w:vAlign w:val="center"/>
          </w:tcPr>
          <w:p>
            <w:pPr>
              <w:wordWrap w:val="0"/>
              <w:topLinePunct/>
              <w:jc w:val="center"/>
            </w:pPr>
            <w:r>
              <w:rPr>
                <w:rFonts w:hint="eastAsia"/>
              </w:rPr>
              <w:t>隔油、沉淀</w:t>
            </w:r>
          </w:p>
        </w:tc>
        <w:tc>
          <w:tcPr>
            <w:tcW w:w="362" w:type="pct"/>
            <w:vMerge w:val="restart"/>
            <w:vAlign w:val="center"/>
          </w:tcPr>
          <w:p>
            <w:pPr>
              <w:jc w:val="center"/>
            </w:pPr>
            <w:r>
              <w:rPr>
                <w:rFonts w:hint="eastAsia"/>
              </w:rPr>
              <w:t>DW001</w:t>
            </w:r>
          </w:p>
        </w:tc>
        <w:tc>
          <w:tcPr>
            <w:tcW w:w="622" w:type="pct"/>
            <w:vMerge w:val="restart"/>
            <w:vAlign w:val="center"/>
          </w:tcPr>
          <w:p>
            <w:pPr>
              <w:spacing w:line="360" w:lineRule="auto"/>
              <w:jc w:val="center"/>
            </w:pPr>
            <w:r>
              <w:t>111</w:t>
            </w:r>
            <w:r>
              <w:rPr>
                <w:rFonts w:hint="eastAsia"/>
              </w:rPr>
              <w:t>.702784</w:t>
            </w:r>
            <w:r>
              <w:t>E</w:t>
            </w:r>
          </w:p>
          <w:p>
            <w:pPr>
              <w:jc w:val="center"/>
            </w:pPr>
            <w:r>
              <w:t>2</w:t>
            </w:r>
            <w:r>
              <w:rPr>
                <w:rFonts w:hint="eastAsia"/>
              </w:rPr>
              <w:t>8.900335N</w:t>
            </w:r>
          </w:p>
        </w:tc>
        <w:tc>
          <w:tcPr>
            <w:tcW w:w="376" w:type="pct"/>
            <w:vMerge w:val="restart"/>
            <w:vAlign w:val="center"/>
          </w:tcPr>
          <w:p>
            <w:pPr>
              <w:jc w:val="center"/>
            </w:pPr>
            <w:r>
              <w:rPr>
                <w:rFonts w:hint="eastAsia"/>
              </w:rPr>
              <w:t>间接排放</w:t>
            </w:r>
          </w:p>
        </w:tc>
        <w:tc>
          <w:tcPr>
            <w:tcW w:w="464" w:type="pct"/>
            <w:vMerge w:val="restart"/>
            <w:vAlign w:val="center"/>
          </w:tcPr>
          <w:p>
            <w:pPr>
              <w:jc w:val="center"/>
            </w:pPr>
            <w:r>
              <w:rPr>
                <w:rFonts w:hint="eastAsia"/>
              </w:rPr>
              <w:t>德山污水处理厂</w:t>
            </w:r>
          </w:p>
        </w:tc>
        <w:tc>
          <w:tcPr>
            <w:tcW w:w="298" w:type="pct"/>
            <w:vMerge w:val="restart"/>
            <w:vAlign w:val="center"/>
          </w:tcPr>
          <w:p>
            <w:pPr>
              <w:jc w:val="center"/>
            </w:pPr>
            <w:r>
              <w:rPr>
                <w:rFonts w:hint="eastAsia"/>
              </w:rPr>
              <w:t>一般排放口</w:t>
            </w:r>
          </w:p>
        </w:tc>
        <w:tc>
          <w:tcPr>
            <w:tcW w:w="259" w:type="pct"/>
            <w:vAlign w:val="center"/>
          </w:tcPr>
          <w:p>
            <w:pPr>
              <w:jc w:val="center"/>
            </w:pPr>
            <w:r>
              <w:rPr>
                <w:rFonts w:hint="eastAsia"/>
              </w:rPr>
              <w:t>pH值</w:t>
            </w:r>
          </w:p>
        </w:tc>
        <w:tc>
          <w:tcPr>
            <w:tcW w:w="466" w:type="pct"/>
            <w:vAlign w:val="center"/>
          </w:tcPr>
          <w:p>
            <w:pPr>
              <w:jc w:val="center"/>
            </w:pPr>
            <w:r>
              <w:rPr>
                <w:rFonts w:hint="eastAsia"/>
              </w:rPr>
              <w:t>6-9（无量纲）</w:t>
            </w:r>
          </w:p>
        </w:tc>
        <w:tc>
          <w:tcPr>
            <w:tcW w:w="646" w:type="pct"/>
            <w:vMerge w:val="restart"/>
          </w:tcPr>
          <w:p>
            <w:pPr>
              <w:jc w:val="center"/>
            </w:pPr>
            <w:r>
              <w:rPr>
                <w:rFonts w:hint="eastAsia"/>
              </w:rPr>
              <w:t>《污水综合排放标准》（GB8978-1996）三级标准及德山污水处理厂的进水水质要求</w:t>
            </w: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c>
          <w:tcPr>
            <w:tcW w:w="213" w:type="pct"/>
            <w:vMerge w:val="continue"/>
            <w:vAlign w:val="center"/>
          </w:tcPr>
          <w:p>
            <w:pPr>
              <w:jc w:val="center"/>
            </w:pPr>
          </w:p>
        </w:tc>
        <w:tc>
          <w:tcPr>
            <w:tcW w:w="517" w:type="pct"/>
            <w:vMerge w:val="continue"/>
            <w:vAlign w:val="center"/>
          </w:tcPr>
          <w:p>
            <w:pPr>
              <w:jc w:val="center"/>
            </w:pPr>
          </w:p>
        </w:tc>
        <w:tc>
          <w:tcPr>
            <w:tcW w:w="414" w:type="pct"/>
            <w:vMerge w:val="continue"/>
            <w:vAlign w:val="center"/>
          </w:tcPr>
          <w:p>
            <w:pPr>
              <w:jc w:val="center"/>
            </w:pPr>
          </w:p>
        </w:tc>
        <w:tc>
          <w:tcPr>
            <w:tcW w:w="363" w:type="pct"/>
            <w:vMerge w:val="continue"/>
            <w:vAlign w:val="center"/>
          </w:tcPr>
          <w:p>
            <w:pPr>
              <w:jc w:val="center"/>
            </w:pPr>
          </w:p>
        </w:tc>
        <w:tc>
          <w:tcPr>
            <w:tcW w:w="362" w:type="pct"/>
            <w:vMerge w:val="continue"/>
            <w:vAlign w:val="center"/>
          </w:tcPr>
          <w:p>
            <w:pPr>
              <w:jc w:val="center"/>
            </w:pPr>
          </w:p>
        </w:tc>
        <w:tc>
          <w:tcPr>
            <w:tcW w:w="622" w:type="pct"/>
            <w:vMerge w:val="continue"/>
            <w:vAlign w:val="center"/>
          </w:tcPr>
          <w:p>
            <w:pPr>
              <w:jc w:val="center"/>
            </w:pPr>
          </w:p>
        </w:tc>
        <w:tc>
          <w:tcPr>
            <w:tcW w:w="376" w:type="pct"/>
            <w:vMerge w:val="continue"/>
            <w:vAlign w:val="center"/>
          </w:tcPr>
          <w:p>
            <w:pPr>
              <w:jc w:val="center"/>
            </w:pPr>
          </w:p>
        </w:tc>
        <w:tc>
          <w:tcPr>
            <w:tcW w:w="464" w:type="pct"/>
            <w:vMerge w:val="continue"/>
            <w:vAlign w:val="center"/>
          </w:tcPr>
          <w:p>
            <w:pPr>
              <w:jc w:val="center"/>
            </w:pPr>
          </w:p>
        </w:tc>
        <w:tc>
          <w:tcPr>
            <w:tcW w:w="298" w:type="pct"/>
            <w:vMerge w:val="continue"/>
            <w:vAlign w:val="center"/>
          </w:tcPr>
          <w:p>
            <w:pPr>
              <w:jc w:val="center"/>
            </w:pPr>
          </w:p>
        </w:tc>
        <w:tc>
          <w:tcPr>
            <w:tcW w:w="259" w:type="pct"/>
            <w:vAlign w:val="center"/>
          </w:tcPr>
          <w:p>
            <w:pPr>
              <w:jc w:val="center"/>
            </w:pPr>
            <w:r>
              <w:rPr>
                <w:rFonts w:hint="eastAsia"/>
              </w:rPr>
              <w:t>COD</w:t>
            </w:r>
          </w:p>
        </w:tc>
        <w:tc>
          <w:tcPr>
            <w:tcW w:w="466" w:type="pct"/>
            <w:vAlign w:val="center"/>
          </w:tcPr>
          <w:p>
            <w:pPr>
              <w:jc w:val="center"/>
            </w:pPr>
            <w:r>
              <w:rPr>
                <w:rFonts w:hint="eastAsia"/>
              </w:rPr>
              <w:t>400</w:t>
            </w:r>
          </w:p>
        </w:tc>
        <w:tc>
          <w:tcPr>
            <w:tcW w:w="646" w:type="pct"/>
            <w:vMerge w:val="continue"/>
          </w:tcPr>
          <w:p>
            <w:pPr>
              <w:jc w:val="cente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c>
          <w:tcPr>
            <w:tcW w:w="213" w:type="pct"/>
            <w:vMerge w:val="continue"/>
            <w:vAlign w:val="center"/>
          </w:tcPr>
          <w:p>
            <w:pPr>
              <w:jc w:val="center"/>
            </w:pPr>
          </w:p>
        </w:tc>
        <w:tc>
          <w:tcPr>
            <w:tcW w:w="517" w:type="pct"/>
            <w:vMerge w:val="continue"/>
            <w:vAlign w:val="center"/>
          </w:tcPr>
          <w:p>
            <w:pPr>
              <w:jc w:val="center"/>
            </w:pPr>
          </w:p>
        </w:tc>
        <w:tc>
          <w:tcPr>
            <w:tcW w:w="414" w:type="pct"/>
            <w:vMerge w:val="continue"/>
            <w:vAlign w:val="center"/>
          </w:tcPr>
          <w:p>
            <w:pPr>
              <w:jc w:val="center"/>
            </w:pPr>
          </w:p>
        </w:tc>
        <w:tc>
          <w:tcPr>
            <w:tcW w:w="363" w:type="pct"/>
            <w:vMerge w:val="continue"/>
            <w:vAlign w:val="center"/>
          </w:tcPr>
          <w:p>
            <w:pPr>
              <w:jc w:val="center"/>
            </w:pPr>
          </w:p>
        </w:tc>
        <w:tc>
          <w:tcPr>
            <w:tcW w:w="362" w:type="pct"/>
            <w:vMerge w:val="continue"/>
            <w:vAlign w:val="center"/>
          </w:tcPr>
          <w:p>
            <w:pPr>
              <w:jc w:val="center"/>
            </w:pPr>
          </w:p>
        </w:tc>
        <w:tc>
          <w:tcPr>
            <w:tcW w:w="622" w:type="pct"/>
            <w:vMerge w:val="continue"/>
            <w:vAlign w:val="center"/>
          </w:tcPr>
          <w:p>
            <w:pPr>
              <w:jc w:val="center"/>
            </w:pPr>
          </w:p>
        </w:tc>
        <w:tc>
          <w:tcPr>
            <w:tcW w:w="376" w:type="pct"/>
            <w:vMerge w:val="continue"/>
            <w:vAlign w:val="center"/>
          </w:tcPr>
          <w:p>
            <w:pPr>
              <w:jc w:val="center"/>
            </w:pPr>
          </w:p>
        </w:tc>
        <w:tc>
          <w:tcPr>
            <w:tcW w:w="464" w:type="pct"/>
            <w:vMerge w:val="continue"/>
            <w:vAlign w:val="center"/>
          </w:tcPr>
          <w:p>
            <w:pPr>
              <w:jc w:val="center"/>
            </w:pPr>
          </w:p>
        </w:tc>
        <w:tc>
          <w:tcPr>
            <w:tcW w:w="298" w:type="pct"/>
            <w:vMerge w:val="continue"/>
            <w:vAlign w:val="center"/>
          </w:tcPr>
          <w:p>
            <w:pPr>
              <w:jc w:val="center"/>
            </w:pPr>
          </w:p>
        </w:tc>
        <w:tc>
          <w:tcPr>
            <w:tcW w:w="259" w:type="pct"/>
            <w:vAlign w:val="center"/>
          </w:tcPr>
          <w:p>
            <w:pPr>
              <w:jc w:val="center"/>
            </w:pPr>
            <w:r>
              <w:rPr>
                <w:rFonts w:hint="eastAsia"/>
              </w:rPr>
              <w:t>BOD</w:t>
            </w:r>
          </w:p>
        </w:tc>
        <w:tc>
          <w:tcPr>
            <w:tcW w:w="466" w:type="pct"/>
            <w:vAlign w:val="center"/>
          </w:tcPr>
          <w:p>
            <w:pPr>
              <w:jc w:val="center"/>
            </w:pPr>
            <w:r>
              <w:rPr>
                <w:rFonts w:hint="eastAsia"/>
              </w:rPr>
              <w:t>250</w:t>
            </w:r>
          </w:p>
        </w:tc>
        <w:tc>
          <w:tcPr>
            <w:tcW w:w="646" w:type="pct"/>
            <w:vMerge w:val="continue"/>
          </w:tcPr>
          <w:p>
            <w:pPr>
              <w:jc w:val="cente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c>
          <w:tcPr>
            <w:tcW w:w="213" w:type="pct"/>
            <w:vMerge w:val="continue"/>
            <w:vAlign w:val="center"/>
          </w:tcPr>
          <w:p>
            <w:pPr>
              <w:jc w:val="center"/>
            </w:pPr>
          </w:p>
        </w:tc>
        <w:tc>
          <w:tcPr>
            <w:tcW w:w="517" w:type="pct"/>
            <w:vMerge w:val="continue"/>
            <w:vAlign w:val="center"/>
          </w:tcPr>
          <w:p>
            <w:pPr>
              <w:jc w:val="center"/>
            </w:pPr>
          </w:p>
        </w:tc>
        <w:tc>
          <w:tcPr>
            <w:tcW w:w="414" w:type="pct"/>
            <w:vMerge w:val="continue"/>
            <w:vAlign w:val="center"/>
          </w:tcPr>
          <w:p>
            <w:pPr>
              <w:jc w:val="center"/>
            </w:pPr>
          </w:p>
        </w:tc>
        <w:tc>
          <w:tcPr>
            <w:tcW w:w="363" w:type="pct"/>
            <w:vMerge w:val="continue"/>
            <w:vAlign w:val="center"/>
          </w:tcPr>
          <w:p>
            <w:pPr>
              <w:jc w:val="center"/>
            </w:pPr>
          </w:p>
        </w:tc>
        <w:tc>
          <w:tcPr>
            <w:tcW w:w="362" w:type="pct"/>
            <w:vMerge w:val="continue"/>
            <w:vAlign w:val="center"/>
          </w:tcPr>
          <w:p>
            <w:pPr>
              <w:jc w:val="center"/>
            </w:pPr>
          </w:p>
        </w:tc>
        <w:tc>
          <w:tcPr>
            <w:tcW w:w="622" w:type="pct"/>
            <w:vMerge w:val="continue"/>
            <w:vAlign w:val="center"/>
          </w:tcPr>
          <w:p>
            <w:pPr>
              <w:jc w:val="center"/>
            </w:pPr>
          </w:p>
        </w:tc>
        <w:tc>
          <w:tcPr>
            <w:tcW w:w="376" w:type="pct"/>
            <w:vMerge w:val="continue"/>
            <w:vAlign w:val="center"/>
          </w:tcPr>
          <w:p>
            <w:pPr>
              <w:jc w:val="center"/>
            </w:pPr>
          </w:p>
        </w:tc>
        <w:tc>
          <w:tcPr>
            <w:tcW w:w="464" w:type="pct"/>
            <w:vMerge w:val="continue"/>
            <w:vAlign w:val="center"/>
          </w:tcPr>
          <w:p>
            <w:pPr>
              <w:jc w:val="center"/>
            </w:pPr>
          </w:p>
        </w:tc>
        <w:tc>
          <w:tcPr>
            <w:tcW w:w="298" w:type="pct"/>
            <w:vMerge w:val="continue"/>
            <w:vAlign w:val="center"/>
          </w:tcPr>
          <w:p>
            <w:pPr>
              <w:jc w:val="center"/>
            </w:pPr>
          </w:p>
        </w:tc>
        <w:tc>
          <w:tcPr>
            <w:tcW w:w="259" w:type="pct"/>
            <w:vAlign w:val="center"/>
          </w:tcPr>
          <w:p>
            <w:pPr>
              <w:jc w:val="center"/>
            </w:pPr>
            <w:r>
              <w:rPr>
                <w:rFonts w:hint="eastAsia"/>
              </w:rPr>
              <w:t>SS</w:t>
            </w:r>
          </w:p>
        </w:tc>
        <w:tc>
          <w:tcPr>
            <w:tcW w:w="466" w:type="pct"/>
            <w:vAlign w:val="center"/>
          </w:tcPr>
          <w:p>
            <w:pPr>
              <w:jc w:val="center"/>
            </w:pPr>
            <w:r>
              <w:rPr>
                <w:rFonts w:hint="eastAsia"/>
              </w:rPr>
              <w:t>300</w:t>
            </w:r>
          </w:p>
        </w:tc>
        <w:tc>
          <w:tcPr>
            <w:tcW w:w="646" w:type="pct"/>
            <w:vMerge w:val="continue"/>
          </w:tcPr>
          <w:p>
            <w:pPr>
              <w:jc w:val="cente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c>
          <w:tcPr>
            <w:tcW w:w="213" w:type="pct"/>
            <w:vMerge w:val="continue"/>
            <w:vAlign w:val="center"/>
          </w:tcPr>
          <w:p>
            <w:pPr>
              <w:jc w:val="center"/>
            </w:pPr>
          </w:p>
        </w:tc>
        <w:tc>
          <w:tcPr>
            <w:tcW w:w="517" w:type="pct"/>
            <w:vMerge w:val="continue"/>
            <w:vAlign w:val="center"/>
          </w:tcPr>
          <w:p>
            <w:pPr>
              <w:jc w:val="center"/>
            </w:pPr>
          </w:p>
        </w:tc>
        <w:tc>
          <w:tcPr>
            <w:tcW w:w="414" w:type="pct"/>
            <w:vMerge w:val="continue"/>
            <w:vAlign w:val="center"/>
          </w:tcPr>
          <w:p>
            <w:pPr>
              <w:jc w:val="center"/>
            </w:pPr>
          </w:p>
        </w:tc>
        <w:tc>
          <w:tcPr>
            <w:tcW w:w="363" w:type="pct"/>
            <w:vMerge w:val="continue"/>
            <w:vAlign w:val="center"/>
          </w:tcPr>
          <w:p>
            <w:pPr>
              <w:jc w:val="center"/>
            </w:pPr>
          </w:p>
        </w:tc>
        <w:tc>
          <w:tcPr>
            <w:tcW w:w="362" w:type="pct"/>
            <w:vMerge w:val="continue"/>
            <w:vAlign w:val="center"/>
          </w:tcPr>
          <w:p>
            <w:pPr>
              <w:jc w:val="center"/>
            </w:pPr>
          </w:p>
        </w:tc>
        <w:tc>
          <w:tcPr>
            <w:tcW w:w="622" w:type="pct"/>
            <w:vMerge w:val="continue"/>
            <w:vAlign w:val="center"/>
          </w:tcPr>
          <w:p>
            <w:pPr>
              <w:jc w:val="center"/>
            </w:pPr>
          </w:p>
        </w:tc>
        <w:tc>
          <w:tcPr>
            <w:tcW w:w="376" w:type="pct"/>
            <w:vMerge w:val="continue"/>
            <w:vAlign w:val="center"/>
          </w:tcPr>
          <w:p>
            <w:pPr>
              <w:jc w:val="center"/>
            </w:pPr>
          </w:p>
        </w:tc>
        <w:tc>
          <w:tcPr>
            <w:tcW w:w="464" w:type="pct"/>
            <w:vMerge w:val="continue"/>
            <w:vAlign w:val="center"/>
          </w:tcPr>
          <w:p>
            <w:pPr>
              <w:jc w:val="center"/>
            </w:pPr>
          </w:p>
        </w:tc>
        <w:tc>
          <w:tcPr>
            <w:tcW w:w="298" w:type="pct"/>
            <w:vMerge w:val="continue"/>
            <w:vAlign w:val="center"/>
          </w:tcPr>
          <w:p>
            <w:pPr>
              <w:jc w:val="center"/>
            </w:pPr>
          </w:p>
        </w:tc>
        <w:tc>
          <w:tcPr>
            <w:tcW w:w="259" w:type="pct"/>
            <w:vAlign w:val="center"/>
          </w:tcPr>
          <w:p>
            <w:pPr>
              <w:jc w:val="center"/>
            </w:pPr>
            <w:r>
              <w:rPr>
                <w:rFonts w:hint="eastAsia"/>
              </w:rPr>
              <w:t>氨氮</w:t>
            </w:r>
          </w:p>
        </w:tc>
        <w:tc>
          <w:tcPr>
            <w:tcW w:w="466" w:type="pct"/>
            <w:vAlign w:val="center"/>
          </w:tcPr>
          <w:p>
            <w:pPr>
              <w:jc w:val="center"/>
            </w:pPr>
            <w:r>
              <w:rPr>
                <w:rFonts w:hint="eastAsia"/>
              </w:rPr>
              <w:t>25</w:t>
            </w:r>
          </w:p>
        </w:tc>
        <w:tc>
          <w:tcPr>
            <w:tcW w:w="646" w:type="pct"/>
            <w:vMerge w:val="continue"/>
          </w:tcPr>
          <w:p>
            <w:pPr>
              <w:jc w:val="cente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c>
          <w:tcPr>
            <w:tcW w:w="213" w:type="pct"/>
            <w:vMerge w:val="continue"/>
            <w:vAlign w:val="center"/>
          </w:tcPr>
          <w:p>
            <w:pPr>
              <w:jc w:val="center"/>
            </w:pPr>
          </w:p>
        </w:tc>
        <w:tc>
          <w:tcPr>
            <w:tcW w:w="517" w:type="pct"/>
            <w:vMerge w:val="continue"/>
            <w:vAlign w:val="center"/>
          </w:tcPr>
          <w:p>
            <w:pPr>
              <w:jc w:val="center"/>
            </w:pPr>
          </w:p>
        </w:tc>
        <w:tc>
          <w:tcPr>
            <w:tcW w:w="414" w:type="pct"/>
            <w:vMerge w:val="continue"/>
            <w:vAlign w:val="center"/>
          </w:tcPr>
          <w:p>
            <w:pPr>
              <w:jc w:val="center"/>
            </w:pPr>
          </w:p>
        </w:tc>
        <w:tc>
          <w:tcPr>
            <w:tcW w:w="363" w:type="pct"/>
            <w:vMerge w:val="continue"/>
            <w:vAlign w:val="center"/>
          </w:tcPr>
          <w:p>
            <w:pPr>
              <w:jc w:val="center"/>
            </w:pPr>
          </w:p>
        </w:tc>
        <w:tc>
          <w:tcPr>
            <w:tcW w:w="362" w:type="pct"/>
            <w:vMerge w:val="continue"/>
            <w:vAlign w:val="center"/>
          </w:tcPr>
          <w:p>
            <w:pPr>
              <w:jc w:val="center"/>
            </w:pPr>
          </w:p>
        </w:tc>
        <w:tc>
          <w:tcPr>
            <w:tcW w:w="622" w:type="pct"/>
            <w:vMerge w:val="continue"/>
            <w:vAlign w:val="center"/>
          </w:tcPr>
          <w:p>
            <w:pPr>
              <w:jc w:val="center"/>
            </w:pPr>
          </w:p>
        </w:tc>
        <w:tc>
          <w:tcPr>
            <w:tcW w:w="376" w:type="pct"/>
            <w:vMerge w:val="continue"/>
            <w:vAlign w:val="center"/>
          </w:tcPr>
          <w:p>
            <w:pPr>
              <w:jc w:val="center"/>
            </w:pPr>
          </w:p>
        </w:tc>
        <w:tc>
          <w:tcPr>
            <w:tcW w:w="464" w:type="pct"/>
            <w:vMerge w:val="continue"/>
            <w:vAlign w:val="center"/>
          </w:tcPr>
          <w:p>
            <w:pPr>
              <w:jc w:val="center"/>
            </w:pPr>
          </w:p>
        </w:tc>
        <w:tc>
          <w:tcPr>
            <w:tcW w:w="298" w:type="pct"/>
            <w:vMerge w:val="continue"/>
            <w:vAlign w:val="center"/>
          </w:tcPr>
          <w:p>
            <w:pPr>
              <w:jc w:val="center"/>
            </w:pPr>
          </w:p>
        </w:tc>
        <w:tc>
          <w:tcPr>
            <w:tcW w:w="259" w:type="pct"/>
            <w:vAlign w:val="center"/>
          </w:tcPr>
          <w:p>
            <w:pPr>
              <w:jc w:val="center"/>
            </w:pPr>
            <w:r>
              <w:t>石油类</w:t>
            </w:r>
          </w:p>
        </w:tc>
        <w:tc>
          <w:tcPr>
            <w:tcW w:w="466" w:type="pct"/>
            <w:vAlign w:val="center"/>
          </w:tcPr>
          <w:p>
            <w:pPr>
              <w:jc w:val="center"/>
            </w:pPr>
            <w:r>
              <w:rPr>
                <w:rFonts w:hint="eastAsia"/>
              </w:rPr>
              <w:t>20</w:t>
            </w:r>
          </w:p>
        </w:tc>
        <w:tc>
          <w:tcPr>
            <w:tcW w:w="646" w:type="pct"/>
            <w:vMerge w:val="continue"/>
          </w:tcPr>
          <w:p>
            <w:pPr>
              <w:jc w:val="cente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c>
          <w:tcPr>
            <w:tcW w:w="213" w:type="pct"/>
            <w:vMerge w:val="restart"/>
            <w:vAlign w:val="center"/>
          </w:tcPr>
          <w:p>
            <w:pPr>
              <w:jc w:val="center"/>
            </w:pPr>
            <w:r>
              <w:t>生活污水</w:t>
            </w:r>
          </w:p>
        </w:tc>
        <w:tc>
          <w:tcPr>
            <w:tcW w:w="517" w:type="pct"/>
            <w:vMerge w:val="restart"/>
            <w:vAlign w:val="center"/>
          </w:tcPr>
          <w:p>
            <w:pPr>
              <w:jc w:val="center"/>
            </w:pPr>
            <w:r>
              <w:rPr>
                <w:rFonts w:hint="eastAsia"/>
              </w:rPr>
              <w:t>员工办公</w:t>
            </w:r>
          </w:p>
        </w:tc>
        <w:tc>
          <w:tcPr>
            <w:tcW w:w="414" w:type="pct"/>
            <w:vMerge w:val="restart"/>
            <w:vAlign w:val="center"/>
          </w:tcPr>
          <w:p>
            <w:pPr>
              <w:wordWrap w:val="0"/>
              <w:topLinePunct/>
              <w:jc w:val="center"/>
            </w:pPr>
            <w:r>
              <w:rPr>
                <w:rFonts w:hint="eastAsia"/>
              </w:rPr>
              <w:t>生活污水治理设施</w:t>
            </w:r>
          </w:p>
        </w:tc>
        <w:tc>
          <w:tcPr>
            <w:tcW w:w="363" w:type="pct"/>
            <w:vMerge w:val="restart"/>
            <w:vAlign w:val="center"/>
          </w:tcPr>
          <w:p>
            <w:pPr>
              <w:wordWrap w:val="0"/>
              <w:topLinePunct/>
              <w:jc w:val="center"/>
            </w:pPr>
            <w:r>
              <w:rPr>
                <w:rFonts w:hint="eastAsia"/>
              </w:rPr>
              <w:t>化粪池</w:t>
            </w:r>
          </w:p>
        </w:tc>
        <w:tc>
          <w:tcPr>
            <w:tcW w:w="362" w:type="pct"/>
            <w:vMerge w:val="restart"/>
            <w:vAlign w:val="center"/>
          </w:tcPr>
          <w:p>
            <w:pPr>
              <w:jc w:val="center"/>
            </w:pPr>
            <w:r>
              <w:rPr>
                <w:rFonts w:hint="eastAsia"/>
              </w:rPr>
              <w:t>DW001</w:t>
            </w:r>
          </w:p>
        </w:tc>
        <w:tc>
          <w:tcPr>
            <w:tcW w:w="622" w:type="pct"/>
            <w:vMerge w:val="restart"/>
            <w:vAlign w:val="center"/>
          </w:tcPr>
          <w:p>
            <w:pPr>
              <w:spacing w:line="360" w:lineRule="auto"/>
              <w:jc w:val="center"/>
            </w:pPr>
            <w:r>
              <w:t>111</w:t>
            </w:r>
            <w:r>
              <w:rPr>
                <w:rFonts w:hint="eastAsia"/>
              </w:rPr>
              <w:t>.702784</w:t>
            </w:r>
            <w:r>
              <w:t>E</w:t>
            </w:r>
          </w:p>
          <w:p>
            <w:pPr>
              <w:jc w:val="center"/>
            </w:pPr>
            <w:r>
              <w:t>2</w:t>
            </w:r>
            <w:r>
              <w:rPr>
                <w:rFonts w:hint="eastAsia"/>
              </w:rPr>
              <w:t>8.900335N</w:t>
            </w:r>
          </w:p>
        </w:tc>
        <w:tc>
          <w:tcPr>
            <w:tcW w:w="376" w:type="pct"/>
            <w:vMerge w:val="restart"/>
            <w:vAlign w:val="center"/>
          </w:tcPr>
          <w:p>
            <w:pPr>
              <w:jc w:val="center"/>
            </w:pPr>
            <w:r>
              <w:rPr>
                <w:rFonts w:hint="eastAsia"/>
              </w:rPr>
              <w:t>间接排放</w:t>
            </w:r>
          </w:p>
        </w:tc>
        <w:tc>
          <w:tcPr>
            <w:tcW w:w="464" w:type="pct"/>
            <w:vMerge w:val="restart"/>
            <w:vAlign w:val="center"/>
          </w:tcPr>
          <w:p>
            <w:pPr>
              <w:jc w:val="center"/>
            </w:pPr>
            <w:r>
              <w:rPr>
                <w:rFonts w:hint="eastAsia"/>
              </w:rPr>
              <w:t>德山污水处理厂</w:t>
            </w:r>
          </w:p>
        </w:tc>
        <w:tc>
          <w:tcPr>
            <w:tcW w:w="298" w:type="pct"/>
            <w:vMerge w:val="restart"/>
            <w:vAlign w:val="center"/>
          </w:tcPr>
          <w:p>
            <w:pPr>
              <w:jc w:val="center"/>
            </w:pPr>
            <w:r>
              <w:rPr>
                <w:rFonts w:hint="eastAsia"/>
              </w:rPr>
              <w:t>一般排放口</w:t>
            </w:r>
          </w:p>
        </w:tc>
        <w:tc>
          <w:tcPr>
            <w:tcW w:w="259" w:type="pct"/>
            <w:vAlign w:val="center"/>
          </w:tcPr>
          <w:p>
            <w:pPr>
              <w:jc w:val="center"/>
            </w:pPr>
            <w:r>
              <w:rPr>
                <w:rFonts w:hint="eastAsia"/>
              </w:rPr>
              <w:t>pH值</w:t>
            </w:r>
          </w:p>
        </w:tc>
        <w:tc>
          <w:tcPr>
            <w:tcW w:w="466" w:type="pct"/>
            <w:vAlign w:val="center"/>
          </w:tcPr>
          <w:p>
            <w:pPr>
              <w:jc w:val="center"/>
            </w:pPr>
            <w:r>
              <w:rPr>
                <w:rFonts w:hint="eastAsia"/>
              </w:rPr>
              <w:t>6-9（无量纲）</w:t>
            </w:r>
          </w:p>
        </w:tc>
        <w:tc>
          <w:tcPr>
            <w:tcW w:w="646" w:type="pct"/>
            <w:vMerge w:val="restart"/>
          </w:tcPr>
          <w:p>
            <w:pPr>
              <w:jc w:val="center"/>
            </w:pPr>
            <w:r>
              <w:rPr>
                <w:rFonts w:hint="eastAsia"/>
              </w:rPr>
              <w:t>《污水综合排放标准》（GB8978-1996）三级标准及德山污水处理厂的进水水质要求</w:t>
            </w: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c>
          <w:tcPr>
            <w:tcW w:w="213" w:type="pct"/>
            <w:vMerge w:val="continue"/>
            <w:vAlign w:val="center"/>
          </w:tcPr>
          <w:p>
            <w:pPr>
              <w:jc w:val="center"/>
            </w:pPr>
          </w:p>
        </w:tc>
        <w:tc>
          <w:tcPr>
            <w:tcW w:w="517" w:type="pct"/>
            <w:vMerge w:val="continue"/>
            <w:vAlign w:val="center"/>
          </w:tcPr>
          <w:p>
            <w:pPr>
              <w:jc w:val="center"/>
            </w:pPr>
          </w:p>
        </w:tc>
        <w:tc>
          <w:tcPr>
            <w:tcW w:w="414" w:type="pct"/>
            <w:vMerge w:val="continue"/>
            <w:vAlign w:val="center"/>
          </w:tcPr>
          <w:p>
            <w:pPr>
              <w:jc w:val="center"/>
            </w:pPr>
          </w:p>
        </w:tc>
        <w:tc>
          <w:tcPr>
            <w:tcW w:w="363" w:type="pct"/>
            <w:vMerge w:val="continue"/>
            <w:vAlign w:val="center"/>
          </w:tcPr>
          <w:p>
            <w:pPr>
              <w:jc w:val="center"/>
            </w:pPr>
          </w:p>
        </w:tc>
        <w:tc>
          <w:tcPr>
            <w:tcW w:w="362" w:type="pct"/>
            <w:vMerge w:val="continue"/>
            <w:vAlign w:val="center"/>
          </w:tcPr>
          <w:p>
            <w:pPr>
              <w:jc w:val="center"/>
            </w:pPr>
          </w:p>
        </w:tc>
        <w:tc>
          <w:tcPr>
            <w:tcW w:w="622" w:type="pct"/>
            <w:vMerge w:val="continue"/>
            <w:vAlign w:val="center"/>
          </w:tcPr>
          <w:p>
            <w:pPr>
              <w:jc w:val="center"/>
            </w:pPr>
          </w:p>
        </w:tc>
        <w:tc>
          <w:tcPr>
            <w:tcW w:w="376" w:type="pct"/>
            <w:vMerge w:val="continue"/>
            <w:vAlign w:val="center"/>
          </w:tcPr>
          <w:p>
            <w:pPr>
              <w:jc w:val="center"/>
            </w:pPr>
          </w:p>
        </w:tc>
        <w:tc>
          <w:tcPr>
            <w:tcW w:w="464" w:type="pct"/>
            <w:vMerge w:val="continue"/>
            <w:vAlign w:val="center"/>
          </w:tcPr>
          <w:p>
            <w:pPr>
              <w:jc w:val="center"/>
            </w:pPr>
          </w:p>
        </w:tc>
        <w:tc>
          <w:tcPr>
            <w:tcW w:w="298" w:type="pct"/>
            <w:vMerge w:val="continue"/>
            <w:vAlign w:val="center"/>
          </w:tcPr>
          <w:p>
            <w:pPr>
              <w:jc w:val="center"/>
            </w:pPr>
          </w:p>
        </w:tc>
        <w:tc>
          <w:tcPr>
            <w:tcW w:w="259" w:type="pct"/>
            <w:vAlign w:val="center"/>
          </w:tcPr>
          <w:p>
            <w:pPr>
              <w:jc w:val="center"/>
            </w:pPr>
            <w:r>
              <w:rPr>
                <w:rFonts w:hint="eastAsia"/>
              </w:rPr>
              <w:t>COD</w:t>
            </w:r>
          </w:p>
        </w:tc>
        <w:tc>
          <w:tcPr>
            <w:tcW w:w="466" w:type="pct"/>
            <w:vAlign w:val="center"/>
          </w:tcPr>
          <w:p>
            <w:pPr>
              <w:jc w:val="center"/>
            </w:pPr>
            <w:r>
              <w:rPr>
                <w:rFonts w:hint="eastAsia"/>
              </w:rPr>
              <w:t>400</w:t>
            </w:r>
          </w:p>
        </w:tc>
        <w:tc>
          <w:tcPr>
            <w:tcW w:w="646" w:type="pct"/>
            <w:vMerge w:val="continue"/>
          </w:tcPr>
          <w:p>
            <w:pPr>
              <w:jc w:val="cente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c>
          <w:tcPr>
            <w:tcW w:w="213" w:type="pct"/>
            <w:vMerge w:val="continue"/>
            <w:vAlign w:val="center"/>
          </w:tcPr>
          <w:p>
            <w:pPr>
              <w:jc w:val="center"/>
            </w:pPr>
          </w:p>
        </w:tc>
        <w:tc>
          <w:tcPr>
            <w:tcW w:w="517" w:type="pct"/>
            <w:vMerge w:val="continue"/>
            <w:vAlign w:val="center"/>
          </w:tcPr>
          <w:p>
            <w:pPr>
              <w:jc w:val="center"/>
            </w:pPr>
          </w:p>
        </w:tc>
        <w:tc>
          <w:tcPr>
            <w:tcW w:w="414" w:type="pct"/>
            <w:vMerge w:val="continue"/>
            <w:vAlign w:val="center"/>
          </w:tcPr>
          <w:p>
            <w:pPr>
              <w:jc w:val="center"/>
            </w:pPr>
          </w:p>
        </w:tc>
        <w:tc>
          <w:tcPr>
            <w:tcW w:w="363" w:type="pct"/>
            <w:vMerge w:val="continue"/>
            <w:vAlign w:val="center"/>
          </w:tcPr>
          <w:p>
            <w:pPr>
              <w:jc w:val="center"/>
            </w:pPr>
          </w:p>
        </w:tc>
        <w:tc>
          <w:tcPr>
            <w:tcW w:w="362" w:type="pct"/>
            <w:vMerge w:val="continue"/>
            <w:vAlign w:val="center"/>
          </w:tcPr>
          <w:p>
            <w:pPr>
              <w:jc w:val="center"/>
            </w:pPr>
          </w:p>
        </w:tc>
        <w:tc>
          <w:tcPr>
            <w:tcW w:w="622" w:type="pct"/>
            <w:vMerge w:val="continue"/>
            <w:vAlign w:val="center"/>
          </w:tcPr>
          <w:p>
            <w:pPr>
              <w:jc w:val="center"/>
            </w:pPr>
          </w:p>
        </w:tc>
        <w:tc>
          <w:tcPr>
            <w:tcW w:w="376" w:type="pct"/>
            <w:vMerge w:val="continue"/>
            <w:vAlign w:val="center"/>
          </w:tcPr>
          <w:p>
            <w:pPr>
              <w:jc w:val="center"/>
            </w:pPr>
          </w:p>
        </w:tc>
        <w:tc>
          <w:tcPr>
            <w:tcW w:w="464" w:type="pct"/>
            <w:vMerge w:val="continue"/>
            <w:vAlign w:val="center"/>
          </w:tcPr>
          <w:p>
            <w:pPr>
              <w:jc w:val="center"/>
            </w:pPr>
          </w:p>
        </w:tc>
        <w:tc>
          <w:tcPr>
            <w:tcW w:w="298" w:type="pct"/>
            <w:vMerge w:val="continue"/>
            <w:vAlign w:val="center"/>
          </w:tcPr>
          <w:p>
            <w:pPr>
              <w:jc w:val="center"/>
            </w:pPr>
          </w:p>
        </w:tc>
        <w:tc>
          <w:tcPr>
            <w:tcW w:w="259" w:type="pct"/>
            <w:vAlign w:val="center"/>
          </w:tcPr>
          <w:p>
            <w:pPr>
              <w:jc w:val="center"/>
            </w:pPr>
            <w:r>
              <w:rPr>
                <w:rFonts w:hint="eastAsia"/>
              </w:rPr>
              <w:t>BOD</w:t>
            </w:r>
          </w:p>
        </w:tc>
        <w:tc>
          <w:tcPr>
            <w:tcW w:w="466" w:type="pct"/>
            <w:vAlign w:val="center"/>
          </w:tcPr>
          <w:p>
            <w:pPr>
              <w:jc w:val="center"/>
            </w:pPr>
            <w:r>
              <w:rPr>
                <w:rFonts w:hint="eastAsia"/>
              </w:rPr>
              <w:t>250</w:t>
            </w:r>
          </w:p>
        </w:tc>
        <w:tc>
          <w:tcPr>
            <w:tcW w:w="646" w:type="pct"/>
            <w:vMerge w:val="continue"/>
          </w:tcPr>
          <w:p>
            <w:pPr>
              <w:jc w:val="cente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c>
          <w:tcPr>
            <w:tcW w:w="213" w:type="pct"/>
            <w:vMerge w:val="continue"/>
            <w:vAlign w:val="center"/>
          </w:tcPr>
          <w:p>
            <w:pPr>
              <w:jc w:val="center"/>
            </w:pPr>
          </w:p>
        </w:tc>
        <w:tc>
          <w:tcPr>
            <w:tcW w:w="517" w:type="pct"/>
            <w:vMerge w:val="continue"/>
            <w:vAlign w:val="center"/>
          </w:tcPr>
          <w:p>
            <w:pPr>
              <w:jc w:val="center"/>
            </w:pPr>
          </w:p>
        </w:tc>
        <w:tc>
          <w:tcPr>
            <w:tcW w:w="414" w:type="pct"/>
            <w:vMerge w:val="continue"/>
            <w:vAlign w:val="center"/>
          </w:tcPr>
          <w:p>
            <w:pPr>
              <w:jc w:val="center"/>
            </w:pPr>
          </w:p>
        </w:tc>
        <w:tc>
          <w:tcPr>
            <w:tcW w:w="363" w:type="pct"/>
            <w:vMerge w:val="continue"/>
            <w:vAlign w:val="center"/>
          </w:tcPr>
          <w:p>
            <w:pPr>
              <w:jc w:val="center"/>
            </w:pPr>
          </w:p>
        </w:tc>
        <w:tc>
          <w:tcPr>
            <w:tcW w:w="362" w:type="pct"/>
            <w:vMerge w:val="continue"/>
            <w:vAlign w:val="center"/>
          </w:tcPr>
          <w:p>
            <w:pPr>
              <w:jc w:val="center"/>
            </w:pPr>
          </w:p>
        </w:tc>
        <w:tc>
          <w:tcPr>
            <w:tcW w:w="622" w:type="pct"/>
            <w:vMerge w:val="continue"/>
            <w:vAlign w:val="center"/>
          </w:tcPr>
          <w:p>
            <w:pPr>
              <w:jc w:val="center"/>
            </w:pPr>
          </w:p>
        </w:tc>
        <w:tc>
          <w:tcPr>
            <w:tcW w:w="376" w:type="pct"/>
            <w:vMerge w:val="continue"/>
            <w:vAlign w:val="center"/>
          </w:tcPr>
          <w:p>
            <w:pPr>
              <w:jc w:val="center"/>
            </w:pPr>
          </w:p>
        </w:tc>
        <w:tc>
          <w:tcPr>
            <w:tcW w:w="464" w:type="pct"/>
            <w:vMerge w:val="continue"/>
            <w:vAlign w:val="center"/>
          </w:tcPr>
          <w:p>
            <w:pPr>
              <w:jc w:val="center"/>
            </w:pPr>
          </w:p>
        </w:tc>
        <w:tc>
          <w:tcPr>
            <w:tcW w:w="298" w:type="pct"/>
            <w:vMerge w:val="continue"/>
            <w:vAlign w:val="center"/>
          </w:tcPr>
          <w:p>
            <w:pPr>
              <w:jc w:val="center"/>
            </w:pPr>
          </w:p>
        </w:tc>
        <w:tc>
          <w:tcPr>
            <w:tcW w:w="259" w:type="pct"/>
            <w:vAlign w:val="center"/>
          </w:tcPr>
          <w:p>
            <w:pPr>
              <w:jc w:val="center"/>
            </w:pPr>
            <w:r>
              <w:rPr>
                <w:rFonts w:hint="eastAsia"/>
              </w:rPr>
              <w:t>SS</w:t>
            </w:r>
          </w:p>
        </w:tc>
        <w:tc>
          <w:tcPr>
            <w:tcW w:w="466" w:type="pct"/>
            <w:vAlign w:val="center"/>
          </w:tcPr>
          <w:p>
            <w:pPr>
              <w:jc w:val="center"/>
            </w:pPr>
            <w:r>
              <w:rPr>
                <w:rFonts w:hint="eastAsia"/>
              </w:rPr>
              <w:t>300</w:t>
            </w:r>
          </w:p>
        </w:tc>
        <w:tc>
          <w:tcPr>
            <w:tcW w:w="646" w:type="pct"/>
            <w:vMerge w:val="continue"/>
          </w:tcPr>
          <w:p>
            <w:pPr>
              <w:jc w:val="cente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c>
          <w:tcPr>
            <w:tcW w:w="213" w:type="pct"/>
            <w:vMerge w:val="continue"/>
            <w:vAlign w:val="center"/>
          </w:tcPr>
          <w:p>
            <w:pPr>
              <w:jc w:val="center"/>
            </w:pPr>
          </w:p>
        </w:tc>
        <w:tc>
          <w:tcPr>
            <w:tcW w:w="517" w:type="pct"/>
            <w:vMerge w:val="continue"/>
            <w:vAlign w:val="center"/>
          </w:tcPr>
          <w:p>
            <w:pPr>
              <w:jc w:val="center"/>
            </w:pPr>
          </w:p>
        </w:tc>
        <w:tc>
          <w:tcPr>
            <w:tcW w:w="414" w:type="pct"/>
            <w:vMerge w:val="continue"/>
            <w:vAlign w:val="center"/>
          </w:tcPr>
          <w:p>
            <w:pPr>
              <w:jc w:val="center"/>
            </w:pPr>
          </w:p>
        </w:tc>
        <w:tc>
          <w:tcPr>
            <w:tcW w:w="363" w:type="pct"/>
            <w:vMerge w:val="continue"/>
            <w:vAlign w:val="center"/>
          </w:tcPr>
          <w:p>
            <w:pPr>
              <w:jc w:val="center"/>
            </w:pPr>
          </w:p>
        </w:tc>
        <w:tc>
          <w:tcPr>
            <w:tcW w:w="362" w:type="pct"/>
            <w:vMerge w:val="continue"/>
            <w:vAlign w:val="center"/>
          </w:tcPr>
          <w:p>
            <w:pPr>
              <w:jc w:val="center"/>
            </w:pPr>
          </w:p>
        </w:tc>
        <w:tc>
          <w:tcPr>
            <w:tcW w:w="622" w:type="pct"/>
            <w:vMerge w:val="continue"/>
            <w:vAlign w:val="center"/>
          </w:tcPr>
          <w:p>
            <w:pPr>
              <w:jc w:val="center"/>
            </w:pPr>
          </w:p>
        </w:tc>
        <w:tc>
          <w:tcPr>
            <w:tcW w:w="376" w:type="pct"/>
            <w:vMerge w:val="continue"/>
            <w:vAlign w:val="center"/>
          </w:tcPr>
          <w:p>
            <w:pPr>
              <w:jc w:val="center"/>
            </w:pPr>
          </w:p>
        </w:tc>
        <w:tc>
          <w:tcPr>
            <w:tcW w:w="464" w:type="pct"/>
            <w:vMerge w:val="continue"/>
            <w:vAlign w:val="center"/>
          </w:tcPr>
          <w:p>
            <w:pPr>
              <w:jc w:val="center"/>
            </w:pPr>
          </w:p>
        </w:tc>
        <w:tc>
          <w:tcPr>
            <w:tcW w:w="298" w:type="pct"/>
            <w:vMerge w:val="continue"/>
            <w:vAlign w:val="center"/>
          </w:tcPr>
          <w:p>
            <w:pPr>
              <w:jc w:val="center"/>
            </w:pPr>
          </w:p>
        </w:tc>
        <w:tc>
          <w:tcPr>
            <w:tcW w:w="259" w:type="pct"/>
            <w:vAlign w:val="center"/>
          </w:tcPr>
          <w:p>
            <w:pPr>
              <w:jc w:val="center"/>
            </w:pPr>
            <w:r>
              <w:rPr>
                <w:rFonts w:hint="eastAsia"/>
              </w:rPr>
              <w:t>氨氮</w:t>
            </w:r>
          </w:p>
        </w:tc>
        <w:tc>
          <w:tcPr>
            <w:tcW w:w="466" w:type="pct"/>
            <w:vAlign w:val="center"/>
          </w:tcPr>
          <w:p>
            <w:pPr>
              <w:jc w:val="center"/>
            </w:pPr>
            <w:r>
              <w:rPr>
                <w:rFonts w:hint="eastAsia"/>
              </w:rPr>
              <w:t>25</w:t>
            </w:r>
          </w:p>
        </w:tc>
        <w:tc>
          <w:tcPr>
            <w:tcW w:w="646" w:type="pct"/>
            <w:vMerge w:val="continue"/>
          </w:tcPr>
          <w:p>
            <w:pPr>
              <w:jc w:val="cente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c>
          <w:tcPr>
            <w:tcW w:w="213" w:type="pct"/>
            <w:vMerge w:val="continue"/>
            <w:vAlign w:val="center"/>
          </w:tcPr>
          <w:p>
            <w:pPr>
              <w:jc w:val="center"/>
            </w:pPr>
          </w:p>
        </w:tc>
        <w:tc>
          <w:tcPr>
            <w:tcW w:w="517" w:type="pct"/>
            <w:vMerge w:val="continue"/>
            <w:vAlign w:val="center"/>
          </w:tcPr>
          <w:p>
            <w:pPr>
              <w:jc w:val="center"/>
            </w:pPr>
          </w:p>
        </w:tc>
        <w:tc>
          <w:tcPr>
            <w:tcW w:w="414" w:type="pct"/>
            <w:vMerge w:val="continue"/>
            <w:vAlign w:val="center"/>
          </w:tcPr>
          <w:p>
            <w:pPr>
              <w:jc w:val="center"/>
            </w:pPr>
          </w:p>
        </w:tc>
        <w:tc>
          <w:tcPr>
            <w:tcW w:w="363" w:type="pct"/>
            <w:vMerge w:val="continue"/>
            <w:vAlign w:val="center"/>
          </w:tcPr>
          <w:p>
            <w:pPr>
              <w:jc w:val="center"/>
            </w:pPr>
          </w:p>
        </w:tc>
        <w:tc>
          <w:tcPr>
            <w:tcW w:w="362" w:type="pct"/>
            <w:vMerge w:val="continue"/>
            <w:vAlign w:val="center"/>
          </w:tcPr>
          <w:p>
            <w:pPr>
              <w:jc w:val="center"/>
            </w:pPr>
          </w:p>
        </w:tc>
        <w:tc>
          <w:tcPr>
            <w:tcW w:w="622" w:type="pct"/>
            <w:vMerge w:val="continue"/>
            <w:vAlign w:val="center"/>
          </w:tcPr>
          <w:p>
            <w:pPr>
              <w:jc w:val="center"/>
            </w:pPr>
          </w:p>
        </w:tc>
        <w:tc>
          <w:tcPr>
            <w:tcW w:w="376" w:type="pct"/>
            <w:vMerge w:val="continue"/>
            <w:vAlign w:val="center"/>
          </w:tcPr>
          <w:p>
            <w:pPr>
              <w:jc w:val="center"/>
            </w:pPr>
          </w:p>
        </w:tc>
        <w:tc>
          <w:tcPr>
            <w:tcW w:w="464" w:type="pct"/>
            <w:vMerge w:val="continue"/>
            <w:vAlign w:val="center"/>
          </w:tcPr>
          <w:p>
            <w:pPr>
              <w:jc w:val="center"/>
            </w:pPr>
          </w:p>
        </w:tc>
        <w:tc>
          <w:tcPr>
            <w:tcW w:w="298" w:type="pct"/>
            <w:vMerge w:val="continue"/>
            <w:vAlign w:val="center"/>
          </w:tcPr>
          <w:p>
            <w:pPr>
              <w:jc w:val="center"/>
            </w:pPr>
          </w:p>
        </w:tc>
        <w:tc>
          <w:tcPr>
            <w:tcW w:w="259" w:type="pct"/>
            <w:vAlign w:val="center"/>
          </w:tcPr>
          <w:p>
            <w:pPr>
              <w:jc w:val="center"/>
            </w:pPr>
            <w:r>
              <w:t>石油类</w:t>
            </w:r>
          </w:p>
        </w:tc>
        <w:tc>
          <w:tcPr>
            <w:tcW w:w="466" w:type="pct"/>
            <w:vAlign w:val="center"/>
          </w:tcPr>
          <w:p>
            <w:pPr>
              <w:jc w:val="center"/>
            </w:pPr>
            <w:r>
              <w:rPr>
                <w:rFonts w:hint="eastAsia"/>
              </w:rPr>
              <w:t>20</w:t>
            </w:r>
          </w:p>
        </w:tc>
        <w:tc>
          <w:tcPr>
            <w:tcW w:w="646" w:type="pct"/>
            <w:vMerge w:val="continue"/>
          </w:tcPr>
          <w:p>
            <w:pPr>
              <w:jc w:val="center"/>
            </w:pPr>
          </w:p>
        </w:tc>
      </w:tr>
    </w:tbl>
    <w:p>
      <w:pPr>
        <w:spacing w:line="220" w:lineRule="atLeast"/>
        <w:ind w:firstLine="480"/>
        <w:rPr>
          <w:color w:val="FF0000"/>
        </w:rPr>
      </w:pPr>
    </w:p>
    <w:p>
      <w:pPr>
        <w:pStyle w:val="3"/>
        <w:rPr>
          <w:rFonts w:ascii="黑体" w:hAnsi="黑体" w:eastAsia="黑体"/>
          <w:b w:val="0"/>
          <w:bCs w:val="0"/>
          <w:color w:val="FF0000"/>
          <w:sz w:val="30"/>
          <w:szCs w:val="30"/>
        </w:rPr>
        <w:sectPr>
          <w:pgSz w:w="16838" w:h="11906" w:orient="landscape"/>
          <w:pgMar w:top="1418" w:right="1588" w:bottom="1418" w:left="1588" w:header="851" w:footer="992" w:gutter="0"/>
          <w:pgNumType w:fmt="numberInDash"/>
          <w:cols w:space="425" w:num="1"/>
          <w:docGrid w:type="lines" w:linePitch="326" w:charSpace="0"/>
        </w:sectPr>
      </w:pPr>
    </w:p>
    <w:p>
      <w:pPr>
        <w:pStyle w:val="3"/>
      </w:pPr>
      <w:bookmarkStart w:id="8" w:name="_Toc100330850"/>
      <w:r>
        <w:rPr>
          <w:rFonts w:hint="eastAsia" w:ascii="黑体" w:hAnsi="黑体" w:eastAsia="黑体"/>
          <w:b w:val="0"/>
          <w:bCs w:val="0"/>
          <w:sz w:val="30"/>
          <w:szCs w:val="30"/>
        </w:rPr>
        <w:t>附表</w:t>
      </w:r>
      <w:bookmarkEnd w:id="8"/>
    </w:p>
    <w:p>
      <w:pPr>
        <w:pStyle w:val="15"/>
        <w:adjustRightInd w:val="0"/>
        <w:snapToGrid w:val="0"/>
        <w:spacing w:before="0" w:beforeAutospacing="0" w:after="0" w:afterAutospacing="0"/>
        <w:jc w:val="center"/>
        <w:rPr>
          <w:rFonts w:ascii="Times New Roman" w:hAnsi="Times New Roman" w:eastAsia="方正小标宋_GBK" w:cs="Times New Roman"/>
          <w:snapToGrid w:val="0"/>
          <w:kern w:val="0"/>
          <w:sz w:val="36"/>
          <w:szCs w:val="38"/>
        </w:rPr>
      </w:pPr>
      <w:r>
        <w:rPr>
          <w:rFonts w:hint="eastAsia" w:ascii="Times New Roman" w:hAnsi="Times New Roman" w:eastAsia="方正小标宋_GBK" w:cs="Times New Roman"/>
          <w:snapToGrid w:val="0"/>
          <w:kern w:val="0"/>
          <w:sz w:val="36"/>
          <w:szCs w:val="38"/>
        </w:rPr>
        <w:t>建设项目污染物排放量汇总表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542"/>
        <w:gridCol w:w="1542"/>
        <w:gridCol w:w="1542"/>
        <w:gridCol w:w="1542"/>
        <w:gridCol w:w="1542"/>
        <w:gridCol w:w="1542"/>
        <w:gridCol w:w="185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l2br w:val="single" w:color="auto" w:sz="4" w:space="0"/>
            </w:tcBorders>
            <w:vAlign w:val="center"/>
          </w:tcPr>
          <w:p>
            <w:pPr>
              <w:jc w:val="right"/>
              <w:rPr>
                <w:rFonts w:ascii="黑体" w:hAnsi="黑体" w:eastAsia="黑体"/>
              </w:rPr>
            </w:pPr>
            <w:r>
              <w:rPr>
                <w:rFonts w:hint="eastAsia" w:ascii="黑体" w:hAnsi="黑体" w:eastAsia="黑体"/>
              </w:rPr>
              <w:t>项目</w:t>
            </w:r>
          </w:p>
          <w:p>
            <w:pPr>
              <w:jc w:val="left"/>
              <w:rPr>
                <w:rFonts w:ascii="黑体" w:hAnsi="黑体" w:eastAsia="黑体"/>
              </w:rPr>
            </w:pPr>
            <w:r>
              <w:rPr>
                <w:rFonts w:hint="eastAsia" w:ascii="黑体" w:hAnsi="黑体" w:eastAsia="黑体"/>
              </w:rPr>
              <w:t>分类</w:t>
            </w:r>
          </w:p>
        </w:tc>
        <w:tc>
          <w:tcPr>
            <w:tcW w:w="1542" w:type="dxa"/>
            <w:vAlign w:val="center"/>
          </w:tcPr>
          <w:p>
            <w:pPr>
              <w:jc w:val="center"/>
              <w:rPr>
                <w:rFonts w:ascii="黑体" w:hAnsi="黑体" w:eastAsia="黑体"/>
              </w:rPr>
            </w:pPr>
            <w:r>
              <w:rPr>
                <w:rFonts w:hint="eastAsia" w:ascii="黑体" w:hAnsi="黑体" w:eastAsia="黑体"/>
              </w:rPr>
              <w:t>污染物名称</w:t>
            </w:r>
          </w:p>
        </w:tc>
        <w:tc>
          <w:tcPr>
            <w:tcW w:w="1542" w:type="dxa"/>
            <w:vAlign w:val="center"/>
          </w:tcPr>
          <w:p>
            <w:pPr>
              <w:jc w:val="center"/>
              <w:rPr>
                <w:rFonts w:ascii="黑体" w:hAnsi="黑体" w:eastAsia="黑体"/>
              </w:rPr>
            </w:pPr>
            <w:r>
              <w:rPr>
                <w:rFonts w:ascii="黑体" w:hAnsi="黑体" w:eastAsia="黑体"/>
              </w:rPr>
              <w:t>现有工程排放量（固</w:t>
            </w:r>
            <w:r>
              <w:rPr>
                <w:rFonts w:hint="eastAsia" w:ascii="黑体" w:hAnsi="黑体" w:eastAsia="黑体"/>
              </w:rPr>
              <w:t>体</w:t>
            </w:r>
            <w:r>
              <w:rPr>
                <w:rFonts w:ascii="黑体" w:hAnsi="黑体" w:eastAsia="黑体"/>
              </w:rPr>
              <w:t>废</w:t>
            </w:r>
            <w:r>
              <w:rPr>
                <w:rFonts w:hint="eastAsia" w:ascii="黑体" w:hAnsi="黑体" w:eastAsia="黑体"/>
              </w:rPr>
              <w:t>物</w:t>
            </w:r>
            <w:r>
              <w:rPr>
                <w:rFonts w:ascii="黑体" w:hAnsi="黑体" w:eastAsia="黑体"/>
              </w:rPr>
              <w:t>产生量）</w:t>
            </w:r>
            <w:r>
              <w:rPr>
                <w:rFonts w:ascii="黑体" w:hAnsi="黑体" w:eastAsia="黑体"/>
              </w:rPr>
              <w:fldChar w:fldCharType="begin"/>
            </w:r>
            <w:r>
              <w:rPr>
                <w:rFonts w:ascii="黑体" w:hAnsi="黑体" w:eastAsia="黑体"/>
              </w:rPr>
              <w:instrText xml:space="preserve"> = 1 \* GB3 \* MERGEFORMAT </w:instrText>
            </w:r>
            <w:r>
              <w:rPr>
                <w:rFonts w:ascii="黑体" w:hAnsi="黑体" w:eastAsia="黑体"/>
              </w:rPr>
              <w:fldChar w:fldCharType="separate"/>
            </w:r>
            <w:r>
              <w:rPr>
                <w:rFonts w:hint="eastAsia" w:ascii="黑体" w:hAnsi="黑体" w:eastAsia="黑体"/>
              </w:rPr>
              <w:t>①</w:t>
            </w:r>
            <w:r>
              <w:rPr>
                <w:rFonts w:ascii="黑体" w:hAnsi="黑体" w:eastAsia="黑体"/>
              </w:rPr>
              <w:fldChar w:fldCharType="end"/>
            </w:r>
          </w:p>
        </w:tc>
        <w:tc>
          <w:tcPr>
            <w:tcW w:w="1542" w:type="dxa"/>
            <w:vAlign w:val="center"/>
          </w:tcPr>
          <w:p>
            <w:pPr>
              <w:jc w:val="center"/>
              <w:rPr>
                <w:rFonts w:ascii="黑体" w:hAnsi="黑体" w:eastAsia="黑体"/>
              </w:rPr>
            </w:pPr>
            <w:r>
              <w:rPr>
                <w:rFonts w:ascii="黑体" w:hAnsi="黑体" w:eastAsia="黑体"/>
              </w:rPr>
              <w:t>现有工程许可排放量</w:t>
            </w:r>
          </w:p>
          <w:p>
            <w:pPr>
              <w:jc w:val="center"/>
              <w:rPr>
                <w:rFonts w:ascii="黑体" w:hAnsi="黑体" w:eastAsia="黑体"/>
              </w:rPr>
            </w:pPr>
            <w:r>
              <w:rPr>
                <w:rFonts w:ascii="黑体" w:hAnsi="黑体" w:eastAsia="黑体"/>
              </w:rPr>
              <w:fldChar w:fldCharType="begin"/>
            </w:r>
            <w:r>
              <w:rPr>
                <w:rFonts w:ascii="黑体" w:hAnsi="黑体" w:eastAsia="黑体"/>
              </w:rPr>
              <w:instrText xml:space="preserve"> = 2 \* GB3 \* MERGEFORMAT </w:instrText>
            </w:r>
            <w:r>
              <w:rPr>
                <w:rFonts w:ascii="黑体" w:hAnsi="黑体" w:eastAsia="黑体"/>
              </w:rPr>
              <w:fldChar w:fldCharType="separate"/>
            </w:r>
            <w:r>
              <w:rPr>
                <w:rFonts w:hint="eastAsia" w:ascii="黑体" w:hAnsi="黑体" w:eastAsia="黑体"/>
              </w:rPr>
              <w:t>②</w:t>
            </w:r>
            <w:r>
              <w:rPr>
                <w:rFonts w:ascii="黑体" w:hAnsi="黑体" w:eastAsia="黑体"/>
              </w:rPr>
              <w:fldChar w:fldCharType="end"/>
            </w:r>
          </w:p>
        </w:tc>
        <w:tc>
          <w:tcPr>
            <w:tcW w:w="1542" w:type="dxa"/>
            <w:vAlign w:val="center"/>
          </w:tcPr>
          <w:p>
            <w:pPr>
              <w:jc w:val="center"/>
              <w:rPr>
                <w:rFonts w:ascii="黑体" w:hAnsi="黑体" w:eastAsia="黑体"/>
              </w:rPr>
            </w:pPr>
            <w:r>
              <w:rPr>
                <w:rFonts w:ascii="黑体" w:hAnsi="黑体" w:eastAsia="黑体"/>
              </w:rPr>
              <w:t>在建工程排放量（固</w:t>
            </w:r>
            <w:r>
              <w:rPr>
                <w:rFonts w:hint="eastAsia" w:ascii="黑体" w:hAnsi="黑体" w:eastAsia="黑体"/>
              </w:rPr>
              <w:t>体</w:t>
            </w:r>
            <w:r>
              <w:rPr>
                <w:rFonts w:ascii="黑体" w:hAnsi="黑体" w:eastAsia="黑体"/>
              </w:rPr>
              <w:t>废</w:t>
            </w:r>
            <w:r>
              <w:rPr>
                <w:rFonts w:hint="eastAsia" w:ascii="黑体" w:hAnsi="黑体" w:eastAsia="黑体"/>
              </w:rPr>
              <w:t>物</w:t>
            </w:r>
            <w:r>
              <w:rPr>
                <w:rFonts w:ascii="黑体" w:hAnsi="黑体" w:eastAsia="黑体"/>
              </w:rPr>
              <w:t>产生量）</w:t>
            </w:r>
            <w:r>
              <w:rPr>
                <w:rFonts w:ascii="黑体" w:hAnsi="黑体" w:eastAsia="黑体"/>
              </w:rPr>
              <w:fldChar w:fldCharType="begin"/>
            </w:r>
            <w:r>
              <w:rPr>
                <w:rFonts w:ascii="黑体" w:hAnsi="黑体" w:eastAsia="黑体"/>
              </w:rPr>
              <w:instrText xml:space="preserve"> = 3 \* GB3 \* MERGEFORMAT </w:instrText>
            </w:r>
            <w:r>
              <w:rPr>
                <w:rFonts w:ascii="黑体" w:hAnsi="黑体" w:eastAsia="黑体"/>
              </w:rPr>
              <w:fldChar w:fldCharType="separate"/>
            </w:r>
            <w:r>
              <w:rPr>
                <w:rFonts w:hint="eastAsia" w:ascii="黑体" w:hAnsi="黑体" w:eastAsia="黑体"/>
              </w:rPr>
              <w:t>③</w:t>
            </w:r>
            <w:r>
              <w:rPr>
                <w:rFonts w:ascii="黑体" w:hAnsi="黑体" w:eastAsia="黑体"/>
              </w:rPr>
              <w:fldChar w:fldCharType="end"/>
            </w:r>
          </w:p>
        </w:tc>
        <w:tc>
          <w:tcPr>
            <w:tcW w:w="1542" w:type="dxa"/>
            <w:vAlign w:val="center"/>
          </w:tcPr>
          <w:p>
            <w:pPr>
              <w:jc w:val="center"/>
              <w:rPr>
                <w:rFonts w:ascii="黑体" w:hAnsi="黑体" w:eastAsia="黑体"/>
              </w:rPr>
            </w:pPr>
            <w:r>
              <w:rPr>
                <w:rFonts w:ascii="黑体" w:hAnsi="黑体" w:eastAsia="黑体"/>
              </w:rPr>
              <w:t>本项目排放量（固</w:t>
            </w:r>
            <w:r>
              <w:rPr>
                <w:rFonts w:hint="eastAsia" w:ascii="黑体" w:hAnsi="黑体" w:eastAsia="黑体"/>
              </w:rPr>
              <w:t>体</w:t>
            </w:r>
            <w:r>
              <w:rPr>
                <w:rFonts w:ascii="黑体" w:hAnsi="黑体" w:eastAsia="黑体"/>
              </w:rPr>
              <w:t>废</w:t>
            </w:r>
            <w:r>
              <w:rPr>
                <w:rFonts w:hint="eastAsia" w:ascii="黑体" w:hAnsi="黑体" w:eastAsia="黑体"/>
              </w:rPr>
              <w:t>物</w:t>
            </w:r>
            <w:r>
              <w:rPr>
                <w:rFonts w:ascii="黑体" w:hAnsi="黑体" w:eastAsia="黑体"/>
              </w:rPr>
              <w:t>产生量）</w:t>
            </w:r>
            <w:r>
              <w:rPr>
                <w:rFonts w:ascii="黑体" w:hAnsi="黑体" w:eastAsia="黑体"/>
              </w:rPr>
              <w:fldChar w:fldCharType="begin"/>
            </w:r>
            <w:r>
              <w:rPr>
                <w:rFonts w:ascii="黑体" w:hAnsi="黑体" w:eastAsia="黑体"/>
              </w:rPr>
              <w:instrText xml:space="preserve"> = 4 \* GB3 \* MERGEFORMAT </w:instrText>
            </w:r>
            <w:r>
              <w:rPr>
                <w:rFonts w:ascii="黑体" w:hAnsi="黑体" w:eastAsia="黑体"/>
              </w:rPr>
              <w:fldChar w:fldCharType="separate"/>
            </w:r>
            <w:r>
              <w:rPr>
                <w:rFonts w:hint="eastAsia" w:ascii="黑体" w:hAnsi="黑体" w:eastAsia="黑体"/>
              </w:rPr>
              <w:t>④</w:t>
            </w:r>
            <w:r>
              <w:rPr>
                <w:rFonts w:ascii="黑体" w:hAnsi="黑体" w:eastAsia="黑体"/>
              </w:rPr>
              <w:fldChar w:fldCharType="end"/>
            </w:r>
          </w:p>
        </w:tc>
        <w:tc>
          <w:tcPr>
            <w:tcW w:w="1542" w:type="dxa"/>
            <w:vAlign w:val="center"/>
          </w:tcPr>
          <w:p>
            <w:pPr>
              <w:jc w:val="center"/>
              <w:rPr>
                <w:rFonts w:ascii="黑体" w:hAnsi="黑体" w:eastAsia="黑体"/>
              </w:rPr>
            </w:pPr>
            <w:r>
              <w:rPr>
                <w:rFonts w:ascii="黑体" w:hAnsi="黑体" w:eastAsia="黑体"/>
              </w:rPr>
              <w:t>以新带老削减量（新建项目不填）</w:t>
            </w:r>
            <w:r>
              <w:rPr>
                <w:rFonts w:ascii="黑体" w:hAnsi="黑体" w:eastAsia="黑体"/>
              </w:rPr>
              <w:fldChar w:fldCharType="begin"/>
            </w:r>
            <w:r>
              <w:rPr>
                <w:rFonts w:ascii="黑体" w:hAnsi="黑体" w:eastAsia="黑体"/>
              </w:rPr>
              <w:instrText xml:space="preserve"> = 5 \* GB3 \* MERGEFORMAT </w:instrText>
            </w:r>
            <w:r>
              <w:rPr>
                <w:rFonts w:ascii="黑体" w:hAnsi="黑体" w:eastAsia="黑体"/>
              </w:rPr>
              <w:fldChar w:fldCharType="separate"/>
            </w:r>
            <w:r>
              <w:rPr>
                <w:rFonts w:hint="eastAsia" w:ascii="黑体" w:hAnsi="黑体" w:eastAsia="黑体"/>
              </w:rPr>
              <w:t>⑤</w:t>
            </w:r>
            <w:r>
              <w:rPr>
                <w:rFonts w:ascii="黑体" w:hAnsi="黑体" w:eastAsia="黑体"/>
              </w:rPr>
              <w:fldChar w:fldCharType="end"/>
            </w:r>
          </w:p>
        </w:tc>
        <w:tc>
          <w:tcPr>
            <w:tcW w:w="1853" w:type="dxa"/>
            <w:vAlign w:val="center"/>
          </w:tcPr>
          <w:p>
            <w:pPr>
              <w:jc w:val="center"/>
              <w:rPr>
                <w:rFonts w:ascii="黑体" w:hAnsi="黑体" w:eastAsia="黑体"/>
              </w:rPr>
            </w:pPr>
            <w:r>
              <w:rPr>
                <w:rFonts w:ascii="黑体" w:hAnsi="黑体" w:eastAsia="黑体"/>
              </w:rPr>
              <w:t>本项目建成后</w:t>
            </w:r>
            <w:r>
              <w:rPr>
                <w:rFonts w:hint="eastAsia" w:ascii="黑体" w:hAnsi="黑体" w:eastAsia="黑体"/>
              </w:rPr>
              <w:t>全厂</w:t>
            </w:r>
            <w:r>
              <w:rPr>
                <w:rFonts w:ascii="黑体" w:hAnsi="黑体" w:eastAsia="黑体"/>
              </w:rPr>
              <w:t>排放量（固</w:t>
            </w:r>
            <w:r>
              <w:rPr>
                <w:rFonts w:hint="eastAsia" w:ascii="黑体" w:hAnsi="黑体" w:eastAsia="黑体"/>
              </w:rPr>
              <w:t>体</w:t>
            </w:r>
            <w:r>
              <w:rPr>
                <w:rFonts w:ascii="黑体" w:hAnsi="黑体" w:eastAsia="黑体"/>
              </w:rPr>
              <w:t>废</w:t>
            </w:r>
            <w:r>
              <w:rPr>
                <w:rFonts w:hint="eastAsia" w:ascii="黑体" w:hAnsi="黑体" w:eastAsia="黑体"/>
              </w:rPr>
              <w:t>物</w:t>
            </w:r>
            <w:r>
              <w:rPr>
                <w:rFonts w:ascii="黑体" w:hAnsi="黑体" w:eastAsia="黑体"/>
              </w:rPr>
              <w:t>产生量）</w:t>
            </w:r>
            <w:r>
              <w:rPr>
                <w:rFonts w:ascii="黑体" w:hAnsi="黑体" w:eastAsia="黑体"/>
              </w:rPr>
              <w:fldChar w:fldCharType="begin"/>
            </w:r>
            <w:r>
              <w:rPr>
                <w:rFonts w:ascii="黑体" w:hAnsi="黑体" w:eastAsia="黑体"/>
              </w:rPr>
              <w:instrText xml:space="preserve"> = 6 \* GB3 \* MERGEFORMAT </w:instrText>
            </w:r>
            <w:r>
              <w:rPr>
                <w:rFonts w:ascii="黑体" w:hAnsi="黑体" w:eastAsia="黑体"/>
              </w:rPr>
              <w:fldChar w:fldCharType="separate"/>
            </w:r>
            <w:r>
              <w:rPr>
                <w:rFonts w:hint="eastAsia" w:ascii="黑体" w:hAnsi="黑体" w:eastAsia="黑体"/>
              </w:rPr>
              <w:t>⑥</w:t>
            </w:r>
            <w:r>
              <w:rPr>
                <w:rFonts w:ascii="黑体" w:hAnsi="黑体" w:eastAsia="黑体"/>
              </w:rPr>
              <w:fldChar w:fldCharType="end"/>
            </w:r>
          </w:p>
        </w:tc>
        <w:tc>
          <w:tcPr>
            <w:tcW w:w="1231" w:type="dxa"/>
            <w:vAlign w:val="center"/>
          </w:tcPr>
          <w:p>
            <w:pPr>
              <w:jc w:val="center"/>
              <w:rPr>
                <w:rFonts w:ascii="黑体" w:hAnsi="黑体" w:eastAsia="黑体"/>
              </w:rPr>
            </w:pPr>
            <w:r>
              <w:rPr>
                <w:rFonts w:ascii="黑体" w:hAnsi="黑体" w:eastAsia="黑体"/>
              </w:rPr>
              <w:t>变化量</w:t>
            </w:r>
          </w:p>
          <w:p>
            <w:pPr>
              <w:jc w:val="center"/>
              <w:rPr>
                <w:rFonts w:ascii="黑体" w:hAnsi="黑体" w:eastAsia="黑体"/>
              </w:rPr>
            </w:pPr>
            <w:r>
              <w:rPr>
                <w:rFonts w:ascii="黑体" w:hAnsi="黑体" w:eastAsia="黑体"/>
              </w:rPr>
              <w:fldChar w:fldCharType="begin"/>
            </w:r>
            <w:r>
              <w:rPr>
                <w:rFonts w:ascii="黑体" w:hAnsi="黑体" w:eastAsia="黑体"/>
              </w:rPr>
              <w:instrText xml:space="preserve"> = 7 \* GB3 \* MERGEFORMAT </w:instrText>
            </w:r>
            <w:r>
              <w:rPr>
                <w:rFonts w:ascii="黑体" w:hAnsi="黑体" w:eastAsia="黑体"/>
              </w:rPr>
              <w:fldChar w:fldCharType="separate"/>
            </w:r>
            <w:r>
              <w:rPr>
                <w:rFonts w:hint="eastAsia" w:ascii="黑体" w:hAnsi="黑体" w:eastAsia="黑体"/>
              </w:rPr>
              <w:t>⑦</w:t>
            </w:r>
            <w:r>
              <w:rPr>
                <w:rFonts w:ascii="黑体" w:hAnsi="黑体" w:eastAsia="黑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restart"/>
            <w:vAlign w:val="center"/>
          </w:tcPr>
          <w:p>
            <w:pPr>
              <w:jc w:val="center"/>
            </w:pPr>
            <w:r>
              <w:rPr>
                <w:rFonts w:hint="eastAsia"/>
              </w:rPr>
              <w:t>废气</w:t>
            </w:r>
          </w:p>
        </w:tc>
        <w:tc>
          <w:tcPr>
            <w:tcW w:w="1542" w:type="dxa"/>
            <w:vAlign w:val="center"/>
          </w:tcPr>
          <w:p>
            <w:pPr>
              <w:jc w:val="center"/>
            </w:pPr>
            <w:r>
              <w:rPr>
                <w:rFonts w:hint="eastAsia"/>
              </w:rPr>
              <w:t>颗粒物</w:t>
            </w:r>
          </w:p>
        </w:tc>
        <w:tc>
          <w:tcPr>
            <w:tcW w:w="1542" w:type="dxa"/>
            <w:vAlign w:val="center"/>
          </w:tcPr>
          <w:p>
            <w:pPr>
              <w:jc w:val="center"/>
            </w:pPr>
            <w:r>
              <w:t>0</w:t>
            </w:r>
          </w:p>
        </w:tc>
        <w:tc>
          <w:tcPr>
            <w:tcW w:w="1542" w:type="dxa"/>
            <w:vAlign w:val="center"/>
          </w:tcPr>
          <w:p>
            <w:pPr>
              <w:jc w:val="center"/>
            </w:pPr>
            <w:r>
              <w:t>0</w:t>
            </w:r>
          </w:p>
        </w:tc>
        <w:tc>
          <w:tcPr>
            <w:tcW w:w="1542" w:type="dxa"/>
            <w:vAlign w:val="center"/>
          </w:tcPr>
          <w:p>
            <w:pPr>
              <w:jc w:val="center"/>
            </w:pPr>
            <w:r>
              <w:t>0</w:t>
            </w:r>
          </w:p>
        </w:tc>
        <w:tc>
          <w:tcPr>
            <w:tcW w:w="1542" w:type="dxa"/>
            <w:vAlign w:val="center"/>
          </w:tcPr>
          <w:p>
            <w:pPr>
              <w:jc w:val="center"/>
            </w:pPr>
            <w:r>
              <w:rPr>
                <w:rFonts w:hint="eastAsia"/>
              </w:rPr>
              <w:t>0.11</w:t>
            </w:r>
          </w:p>
        </w:tc>
        <w:tc>
          <w:tcPr>
            <w:tcW w:w="1542" w:type="dxa"/>
            <w:vAlign w:val="center"/>
          </w:tcPr>
          <w:p>
            <w:pPr>
              <w:jc w:val="center"/>
            </w:pPr>
            <w:r>
              <w:rPr>
                <w:rFonts w:hint="eastAsia"/>
              </w:rPr>
              <w:t>/</w:t>
            </w:r>
          </w:p>
        </w:tc>
        <w:tc>
          <w:tcPr>
            <w:tcW w:w="1853" w:type="dxa"/>
            <w:vAlign w:val="center"/>
          </w:tcPr>
          <w:p>
            <w:pPr>
              <w:jc w:val="center"/>
            </w:pPr>
            <w:r>
              <w:rPr>
                <w:rFonts w:hint="eastAsia"/>
              </w:rPr>
              <w:t>0.11</w:t>
            </w:r>
          </w:p>
        </w:tc>
        <w:tc>
          <w:tcPr>
            <w:tcW w:w="1231" w:type="dxa"/>
            <w:vAlign w:val="center"/>
          </w:tcPr>
          <w:p>
            <w:pPr>
              <w:tabs>
                <w:tab w:val="left" w:pos="2157"/>
              </w:tabs>
              <w:autoSpaceDE w:val="0"/>
              <w:autoSpaceDN w:val="0"/>
              <w:adjustRightInd w:val="0"/>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vAlign w:val="center"/>
          </w:tcPr>
          <w:p>
            <w:pPr>
              <w:jc w:val="center"/>
            </w:pPr>
          </w:p>
        </w:tc>
        <w:tc>
          <w:tcPr>
            <w:tcW w:w="1542" w:type="dxa"/>
            <w:vAlign w:val="center"/>
          </w:tcPr>
          <w:p>
            <w:pPr>
              <w:jc w:val="center"/>
            </w:pPr>
            <w:r>
              <w:rPr>
                <w:rFonts w:hint="eastAsia"/>
              </w:rPr>
              <w:t>油烟</w:t>
            </w:r>
          </w:p>
        </w:tc>
        <w:tc>
          <w:tcPr>
            <w:tcW w:w="1542" w:type="dxa"/>
            <w:vAlign w:val="center"/>
          </w:tcPr>
          <w:p>
            <w:pPr>
              <w:jc w:val="center"/>
            </w:pPr>
            <w:r>
              <w:t>0</w:t>
            </w:r>
          </w:p>
        </w:tc>
        <w:tc>
          <w:tcPr>
            <w:tcW w:w="1542" w:type="dxa"/>
            <w:vAlign w:val="center"/>
          </w:tcPr>
          <w:p>
            <w:pPr>
              <w:jc w:val="center"/>
            </w:pPr>
            <w:r>
              <w:t>0</w:t>
            </w:r>
          </w:p>
        </w:tc>
        <w:tc>
          <w:tcPr>
            <w:tcW w:w="1542" w:type="dxa"/>
            <w:vAlign w:val="center"/>
          </w:tcPr>
          <w:p>
            <w:pPr>
              <w:jc w:val="center"/>
            </w:pPr>
            <w:r>
              <w:t>0</w:t>
            </w:r>
          </w:p>
        </w:tc>
        <w:tc>
          <w:tcPr>
            <w:tcW w:w="1542" w:type="dxa"/>
            <w:vAlign w:val="center"/>
          </w:tcPr>
          <w:p>
            <w:pPr>
              <w:jc w:val="center"/>
            </w:pPr>
            <w:r>
              <w:rPr>
                <w:rFonts w:hint="eastAsia"/>
              </w:rPr>
              <w:t>0.04</w:t>
            </w:r>
          </w:p>
        </w:tc>
        <w:tc>
          <w:tcPr>
            <w:tcW w:w="1542" w:type="dxa"/>
            <w:vAlign w:val="center"/>
          </w:tcPr>
          <w:p>
            <w:pPr>
              <w:jc w:val="center"/>
            </w:pPr>
            <w:r>
              <w:rPr>
                <w:rFonts w:hint="eastAsia"/>
              </w:rPr>
              <w:t>/</w:t>
            </w:r>
          </w:p>
        </w:tc>
        <w:tc>
          <w:tcPr>
            <w:tcW w:w="1853" w:type="dxa"/>
            <w:vAlign w:val="center"/>
          </w:tcPr>
          <w:p>
            <w:pPr>
              <w:jc w:val="center"/>
            </w:pPr>
            <w:r>
              <w:rPr>
                <w:rFonts w:hint="eastAsia"/>
              </w:rPr>
              <w:t>0.44</w:t>
            </w:r>
          </w:p>
        </w:tc>
        <w:tc>
          <w:tcPr>
            <w:tcW w:w="1231" w:type="dxa"/>
            <w:vAlign w:val="center"/>
          </w:tcPr>
          <w:p>
            <w:pPr>
              <w:tabs>
                <w:tab w:val="left" w:pos="2157"/>
              </w:tabs>
              <w:autoSpaceDE w:val="0"/>
              <w:autoSpaceDN w:val="0"/>
              <w:adjustRightInd w:val="0"/>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vAlign w:val="center"/>
          </w:tcPr>
          <w:p>
            <w:pPr>
              <w:jc w:val="center"/>
            </w:pPr>
          </w:p>
        </w:tc>
        <w:tc>
          <w:tcPr>
            <w:tcW w:w="1542" w:type="dxa"/>
            <w:vAlign w:val="center"/>
          </w:tcPr>
          <w:p>
            <w:pPr>
              <w:spacing w:line="300" w:lineRule="auto"/>
              <w:jc w:val="center"/>
            </w:pPr>
            <w:r>
              <w:rPr>
                <w:rFonts w:hint="eastAsia"/>
              </w:rPr>
              <w:t>SO</w:t>
            </w:r>
            <w:r>
              <w:rPr>
                <w:rFonts w:hint="eastAsia"/>
                <w:vertAlign w:val="subscript"/>
              </w:rPr>
              <w:t>2</w:t>
            </w:r>
          </w:p>
        </w:tc>
        <w:tc>
          <w:tcPr>
            <w:tcW w:w="1542" w:type="dxa"/>
            <w:vAlign w:val="center"/>
          </w:tcPr>
          <w:p>
            <w:pPr>
              <w:jc w:val="center"/>
            </w:pPr>
            <w:r>
              <w:t>0</w:t>
            </w:r>
          </w:p>
        </w:tc>
        <w:tc>
          <w:tcPr>
            <w:tcW w:w="1542" w:type="dxa"/>
            <w:vAlign w:val="center"/>
          </w:tcPr>
          <w:p>
            <w:pPr>
              <w:jc w:val="center"/>
            </w:pPr>
            <w:r>
              <w:t>0</w:t>
            </w:r>
          </w:p>
        </w:tc>
        <w:tc>
          <w:tcPr>
            <w:tcW w:w="1542" w:type="dxa"/>
            <w:vAlign w:val="center"/>
          </w:tcPr>
          <w:p>
            <w:pPr>
              <w:jc w:val="center"/>
            </w:pPr>
            <w:r>
              <w:t>0</w:t>
            </w:r>
          </w:p>
        </w:tc>
        <w:tc>
          <w:tcPr>
            <w:tcW w:w="1542" w:type="dxa"/>
            <w:vAlign w:val="center"/>
          </w:tcPr>
          <w:p>
            <w:pPr>
              <w:spacing w:line="300" w:lineRule="auto"/>
              <w:jc w:val="center"/>
            </w:pPr>
            <w:r>
              <w:rPr>
                <w:rFonts w:hint="eastAsia"/>
              </w:rPr>
              <w:t>0.456</w:t>
            </w:r>
          </w:p>
        </w:tc>
        <w:tc>
          <w:tcPr>
            <w:tcW w:w="1542" w:type="dxa"/>
            <w:vAlign w:val="center"/>
          </w:tcPr>
          <w:p>
            <w:pPr>
              <w:jc w:val="center"/>
            </w:pPr>
            <w:r>
              <w:rPr>
                <w:rFonts w:hint="eastAsia"/>
              </w:rPr>
              <w:t>/</w:t>
            </w:r>
          </w:p>
        </w:tc>
        <w:tc>
          <w:tcPr>
            <w:tcW w:w="1853" w:type="dxa"/>
            <w:vAlign w:val="center"/>
          </w:tcPr>
          <w:p>
            <w:pPr>
              <w:spacing w:line="300" w:lineRule="auto"/>
              <w:jc w:val="center"/>
            </w:pPr>
            <w:r>
              <w:rPr>
                <w:rFonts w:hint="eastAsia"/>
              </w:rPr>
              <w:t>0.456</w:t>
            </w:r>
          </w:p>
        </w:tc>
        <w:tc>
          <w:tcPr>
            <w:tcW w:w="1231" w:type="dxa"/>
            <w:vAlign w:val="center"/>
          </w:tcPr>
          <w:p>
            <w:pPr>
              <w:tabs>
                <w:tab w:val="left" w:pos="2157"/>
              </w:tabs>
              <w:autoSpaceDE w:val="0"/>
              <w:autoSpaceDN w:val="0"/>
              <w:adjustRightInd w:val="0"/>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vAlign w:val="center"/>
          </w:tcPr>
          <w:p>
            <w:pPr>
              <w:jc w:val="center"/>
            </w:pPr>
          </w:p>
        </w:tc>
        <w:tc>
          <w:tcPr>
            <w:tcW w:w="1542" w:type="dxa"/>
            <w:vAlign w:val="center"/>
          </w:tcPr>
          <w:p>
            <w:pPr>
              <w:spacing w:line="300" w:lineRule="auto"/>
              <w:jc w:val="center"/>
            </w:pPr>
            <w:r>
              <w:rPr>
                <w:rFonts w:hint="eastAsia"/>
              </w:rPr>
              <w:t>NO</w:t>
            </w:r>
            <w:r>
              <w:rPr>
                <w:rFonts w:hint="eastAsia"/>
                <w:vertAlign w:val="subscript"/>
              </w:rPr>
              <w:t>X</w:t>
            </w:r>
          </w:p>
        </w:tc>
        <w:tc>
          <w:tcPr>
            <w:tcW w:w="1542" w:type="dxa"/>
            <w:vAlign w:val="center"/>
          </w:tcPr>
          <w:p>
            <w:pPr>
              <w:jc w:val="center"/>
            </w:pPr>
            <w:r>
              <w:t>0</w:t>
            </w:r>
          </w:p>
        </w:tc>
        <w:tc>
          <w:tcPr>
            <w:tcW w:w="1542" w:type="dxa"/>
            <w:vAlign w:val="center"/>
          </w:tcPr>
          <w:p>
            <w:pPr>
              <w:jc w:val="center"/>
            </w:pPr>
            <w:r>
              <w:t>0</w:t>
            </w:r>
          </w:p>
        </w:tc>
        <w:tc>
          <w:tcPr>
            <w:tcW w:w="1542" w:type="dxa"/>
            <w:vAlign w:val="center"/>
          </w:tcPr>
          <w:p>
            <w:pPr>
              <w:jc w:val="center"/>
            </w:pPr>
            <w:r>
              <w:t>0</w:t>
            </w:r>
          </w:p>
        </w:tc>
        <w:tc>
          <w:tcPr>
            <w:tcW w:w="1542" w:type="dxa"/>
            <w:vAlign w:val="center"/>
          </w:tcPr>
          <w:p>
            <w:pPr>
              <w:spacing w:line="300" w:lineRule="auto"/>
              <w:jc w:val="center"/>
            </w:pPr>
            <w:r>
              <w:rPr>
                <w:rFonts w:hint="eastAsia"/>
              </w:rPr>
              <w:t>1.81</w:t>
            </w:r>
          </w:p>
        </w:tc>
        <w:tc>
          <w:tcPr>
            <w:tcW w:w="1542" w:type="dxa"/>
            <w:vAlign w:val="center"/>
          </w:tcPr>
          <w:p>
            <w:pPr>
              <w:jc w:val="center"/>
            </w:pPr>
            <w:r>
              <w:rPr>
                <w:rFonts w:hint="eastAsia"/>
              </w:rPr>
              <w:t>/</w:t>
            </w:r>
          </w:p>
        </w:tc>
        <w:tc>
          <w:tcPr>
            <w:tcW w:w="1853" w:type="dxa"/>
            <w:vAlign w:val="center"/>
          </w:tcPr>
          <w:p>
            <w:pPr>
              <w:spacing w:line="300" w:lineRule="auto"/>
              <w:jc w:val="center"/>
            </w:pPr>
            <w:r>
              <w:rPr>
                <w:rFonts w:hint="eastAsia"/>
              </w:rPr>
              <w:t>1.81</w:t>
            </w:r>
          </w:p>
        </w:tc>
        <w:tc>
          <w:tcPr>
            <w:tcW w:w="1231" w:type="dxa"/>
            <w:vAlign w:val="center"/>
          </w:tcPr>
          <w:p>
            <w:pPr>
              <w:tabs>
                <w:tab w:val="left" w:pos="2157"/>
              </w:tabs>
              <w:autoSpaceDE w:val="0"/>
              <w:autoSpaceDN w:val="0"/>
              <w:adjustRightInd w:val="0"/>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restart"/>
            <w:vAlign w:val="center"/>
          </w:tcPr>
          <w:p>
            <w:pPr>
              <w:jc w:val="center"/>
            </w:pPr>
            <w:r>
              <w:rPr>
                <w:rFonts w:hint="eastAsia"/>
              </w:rPr>
              <w:t>废水</w:t>
            </w:r>
          </w:p>
        </w:tc>
        <w:tc>
          <w:tcPr>
            <w:tcW w:w="1542" w:type="dxa"/>
            <w:vAlign w:val="center"/>
          </w:tcPr>
          <w:p>
            <w:pPr>
              <w:jc w:val="center"/>
            </w:pPr>
            <w:r>
              <w:rPr>
                <w:rFonts w:hint="eastAsia"/>
              </w:rPr>
              <w:t>废水量</w:t>
            </w:r>
          </w:p>
        </w:tc>
        <w:tc>
          <w:tcPr>
            <w:tcW w:w="1542" w:type="dxa"/>
            <w:vAlign w:val="center"/>
          </w:tcPr>
          <w:p>
            <w:pPr>
              <w:jc w:val="center"/>
            </w:pPr>
            <w:r>
              <w:t>0</w:t>
            </w:r>
          </w:p>
        </w:tc>
        <w:tc>
          <w:tcPr>
            <w:tcW w:w="1542" w:type="dxa"/>
            <w:vAlign w:val="center"/>
          </w:tcPr>
          <w:p>
            <w:pPr>
              <w:jc w:val="center"/>
            </w:pPr>
            <w:r>
              <w:t>0</w:t>
            </w:r>
          </w:p>
        </w:tc>
        <w:tc>
          <w:tcPr>
            <w:tcW w:w="1542" w:type="dxa"/>
            <w:vAlign w:val="center"/>
          </w:tcPr>
          <w:p>
            <w:pPr>
              <w:jc w:val="center"/>
            </w:pPr>
            <w:r>
              <w:t>0</w:t>
            </w:r>
          </w:p>
        </w:tc>
        <w:tc>
          <w:tcPr>
            <w:tcW w:w="1542" w:type="dxa"/>
            <w:vAlign w:val="center"/>
          </w:tcPr>
          <w:p>
            <w:pPr>
              <w:jc w:val="center"/>
            </w:pPr>
            <w:r>
              <w:rPr>
                <w:rFonts w:hint="eastAsia"/>
              </w:rPr>
              <w:t>11720</w:t>
            </w:r>
          </w:p>
        </w:tc>
        <w:tc>
          <w:tcPr>
            <w:tcW w:w="1542" w:type="dxa"/>
            <w:vAlign w:val="center"/>
          </w:tcPr>
          <w:p>
            <w:pPr>
              <w:jc w:val="center"/>
            </w:pPr>
            <w:r>
              <w:rPr>
                <w:rFonts w:hint="eastAsia"/>
              </w:rPr>
              <w:t>/</w:t>
            </w:r>
          </w:p>
        </w:tc>
        <w:tc>
          <w:tcPr>
            <w:tcW w:w="1853" w:type="dxa"/>
            <w:vAlign w:val="center"/>
          </w:tcPr>
          <w:p>
            <w:pPr>
              <w:jc w:val="center"/>
            </w:pPr>
            <w:r>
              <w:rPr>
                <w:rFonts w:hint="eastAsia"/>
              </w:rPr>
              <w:t>11720</w:t>
            </w:r>
          </w:p>
        </w:tc>
        <w:tc>
          <w:tcPr>
            <w:tcW w:w="1231" w:type="dxa"/>
            <w:vAlign w:val="center"/>
          </w:tcPr>
          <w:p>
            <w:pPr>
              <w:tabs>
                <w:tab w:val="left" w:pos="2157"/>
              </w:tabs>
              <w:autoSpaceDE w:val="0"/>
              <w:autoSpaceDN w:val="0"/>
              <w:adjustRightInd w:val="0"/>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vAlign w:val="center"/>
          </w:tcPr>
          <w:p>
            <w:pPr>
              <w:jc w:val="center"/>
            </w:pPr>
          </w:p>
        </w:tc>
        <w:tc>
          <w:tcPr>
            <w:tcW w:w="1542" w:type="dxa"/>
            <w:vAlign w:val="center"/>
          </w:tcPr>
          <w:p>
            <w:pPr>
              <w:jc w:val="center"/>
            </w:pPr>
            <w:r>
              <w:rPr>
                <w:rFonts w:hint="eastAsia"/>
              </w:rPr>
              <w:t>COD</w:t>
            </w:r>
          </w:p>
        </w:tc>
        <w:tc>
          <w:tcPr>
            <w:tcW w:w="1542" w:type="dxa"/>
            <w:vAlign w:val="center"/>
          </w:tcPr>
          <w:p>
            <w:pPr>
              <w:jc w:val="center"/>
            </w:pPr>
            <w:r>
              <w:t>0</w:t>
            </w:r>
          </w:p>
        </w:tc>
        <w:tc>
          <w:tcPr>
            <w:tcW w:w="1542" w:type="dxa"/>
            <w:vAlign w:val="center"/>
          </w:tcPr>
          <w:p>
            <w:pPr>
              <w:jc w:val="center"/>
            </w:pPr>
            <w:r>
              <w:t>0</w:t>
            </w:r>
          </w:p>
        </w:tc>
        <w:tc>
          <w:tcPr>
            <w:tcW w:w="1542" w:type="dxa"/>
            <w:vAlign w:val="center"/>
          </w:tcPr>
          <w:p>
            <w:pPr>
              <w:jc w:val="center"/>
            </w:pPr>
            <w:r>
              <w:t>0</w:t>
            </w:r>
          </w:p>
        </w:tc>
        <w:tc>
          <w:tcPr>
            <w:tcW w:w="1542" w:type="dxa"/>
            <w:vAlign w:val="center"/>
          </w:tcPr>
          <w:p>
            <w:pPr>
              <w:jc w:val="center"/>
            </w:pPr>
            <w:r>
              <w:rPr>
                <w:rFonts w:hint="eastAsia"/>
              </w:rPr>
              <w:t>4.14</w:t>
            </w:r>
          </w:p>
        </w:tc>
        <w:tc>
          <w:tcPr>
            <w:tcW w:w="1542" w:type="dxa"/>
            <w:vAlign w:val="center"/>
          </w:tcPr>
          <w:p>
            <w:pPr>
              <w:jc w:val="center"/>
            </w:pPr>
            <w:r>
              <w:rPr>
                <w:rFonts w:hint="eastAsia"/>
              </w:rPr>
              <w:t>/</w:t>
            </w:r>
          </w:p>
        </w:tc>
        <w:tc>
          <w:tcPr>
            <w:tcW w:w="1853" w:type="dxa"/>
            <w:vAlign w:val="center"/>
          </w:tcPr>
          <w:p>
            <w:pPr>
              <w:jc w:val="center"/>
            </w:pPr>
            <w:r>
              <w:rPr>
                <w:rFonts w:hint="eastAsia"/>
              </w:rPr>
              <w:t>4.14</w:t>
            </w:r>
          </w:p>
        </w:tc>
        <w:tc>
          <w:tcPr>
            <w:tcW w:w="1231" w:type="dxa"/>
            <w:vAlign w:val="center"/>
          </w:tcPr>
          <w:p>
            <w:pPr>
              <w:tabs>
                <w:tab w:val="left" w:pos="2157"/>
              </w:tabs>
              <w:autoSpaceDE w:val="0"/>
              <w:autoSpaceDN w:val="0"/>
              <w:adjustRightInd w:val="0"/>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vAlign w:val="center"/>
          </w:tcPr>
          <w:p>
            <w:pPr>
              <w:jc w:val="center"/>
            </w:pPr>
          </w:p>
        </w:tc>
        <w:tc>
          <w:tcPr>
            <w:tcW w:w="1542" w:type="dxa"/>
            <w:vAlign w:val="center"/>
          </w:tcPr>
          <w:p>
            <w:pPr>
              <w:jc w:val="center"/>
            </w:pPr>
            <w:r>
              <w:rPr>
                <w:rFonts w:hint="eastAsia"/>
              </w:rPr>
              <w:t>氨氮</w:t>
            </w:r>
          </w:p>
        </w:tc>
        <w:tc>
          <w:tcPr>
            <w:tcW w:w="1542" w:type="dxa"/>
            <w:vAlign w:val="center"/>
          </w:tcPr>
          <w:p>
            <w:pPr>
              <w:jc w:val="center"/>
            </w:pPr>
            <w:r>
              <w:t>0</w:t>
            </w:r>
          </w:p>
        </w:tc>
        <w:tc>
          <w:tcPr>
            <w:tcW w:w="1542" w:type="dxa"/>
            <w:vAlign w:val="center"/>
          </w:tcPr>
          <w:p>
            <w:pPr>
              <w:jc w:val="center"/>
            </w:pPr>
            <w:r>
              <w:t>0</w:t>
            </w:r>
          </w:p>
        </w:tc>
        <w:tc>
          <w:tcPr>
            <w:tcW w:w="1542" w:type="dxa"/>
            <w:vAlign w:val="center"/>
          </w:tcPr>
          <w:p>
            <w:pPr>
              <w:jc w:val="center"/>
            </w:pPr>
            <w:r>
              <w:t>0</w:t>
            </w:r>
          </w:p>
        </w:tc>
        <w:tc>
          <w:tcPr>
            <w:tcW w:w="1542" w:type="dxa"/>
            <w:vAlign w:val="center"/>
          </w:tcPr>
          <w:p>
            <w:pPr>
              <w:jc w:val="center"/>
            </w:pPr>
            <w:r>
              <w:rPr>
                <w:rFonts w:hint="eastAsia"/>
              </w:rPr>
              <w:t>0.019</w:t>
            </w:r>
          </w:p>
        </w:tc>
        <w:tc>
          <w:tcPr>
            <w:tcW w:w="1542" w:type="dxa"/>
            <w:vAlign w:val="center"/>
          </w:tcPr>
          <w:p>
            <w:pPr>
              <w:jc w:val="center"/>
            </w:pPr>
            <w:r>
              <w:rPr>
                <w:rFonts w:hint="eastAsia"/>
              </w:rPr>
              <w:t>/</w:t>
            </w:r>
          </w:p>
        </w:tc>
        <w:tc>
          <w:tcPr>
            <w:tcW w:w="1853" w:type="dxa"/>
            <w:vAlign w:val="center"/>
          </w:tcPr>
          <w:p>
            <w:pPr>
              <w:jc w:val="center"/>
            </w:pPr>
            <w:r>
              <w:rPr>
                <w:rFonts w:hint="eastAsia"/>
              </w:rPr>
              <w:t>0.019</w:t>
            </w:r>
          </w:p>
        </w:tc>
        <w:tc>
          <w:tcPr>
            <w:tcW w:w="1231" w:type="dxa"/>
            <w:vAlign w:val="center"/>
          </w:tcPr>
          <w:p>
            <w:pPr>
              <w:tabs>
                <w:tab w:val="left" w:pos="2157"/>
              </w:tabs>
              <w:autoSpaceDE w:val="0"/>
              <w:autoSpaceDN w:val="0"/>
              <w:adjustRightInd w:val="0"/>
              <w:jc w:val="center"/>
            </w:pPr>
            <w:r>
              <w:rPr>
                <w:rFonts w:hint="eastAsia"/>
              </w:rPr>
              <w:t>0</w:t>
            </w:r>
          </w:p>
        </w:tc>
      </w:tr>
    </w:tbl>
    <w:p>
      <w:pPr>
        <w:pStyle w:val="37"/>
        <w:spacing w:before="260" w:beforeLines="80" w:after="32"/>
        <w:ind w:firstLine="480"/>
        <w:jc w:val="left"/>
        <w:rPr>
          <w:rFonts w:ascii="Times New Roman"/>
          <w:szCs w:val="21"/>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r>
        <w:rPr>
          <w:rFonts w:hint="eastAsia" w:ascii="Times New Roman"/>
          <w:snapToGrid w:val="0"/>
          <w:spacing w:val="-6"/>
          <w:kern w:val="21"/>
          <w:szCs w:val="21"/>
        </w:rPr>
        <w:t>；单位：</w:t>
      </w:r>
      <w:r>
        <w:rPr>
          <w:rFonts w:ascii="Times New Roman"/>
          <w:szCs w:val="21"/>
        </w:rPr>
        <w:t>t/a</w:t>
      </w:r>
    </w:p>
    <w:p>
      <w:pPr>
        <w:rPr>
          <w:color w:val="FF0000"/>
        </w:rPr>
      </w:pPr>
    </w:p>
    <w:sectPr>
      <w:pgSz w:w="16838" w:h="11906" w:orient="landscape"/>
      <w:pgMar w:top="1418" w:right="1588" w:bottom="1418" w:left="1588" w:header="851" w:footer="992"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p>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p>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8347"/>
      <w:docPartObj>
        <w:docPartGallery w:val="AutoText"/>
      </w:docPartObj>
    </w:sdtPr>
    <w:sdtContent>
      <w:p>
        <w:pPr>
          <w:pStyle w:val="12"/>
          <w:ind w:firstLine="360"/>
          <w:jc w:val="center"/>
        </w:pPr>
        <w:r>
          <w:fldChar w:fldCharType="begin"/>
        </w:r>
        <w:r>
          <w:instrText xml:space="preserve">PAGE   \* MERGEFORMAT</w:instrText>
        </w:r>
        <w:r>
          <w:fldChar w:fldCharType="separate"/>
        </w:r>
        <w:r>
          <w:rPr>
            <w:lang w:val="zh-CN"/>
          </w:rPr>
          <w:t>-</w:t>
        </w:r>
        <w:r>
          <w:t xml:space="preserve"> 36 -</w:t>
        </w:r>
        <w:r>
          <w:fldChar w:fldCharType="end"/>
        </w:r>
      </w:p>
    </w:sdtContent>
  </w:sdt>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31362"/>
    <w:multiLevelType w:val="singleLevel"/>
    <w:tmpl w:val="BE431362"/>
    <w:lvl w:ilvl="0" w:tentative="0">
      <w:start w:val="1"/>
      <w:numFmt w:val="decimal"/>
      <w:suff w:val="nothing"/>
      <w:lvlText w:val="%1、"/>
      <w:lvlJc w:val="left"/>
      <w:pPr>
        <w:ind w:left="0" w:firstLine="0"/>
      </w:pPr>
    </w:lvl>
  </w:abstractNum>
  <w:abstractNum w:abstractNumId="1">
    <w:nsid w:val="20295827"/>
    <w:multiLevelType w:val="singleLevel"/>
    <w:tmpl w:val="20295827"/>
    <w:lvl w:ilvl="0" w:tentative="0">
      <w:start w:val="3"/>
      <w:numFmt w:val="decimal"/>
      <w:suff w:val="nothing"/>
      <w:lvlText w:val="%1、"/>
      <w:lvlJc w:val="left"/>
      <w:pPr>
        <w:ind w:left="0" w:firstLine="0"/>
      </w:pPr>
    </w:lvl>
  </w:abstractNum>
  <w:abstractNum w:abstractNumId="2">
    <w:nsid w:val="58E1750B"/>
    <w:multiLevelType w:val="multilevel"/>
    <w:tmpl w:val="58E1750B"/>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676173C"/>
    <w:multiLevelType w:val="multilevel"/>
    <w:tmpl w:val="6676173C"/>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77D73CCC"/>
    <w:multiLevelType w:val="multilevel"/>
    <w:tmpl w:val="77D73CCC"/>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num>
  <w:num w:numId="2">
    <w:abstractNumId w:val="1"/>
    <w:lvlOverride w:ilvl="0">
      <w:startOverride w:val="3"/>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ZTAyMDI0MzRlNWU1ZTQ0NWI0YTM4YmMyNDQ4YWYifQ=="/>
  </w:docVars>
  <w:rsids>
    <w:rsidRoot w:val="00442E9F"/>
    <w:rsid w:val="00002B37"/>
    <w:rsid w:val="00002FED"/>
    <w:rsid w:val="00005955"/>
    <w:rsid w:val="00005B91"/>
    <w:rsid w:val="00006223"/>
    <w:rsid w:val="00006393"/>
    <w:rsid w:val="0000652F"/>
    <w:rsid w:val="00010A75"/>
    <w:rsid w:val="00010AFA"/>
    <w:rsid w:val="0001253A"/>
    <w:rsid w:val="00013B63"/>
    <w:rsid w:val="00014F71"/>
    <w:rsid w:val="00017858"/>
    <w:rsid w:val="00017AE6"/>
    <w:rsid w:val="00020694"/>
    <w:rsid w:val="000237E7"/>
    <w:rsid w:val="000238CD"/>
    <w:rsid w:val="00025155"/>
    <w:rsid w:val="000300DA"/>
    <w:rsid w:val="00030DDC"/>
    <w:rsid w:val="00031F46"/>
    <w:rsid w:val="00032FCC"/>
    <w:rsid w:val="0003439B"/>
    <w:rsid w:val="000346ED"/>
    <w:rsid w:val="00034745"/>
    <w:rsid w:val="000350DE"/>
    <w:rsid w:val="00036E6F"/>
    <w:rsid w:val="00037DED"/>
    <w:rsid w:val="00042E69"/>
    <w:rsid w:val="000430E9"/>
    <w:rsid w:val="00044059"/>
    <w:rsid w:val="000442E8"/>
    <w:rsid w:val="00044942"/>
    <w:rsid w:val="00045598"/>
    <w:rsid w:val="00045D18"/>
    <w:rsid w:val="00046CBD"/>
    <w:rsid w:val="00051ED4"/>
    <w:rsid w:val="0005227E"/>
    <w:rsid w:val="00056FB9"/>
    <w:rsid w:val="00060DE3"/>
    <w:rsid w:val="0006139B"/>
    <w:rsid w:val="000631BD"/>
    <w:rsid w:val="00063ED2"/>
    <w:rsid w:val="00066A8B"/>
    <w:rsid w:val="00067074"/>
    <w:rsid w:val="00067EDF"/>
    <w:rsid w:val="0007034E"/>
    <w:rsid w:val="000716FD"/>
    <w:rsid w:val="00071BDD"/>
    <w:rsid w:val="000730B8"/>
    <w:rsid w:val="00073E99"/>
    <w:rsid w:val="000742FF"/>
    <w:rsid w:val="00075274"/>
    <w:rsid w:val="00076254"/>
    <w:rsid w:val="00076623"/>
    <w:rsid w:val="00080BD0"/>
    <w:rsid w:val="00080E1C"/>
    <w:rsid w:val="000822E5"/>
    <w:rsid w:val="000824B0"/>
    <w:rsid w:val="000850B9"/>
    <w:rsid w:val="00086C0B"/>
    <w:rsid w:val="0008746C"/>
    <w:rsid w:val="00087A1A"/>
    <w:rsid w:val="00090D73"/>
    <w:rsid w:val="000911ED"/>
    <w:rsid w:val="00091469"/>
    <w:rsid w:val="000921F4"/>
    <w:rsid w:val="00092B77"/>
    <w:rsid w:val="0009649A"/>
    <w:rsid w:val="0009741D"/>
    <w:rsid w:val="000975B1"/>
    <w:rsid w:val="000A09E8"/>
    <w:rsid w:val="000A2750"/>
    <w:rsid w:val="000A36F1"/>
    <w:rsid w:val="000A5B95"/>
    <w:rsid w:val="000A5EAC"/>
    <w:rsid w:val="000A6020"/>
    <w:rsid w:val="000A64AD"/>
    <w:rsid w:val="000B2C9E"/>
    <w:rsid w:val="000B4507"/>
    <w:rsid w:val="000B4C1F"/>
    <w:rsid w:val="000B4E48"/>
    <w:rsid w:val="000B536F"/>
    <w:rsid w:val="000B6A36"/>
    <w:rsid w:val="000C3990"/>
    <w:rsid w:val="000C468B"/>
    <w:rsid w:val="000C4812"/>
    <w:rsid w:val="000C61A5"/>
    <w:rsid w:val="000D4177"/>
    <w:rsid w:val="000D543E"/>
    <w:rsid w:val="000D607D"/>
    <w:rsid w:val="000E1F78"/>
    <w:rsid w:val="000E2A16"/>
    <w:rsid w:val="000E2FF5"/>
    <w:rsid w:val="000E3910"/>
    <w:rsid w:val="000E3CD8"/>
    <w:rsid w:val="000E3F36"/>
    <w:rsid w:val="000E5680"/>
    <w:rsid w:val="000E67D7"/>
    <w:rsid w:val="000E7FF3"/>
    <w:rsid w:val="000F0478"/>
    <w:rsid w:val="000F073E"/>
    <w:rsid w:val="000F2723"/>
    <w:rsid w:val="000F3830"/>
    <w:rsid w:val="000F3965"/>
    <w:rsid w:val="000F6814"/>
    <w:rsid w:val="001009B3"/>
    <w:rsid w:val="00102C7A"/>
    <w:rsid w:val="00103700"/>
    <w:rsid w:val="00104081"/>
    <w:rsid w:val="001057F0"/>
    <w:rsid w:val="001070C3"/>
    <w:rsid w:val="00107E17"/>
    <w:rsid w:val="001117A1"/>
    <w:rsid w:val="00111FD0"/>
    <w:rsid w:val="001136AE"/>
    <w:rsid w:val="00113A6F"/>
    <w:rsid w:val="001157FB"/>
    <w:rsid w:val="00115CD7"/>
    <w:rsid w:val="00117A01"/>
    <w:rsid w:val="00120067"/>
    <w:rsid w:val="001203BF"/>
    <w:rsid w:val="00120777"/>
    <w:rsid w:val="00121752"/>
    <w:rsid w:val="001221FA"/>
    <w:rsid w:val="00124321"/>
    <w:rsid w:val="0012627B"/>
    <w:rsid w:val="00126EFE"/>
    <w:rsid w:val="0012791B"/>
    <w:rsid w:val="0013135B"/>
    <w:rsid w:val="0013160D"/>
    <w:rsid w:val="001322D2"/>
    <w:rsid w:val="0013570C"/>
    <w:rsid w:val="00140D31"/>
    <w:rsid w:val="0014169D"/>
    <w:rsid w:val="00142360"/>
    <w:rsid w:val="00143A3F"/>
    <w:rsid w:val="00143AAF"/>
    <w:rsid w:val="00144A80"/>
    <w:rsid w:val="00144E13"/>
    <w:rsid w:val="00145CB6"/>
    <w:rsid w:val="00145FE0"/>
    <w:rsid w:val="001463E8"/>
    <w:rsid w:val="00146852"/>
    <w:rsid w:val="00146A89"/>
    <w:rsid w:val="0014736C"/>
    <w:rsid w:val="001473F5"/>
    <w:rsid w:val="001477C1"/>
    <w:rsid w:val="00150C93"/>
    <w:rsid w:val="001525F4"/>
    <w:rsid w:val="0015301C"/>
    <w:rsid w:val="00153313"/>
    <w:rsid w:val="00155308"/>
    <w:rsid w:val="00155904"/>
    <w:rsid w:val="00156E47"/>
    <w:rsid w:val="00157773"/>
    <w:rsid w:val="00160407"/>
    <w:rsid w:val="0016079D"/>
    <w:rsid w:val="00160983"/>
    <w:rsid w:val="00161557"/>
    <w:rsid w:val="001616F1"/>
    <w:rsid w:val="001623E3"/>
    <w:rsid w:val="00165699"/>
    <w:rsid w:val="001658FF"/>
    <w:rsid w:val="00165D6C"/>
    <w:rsid w:val="00166EAC"/>
    <w:rsid w:val="00167BDC"/>
    <w:rsid w:val="00170518"/>
    <w:rsid w:val="001708D8"/>
    <w:rsid w:val="00172029"/>
    <w:rsid w:val="00172149"/>
    <w:rsid w:val="00173346"/>
    <w:rsid w:val="0017426D"/>
    <w:rsid w:val="001743DC"/>
    <w:rsid w:val="00174DF1"/>
    <w:rsid w:val="0017509A"/>
    <w:rsid w:val="0017510A"/>
    <w:rsid w:val="0017696C"/>
    <w:rsid w:val="00176AE1"/>
    <w:rsid w:val="001776CE"/>
    <w:rsid w:val="00177C83"/>
    <w:rsid w:val="00181CB3"/>
    <w:rsid w:val="00181CD3"/>
    <w:rsid w:val="001826CC"/>
    <w:rsid w:val="00184F49"/>
    <w:rsid w:val="0018520C"/>
    <w:rsid w:val="00185F11"/>
    <w:rsid w:val="00186224"/>
    <w:rsid w:val="001863A7"/>
    <w:rsid w:val="00186B28"/>
    <w:rsid w:val="00190F6A"/>
    <w:rsid w:val="00192358"/>
    <w:rsid w:val="00192DDB"/>
    <w:rsid w:val="00195ACC"/>
    <w:rsid w:val="00195DEE"/>
    <w:rsid w:val="001965D6"/>
    <w:rsid w:val="00197595"/>
    <w:rsid w:val="00197E7F"/>
    <w:rsid w:val="001A18EC"/>
    <w:rsid w:val="001A279E"/>
    <w:rsid w:val="001A4AE4"/>
    <w:rsid w:val="001A6014"/>
    <w:rsid w:val="001A7464"/>
    <w:rsid w:val="001B0D61"/>
    <w:rsid w:val="001B0E13"/>
    <w:rsid w:val="001B1707"/>
    <w:rsid w:val="001B38FA"/>
    <w:rsid w:val="001B3DE9"/>
    <w:rsid w:val="001B46F7"/>
    <w:rsid w:val="001B4B36"/>
    <w:rsid w:val="001B52B3"/>
    <w:rsid w:val="001B5E41"/>
    <w:rsid w:val="001B5E61"/>
    <w:rsid w:val="001B5EA0"/>
    <w:rsid w:val="001B6D0F"/>
    <w:rsid w:val="001B7E05"/>
    <w:rsid w:val="001C22C5"/>
    <w:rsid w:val="001C3DC9"/>
    <w:rsid w:val="001C52F7"/>
    <w:rsid w:val="001C7055"/>
    <w:rsid w:val="001C72B5"/>
    <w:rsid w:val="001D585D"/>
    <w:rsid w:val="001E0B88"/>
    <w:rsid w:val="001E0CF9"/>
    <w:rsid w:val="001E0F6C"/>
    <w:rsid w:val="001E1A0A"/>
    <w:rsid w:val="001E2351"/>
    <w:rsid w:val="001E357C"/>
    <w:rsid w:val="001E4FA4"/>
    <w:rsid w:val="001E726A"/>
    <w:rsid w:val="001F0054"/>
    <w:rsid w:val="001F1F92"/>
    <w:rsid w:val="001F3E4A"/>
    <w:rsid w:val="001F4262"/>
    <w:rsid w:val="001F4693"/>
    <w:rsid w:val="001F5D84"/>
    <w:rsid w:val="001F5DE7"/>
    <w:rsid w:val="0020111B"/>
    <w:rsid w:val="00201E3B"/>
    <w:rsid w:val="00203061"/>
    <w:rsid w:val="00203C39"/>
    <w:rsid w:val="00205161"/>
    <w:rsid w:val="00205BB7"/>
    <w:rsid w:val="00205EF0"/>
    <w:rsid w:val="0020633B"/>
    <w:rsid w:val="00206D99"/>
    <w:rsid w:val="002111BA"/>
    <w:rsid w:val="00212F3D"/>
    <w:rsid w:val="00216AF5"/>
    <w:rsid w:val="002173AA"/>
    <w:rsid w:val="002178B8"/>
    <w:rsid w:val="00220604"/>
    <w:rsid w:val="00220FA8"/>
    <w:rsid w:val="0022198B"/>
    <w:rsid w:val="00221B35"/>
    <w:rsid w:val="002235E8"/>
    <w:rsid w:val="00224F60"/>
    <w:rsid w:val="002269B7"/>
    <w:rsid w:val="0023013A"/>
    <w:rsid w:val="00230E04"/>
    <w:rsid w:val="002312CF"/>
    <w:rsid w:val="00231D14"/>
    <w:rsid w:val="00232FC3"/>
    <w:rsid w:val="00233112"/>
    <w:rsid w:val="00237BC3"/>
    <w:rsid w:val="0024090B"/>
    <w:rsid w:val="00240DAA"/>
    <w:rsid w:val="002424E3"/>
    <w:rsid w:val="0024275E"/>
    <w:rsid w:val="00242BB4"/>
    <w:rsid w:val="00242D14"/>
    <w:rsid w:val="0024350A"/>
    <w:rsid w:val="00243588"/>
    <w:rsid w:val="00245FB8"/>
    <w:rsid w:val="00246A27"/>
    <w:rsid w:val="002477DA"/>
    <w:rsid w:val="00247A46"/>
    <w:rsid w:val="0025048E"/>
    <w:rsid w:val="00250E1E"/>
    <w:rsid w:val="00252254"/>
    <w:rsid w:val="00252818"/>
    <w:rsid w:val="00253085"/>
    <w:rsid w:val="00254796"/>
    <w:rsid w:val="002561D4"/>
    <w:rsid w:val="00256361"/>
    <w:rsid w:val="0025656E"/>
    <w:rsid w:val="00256BDB"/>
    <w:rsid w:val="002570D5"/>
    <w:rsid w:val="00257D3E"/>
    <w:rsid w:val="002606FA"/>
    <w:rsid w:val="00264FCC"/>
    <w:rsid w:val="00265A63"/>
    <w:rsid w:val="0026669B"/>
    <w:rsid w:val="00266EB5"/>
    <w:rsid w:val="002752FA"/>
    <w:rsid w:val="002755DF"/>
    <w:rsid w:val="002763CC"/>
    <w:rsid w:val="00276A4B"/>
    <w:rsid w:val="00276B07"/>
    <w:rsid w:val="00276FB5"/>
    <w:rsid w:val="00280EB1"/>
    <w:rsid w:val="0028298C"/>
    <w:rsid w:val="00283B24"/>
    <w:rsid w:val="00283FDA"/>
    <w:rsid w:val="00287339"/>
    <w:rsid w:val="00290D9E"/>
    <w:rsid w:val="002943FF"/>
    <w:rsid w:val="002952E4"/>
    <w:rsid w:val="00295347"/>
    <w:rsid w:val="002954C5"/>
    <w:rsid w:val="002958AF"/>
    <w:rsid w:val="00295C6B"/>
    <w:rsid w:val="00297A63"/>
    <w:rsid w:val="00297E56"/>
    <w:rsid w:val="002A08EB"/>
    <w:rsid w:val="002A14A2"/>
    <w:rsid w:val="002A14EB"/>
    <w:rsid w:val="002A1FD9"/>
    <w:rsid w:val="002A2F88"/>
    <w:rsid w:val="002A316E"/>
    <w:rsid w:val="002A355C"/>
    <w:rsid w:val="002A37FC"/>
    <w:rsid w:val="002A6A40"/>
    <w:rsid w:val="002B03B7"/>
    <w:rsid w:val="002B1164"/>
    <w:rsid w:val="002B34A3"/>
    <w:rsid w:val="002B431A"/>
    <w:rsid w:val="002B623C"/>
    <w:rsid w:val="002C014E"/>
    <w:rsid w:val="002C150B"/>
    <w:rsid w:val="002C1976"/>
    <w:rsid w:val="002C1CA4"/>
    <w:rsid w:val="002C2BEA"/>
    <w:rsid w:val="002C46E0"/>
    <w:rsid w:val="002C4A29"/>
    <w:rsid w:val="002C52DF"/>
    <w:rsid w:val="002C7AE0"/>
    <w:rsid w:val="002D34B9"/>
    <w:rsid w:val="002D5611"/>
    <w:rsid w:val="002D680A"/>
    <w:rsid w:val="002D7706"/>
    <w:rsid w:val="002E09BD"/>
    <w:rsid w:val="002E17D9"/>
    <w:rsid w:val="002E29E2"/>
    <w:rsid w:val="002E37CD"/>
    <w:rsid w:val="002E4250"/>
    <w:rsid w:val="002E46EA"/>
    <w:rsid w:val="002E4ADC"/>
    <w:rsid w:val="002E5977"/>
    <w:rsid w:val="002E7E9F"/>
    <w:rsid w:val="002F0C07"/>
    <w:rsid w:val="002F0F74"/>
    <w:rsid w:val="002F1A50"/>
    <w:rsid w:val="002F2328"/>
    <w:rsid w:val="002F4EB5"/>
    <w:rsid w:val="002F5942"/>
    <w:rsid w:val="002F7DB1"/>
    <w:rsid w:val="00303345"/>
    <w:rsid w:val="003041C6"/>
    <w:rsid w:val="0030461E"/>
    <w:rsid w:val="00304845"/>
    <w:rsid w:val="00306942"/>
    <w:rsid w:val="00306E82"/>
    <w:rsid w:val="0031057F"/>
    <w:rsid w:val="00310ABC"/>
    <w:rsid w:val="00311357"/>
    <w:rsid w:val="0031383F"/>
    <w:rsid w:val="00314959"/>
    <w:rsid w:val="0031534F"/>
    <w:rsid w:val="00315C66"/>
    <w:rsid w:val="00315E09"/>
    <w:rsid w:val="00317500"/>
    <w:rsid w:val="003177B8"/>
    <w:rsid w:val="00322C75"/>
    <w:rsid w:val="003236DF"/>
    <w:rsid w:val="003248AF"/>
    <w:rsid w:val="003252D4"/>
    <w:rsid w:val="00325EF7"/>
    <w:rsid w:val="00330E3B"/>
    <w:rsid w:val="00331C14"/>
    <w:rsid w:val="00332828"/>
    <w:rsid w:val="003330A4"/>
    <w:rsid w:val="00336100"/>
    <w:rsid w:val="00336E6F"/>
    <w:rsid w:val="0033734F"/>
    <w:rsid w:val="003410A9"/>
    <w:rsid w:val="0034131F"/>
    <w:rsid w:val="00341E0B"/>
    <w:rsid w:val="00343736"/>
    <w:rsid w:val="003452DE"/>
    <w:rsid w:val="00346F12"/>
    <w:rsid w:val="00350023"/>
    <w:rsid w:val="0035286C"/>
    <w:rsid w:val="00353669"/>
    <w:rsid w:val="00353998"/>
    <w:rsid w:val="0035461F"/>
    <w:rsid w:val="00354B51"/>
    <w:rsid w:val="00356298"/>
    <w:rsid w:val="003606AB"/>
    <w:rsid w:val="00367492"/>
    <w:rsid w:val="00370E8D"/>
    <w:rsid w:val="00371458"/>
    <w:rsid w:val="00372671"/>
    <w:rsid w:val="00372994"/>
    <w:rsid w:val="00372BAA"/>
    <w:rsid w:val="00374333"/>
    <w:rsid w:val="00375755"/>
    <w:rsid w:val="00375D84"/>
    <w:rsid w:val="00376B77"/>
    <w:rsid w:val="0037747C"/>
    <w:rsid w:val="003801F4"/>
    <w:rsid w:val="003805C0"/>
    <w:rsid w:val="003818C7"/>
    <w:rsid w:val="00381AD2"/>
    <w:rsid w:val="00382F9F"/>
    <w:rsid w:val="00383804"/>
    <w:rsid w:val="0038481D"/>
    <w:rsid w:val="00385E5C"/>
    <w:rsid w:val="003861C5"/>
    <w:rsid w:val="003912FB"/>
    <w:rsid w:val="00391413"/>
    <w:rsid w:val="00391F5C"/>
    <w:rsid w:val="00391FF8"/>
    <w:rsid w:val="0039325D"/>
    <w:rsid w:val="003956E2"/>
    <w:rsid w:val="00397AD1"/>
    <w:rsid w:val="00397E14"/>
    <w:rsid w:val="003A0DDD"/>
    <w:rsid w:val="003A49FB"/>
    <w:rsid w:val="003A525A"/>
    <w:rsid w:val="003B0A5B"/>
    <w:rsid w:val="003B152B"/>
    <w:rsid w:val="003B1D08"/>
    <w:rsid w:val="003B5629"/>
    <w:rsid w:val="003B64FE"/>
    <w:rsid w:val="003B70C4"/>
    <w:rsid w:val="003B7172"/>
    <w:rsid w:val="003C202C"/>
    <w:rsid w:val="003C283B"/>
    <w:rsid w:val="003C328F"/>
    <w:rsid w:val="003C3669"/>
    <w:rsid w:val="003C605E"/>
    <w:rsid w:val="003C6BD5"/>
    <w:rsid w:val="003C700A"/>
    <w:rsid w:val="003D0B10"/>
    <w:rsid w:val="003D2F0C"/>
    <w:rsid w:val="003D66F0"/>
    <w:rsid w:val="003D6C9A"/>
    <w:rsid w:val="003D7080"/>
    <w:rsid w:val="003E0913"/>
    <w:rsid w:val="003E0CE2"/>
    <w:rsid w:val="003E1F34"/>
    <w:rsid w:val="003E3120"/>
    <w:rsid w:val="003E5A27"/>
    <w:rsid w:val="003E5A92"/>
    <w:rsid w:val="003E62C8"/>
    <w:rsid w:val="003F1234"/>
    <w:rsid w:val="003F2AE4"/>
    <w:rsid w:val="003F3454"/>
    <w:rsid w:val="003F451A"/>
    <w:rsid w:val="003F46C4"/>
    <w:rsid w:val="003F46C7"/>
    <w:rsid w:val="003F7953"/>
    <w:rsid w:val="004004F5"/>
    <w:rsid w:val="00400721"/>
    <w:rsid w:val="004013C0"/>
    <w:rsid w:val="00402461"/>
    <w:rsid w:val="00402932"/>
    <w:rsid w:val="00402C8A"/>
    <w:rsid w:val="0040398D"/>
    <w:rsid w:val="00403E90"/>
    <w:rsid w:val="00404199"/>
    <w:rsid w:val="0040453F"/>
    <w:rsid w:val="00406BFE"/>
    <w:rsid w:val="00406EFF"/>
    <w:rsid w:val="00410450"/>
    <w:rsid w:val="00411041"/>
    <w:rsid w:val="00412034"/>
    <w:rsid w:val="004126E2"/>
    <w:rsid w:val="004135AD"/>
    <w:rsid w:val="00413FFB"/>
    <w:rsid w:val="00414570"/>
    <w:rsid w:val="004155EA"/>
    <w:rsid w:val="00415684"/>
    <w:rsid w:val="00415D59"/>
    <w:rsid w:val="00415FF1"/>
    <w:rsid w:val="00420404"/>
    <w:rsid w:val="004205FF"/>
    <w:rsid w:val="00422408"/>
    <w:rsid w:val="004225E7"/>
    <w:rsid w:val="0042648B"/>
    <w:rsid w:val="004266D9"/>
    <w:rsid w:val="00426D43"/>
    <w:rsid w:val="0043179F"/>
    <w:rsid w:val="00431DC2"/>
    <w:rsid w:val="004329AC"/>
    <w:rsid w:val="00433262"/>
    <w:rsid w:val="00433333"/>
    <w:rsid w:val="004335AF"/>
    <w:rsid w:val="00435399"/>
    <w:rsid w:val="004357F9"/>
    <w:rsid w:val="00436D43"/>
    <w:rsid w:val="00440AD8"/>
    <w:rsid w:val="004420E9"/>
    <w:rsid w:val="00442E46"/>
    <w:rsid w:val="00442E9F"/>
    <w:rsid w:val="004430D2"/>
    <w:rsid w:val="00444307"/>
    <w:rsid w:val="004472D5"/>
    <w:rsid w:val="0045010F"/>
    <w:rsid w:val="00450453"/>
    <w:rsid w:val="00450D66"/>
    <w:rsid w:val="00451AF5"/>
    <w:rsid w:val="00451B7B"/>
    <w:rsid w:val="00452823"/>
    <w:rsid w:val="00452A62"/>
    <w:rsid w:val="00455FBD"/>
    <w:rsid w:val="004609F7"/>
    <w:rsid w:val="00460D84"/>
    <w:rsid w:val="004617E3"/>
    <w:rsid w:val="00463043"/>
    <w:rsid w:val="004634CB"/>
    <w:rsid w:val="004637C1"/>
    <w:rsid w:val="00465AB8"/>
    <w:rsid w:val="00465F27"/>
    <w:rsid w:val="004674FA"/>
    <w:rsid w:val="00471400"/>
    <w:rsid w:val="004728E2"/>
    <w:rsid w:val="0047359A"/>
    <w:rsid w:val="004741ED"/>
    <w:rsid w:val="004754AA"/>
    <w:rsid w:val="00475A15"/>
    <w:rsid w:val="00475A33"/>
    <w:rsid w:val="004771A1"/>
    <w:rsid w:val="00477270"/>
    <w:rsid w:val="00477C2C"/>
    <w:rsid w:val="00482956"/>
    <w:rsid w:val="00482C7B"/>
    <w:rsid w:val="004845E8"/>
    <w:rsid w:val="004859B2"/>
    <w:rsid w:val="0048648E"/>
    <w:rsid w:val="00487B83"/>
    <w:rsid w:val="0049074C"/>
    <w:rsid w:val="00491CC3"/>
    <w:rsid w:val="00493136"/>
    <w:rsid w:val="004932E3"/>
    <w:rsid w:val="00497705"/>
    <w:rsid w:val="00497CF2"/>
    <w:rsid w:val="004A09BF"/>
    <w:rsid w:val="004A0ED7"/>
    <w:rsid w:val="004A1393"/>
    <w:rsid w:val="004A19DE"/>
    <w:rsid w:val="004A1ED8"/>
    <w:rsid w:val="004A4906"/>
    <w:rsid w:val="004A4D74"/>
    <w:rsid w:val="004A5519"/>
    <w:rsid w:val="004A63D0"/>
    <w:rsid w:val="004B14BD"/>
    <w:rsid w:val="004B15A9"/>
    <w:rsid w:val="004B1882"/>
    <w:rsid w:val="004B43E7"/>
    <w:rsid w:val="004B495C"/>
    <w:rsid w:val="004B5A4C"/>
    <w:rsid w:val="004B6544"/>
    <w:rsid w:val="004B7E46"/>
    <w:rsid w:val="004C0B88"/>
    <w:rsid w:val="004C0FB4"/>
    <w:rsid w:val="004C100D"/>
    <w:rsid w:val="004C1ADE"/>
    <w:rsid w:val="004C282B"/>
    <w:rsid w:val="004C4456"/>
    <w:rsid w:val="004C496C"/>
    <w:rsid w:val="004C51CA"/>
    <w:rsid w:val="004C5A75"/>
    <w:rsid w:val="004C5C74"/>
    <w:rsid w:val="004C78DA"/>
    <w:rsid w:val="004D21A8"/>
    <w:rsid w:val="004D23BE"/>
    <w:rsid w:val="004D3AFA"/>
    <w:rsid w:val="004D4075"/>
    <w:rsid w:val="004D4493"/>
    <w:rsid w:val="004D4BCE"/>
    <w:rsid w:val="004D5E35"/>
    <w:rsid w:val="004D6912"/>
    <w:rsid w:val="004D729C"/>
    <w:rsid w:val="004D7645"/>
    <w:rsid w:val="004E0133"/>
    <w:rsid w:val="004E1719"/>
    <w:rsid w:val="004E195E"/>
    <w:rsid w:val="004E2163"/>
    <w:rsid w:val="004E3AEF"/>
    <w:rsid w:val="004F0FB3"/>
    <w:rsid w:val="004F21F3"/>
    <w:rsid w:val="004F2406"/>
    <w:rsid w:val="004F265A"/>
    <w:rsid w:val="004F2717"/>
    <w:rsid w:val="004F5B3E"/>
    <w:rsid w:val="004F5C1F"/>
    <w:rsid w:val="004F5E1F"/>
    <w:rsid w:val="004F62A2"/>
    <w:rsid w:val="004F7F3C"/>
    <w:rsid w:val="0050061F"/>
    <w:rsid w:val="00500C55"/>
    <w:rsid w:val="005017E5"/>
    <w:rsid w:val="0050254C"/>
    <w:rsid w:val="00502AAA"/>
    <w:rsid w:val="00503C19"/>
    <w:rsid w:val="005040C2"/>
    <w:rsid w:val="0050515E"/>
    <w:rsid w:val="00505C03"/>
    <w:rsid w:val="00506AD5"/>
    <w:rsid w:val="00507690"/>
    <w:rsid w:val="0050791F"/>
    <w:rsid w:val="00511EF0"/>
    <w:rsid w:val="0051262E"/>
    <w:rsid w:val="0051317D"/>
    <w:rsid w:val="005135F0"/>
    <w:rsid w:val="0051423A"/>
    <w:rsid w:val="0051523E"/>
    <w:rsid w:val="005163B7"/>
    <w:rsid w:val="00517331"/>
    <w:rsid w:val="00521975"/>
    <w:rsid w:val="0052247D"/>
    <w:rsid w:val="0052263A"/>
    <w:rsid w:val="005256E1"/>
    <w:rsid w:val="00526E25"/>
    <w:rsid w:val="00527FC3"/>
    <w:rsid w:val="00530313"/>
    <w:rsid w:val="005315C2"/>
    <w:rsid w:val="00531644"/>
    <w:rsid w:val="0053198D"/>
    <w:rsid w:val="00531F18"/>
    <w:rsid w:val="00532969"/>
    <w:rsid w:val="00533C78"/>
    <w:rsid w:val="005351FE"/>
    <w:rsid w:val="005354F2"/>
    <w:rsid w:val="0053588E"/>
    <w:rsid w:val="00536075"/>
    <w:rsid w:val="0053705B"/>
    <w:rsid w:val="00537AD3"/>
    <w:rsid w:val="00537B95"/>
    <w:rsid w:val="00540DAA"/>
    <w:rsid w:val="005412C1"/>
    <w:rsid w:val="0054200C"/>
    <w:rsid w:val="005443F0"/>
    <w:rsid w:val="00544591"/>
    <w:rsid w:val="0054566F"/>
    <w:rsid w:val="00546453"/>
    <w:rsid w:val="0054784E"/>
    <w:rsid w:val="0055070C"/>
    <w:rsid w:val="0055095D"/>
    <w:rsid w:val="00552CB9"/>
    <w:rsid w:val="00554C13"/>
    <w:rsid w:val="00555AC1"/>
    <w:rsid w:val="005560B4"/>
    <w:rsid w:val="00556FDC"/>
    <w:rsid w:val="00557068"/>
    <w:rsid w:val="0055774D"/>
    <w:rsid w:val="005600BF"/>
    <w:rsid w:val="0056401B"/>
    <w:rsid w:val="005644C0"/>
    <w:rsid w:val="005650D1"/>
    <w:rsid w:val="005662A1"/>
    <w:rsid w:val="00573AF8"/>
    <w:rsid w:val="00581B32"/>
    <w:rsid w:val="0058241C"/>
    <w:rsid w:val="00582473"/>
    <w:rsid w:val="00582B8A"/>
    <w:rsid w:val="0058345D"/>
    <w:rsid w:val="005834D1"/>
    <w:rsid w:val="00584745"/>
    <w:rsid w:val="0058602D"/>
    <w:rsid w:val="00590A14"/>
    <w:rsid w:val="00591385"/>
    <w:rsid w:val="00592F18"/>
    <w:rsid w:val="005949B9"/>
    <w:rsid w:val="005A46D7"/>
    <w:rsid w:val="005A60E4"/>
    <w:rsid w:val="005B12BF"/>
    <w:rsid w:val="005B1BF6"/>
    <w:rsid w:val="005B1D0A"/>
    <w:rsid w:val="005B21AF"/>
    <w:rsid w:val="005B2C8D"/>
    <w:rsid w:val="005B4715"/>
    <w:rsid w:val="005B704C"/>
    <w:rsid w:val="005C18CD"/>
    <w:rsid w:val="005C2BC1"/>
    <w:rsid w:val="005C37D0"/>
    <w:rsid w:val="005C4AF2"/>
    <w:rsid w:val="005D4577"/>
    <w:rsid w:val="005D4C98"/>
    <w:rsid w:val="005D5ADA"/>
    <w:rsid w:val="005D6DB3"/>
    <w:rsid w:val="005D7CDF"/>
    <w:rsid w:val="005D7D5B"/>
    <w:rsid w:val="005E3189"/>
    <w:rsid w:val="005E410C"/>
    <w:rsid w:val="005E4AF0"/>
    <w:rsid w:val="005E4BC8"/>
    <w:rsid w:val="005E5B55"/>
    <w:rsid w:val="005E5C28"/>
    <w:rsid w:val="005E6939"/>
    <w:rsid w:val="005E79FC"/>
    <w:rsid w:val="005F09E4"/>
    <w:rsid w:val="005F1ECD"/>
    <w:rsid w:val="005F3201"/>
    <w:rsid w:val="005F4969"/>
    <w:rsid w:val="005F49B7"/>
    <w:rsid w:val="005F4FA2"/>
    <w:rsid w:val="005F6978"/>
    <w:rsid w:val="005F7C87"/>
    <w:rsid w:val="00600E3C"/>
    <w:rsid w:val="006013D3"/>
    <w:rsid w:val="00602641"/>
    <w:rsid w:val="006032D6"/>
    <w:rsid w:val="006047FF"/>
    <w:rsid w:val="006076A6"/>
    <w:rsid w:val="006079F5"/>
    <w:rsid w:val="00610DBC"/>
    <w:rsid w:val="00611804"/>
    <w:rsid w:val="0061328E"/>
    <w:rsid w:val="0061426F"/>
    <w:rsid w:val="00614A65"/>
    <w:rsid w:val="006154B5"/>
    <w:rsid w:val="00620C17"/>
    <w:rsid w:val="00620C18"/>
    <w:rsid w:val="00621674"/>
    <w:rsid w:val="00622D23"/>
    <w:rsid w:val="0062318B"/>
    <w:rsid w:val="00627B20"/>
    <w:rsid w:val="00630730"/>
    <w:rsid w:val="006307DF"/>
    <w:rsid w:val="00630DDC"/>
    <w:rsid w:val="00631F11"/>
    <w:rsid w:val="00633A60"/>
    <w:rsid w:val="0063458D"/>
    <w:rsid w:val="00635760"/>
    <w:rsid w:val="00636564"/>
    <w:rsid w:val="0064268C"/>
    <w:rsid w:val="00644D97"/>
    <w:rsid w:val="0064721D"/>
    <w:rsid w:val="00650382"/>
    <w:rsid w:val="00651601"/>
    <w:rsid w:val="00652831"/>
    <w:rsid w:val="00652BFC"/>
    <w:rsid w:val="00655324"/>
    <w:rsid w:val="00655B34"/>
    <w:rsid w:val="00656B15"/>
    <w:rsid w:val="00656DBF"/>
    <w:rsid w:val="00657901"/>
    <w:rsid w:val="006600A1"/>
    <w:rsid w:val="00660CB3"/>
    <w:rsid w:val="00660D48"/>
    <w:rsid w:val="00663D00"/>
    <w:rsid w:val="00663DE8"/>
    <w:rsid w:val="006649AA"/>
    <w:rsid w:val="00664DC5"/>
    <w:rsid w:val="0066650B"/>
    <w:rsid w:val="0067021C"/>
    <w:rsid w:val="00670DC0"/>
    <w:rsid w:val="006719B9"/>
    <w:rsid w:val="00671FAD"/>
    <w:rsid w:val="006727F6"/>
    <w:rsid w:val="00674B9F"/>
    <w:rsid w:val="00675B17"/>
    <w:rsid w:val="00680600"/>
    <w:rsid w:val="00680ADF"/>
    <w:rsid w:val="00682A97"/>
    <w:rsid w:val="00683131"/>
    <w:rsid w:val="00684205"/>
    <w:rsid w:val="00685B42"/>
    <w:rsid w:val="006865B7"/>
    <w:rsid w:val="006868F3"/>
    <w:rsid w:val="00686AE1"/>
    <w:rsid w:val="00687C08"/>
    <w:rsid w:val="00687EAA"/>
    <w:rsid w:val="00691059"/>
    <w:rsid w:val="00692FAA"/>
    <w:rsid w:val="006946E8"/>
    <w:rsid w:val="00694FEB"/>
    <w:rsid w:val="0069527F"/>
    <w:rsid w:val="006958F9"/>
    <w:rsid w:val="006A00C9"/>
    <w:rsid w:val="006A1BBA"/>
    <w:rsid w:val="006A2521"/>
    <w:rsid w:val="006A2E32"/>
    <w:rsid w:val="006A354B"/>
    <w:rsid w:val="006A3D6D"/>
    <w:rsid w:val="006A5432"/>
    <w:rsid w:val="006A5BE7"/>
    <w:rsid w:val="006A6352"/>
    <w:rsid w:val="006A6E20"/>
    <w:rsid w:val="006B1D58"/>
    <w:rsid w:val="006B1E14"/>
    <w:rsid w:val="006B1FC2"/>
    <w:rsid w:val="006B28D8"/>
    <w:rsid w:val="006B324A"/>
    <w:rsid w:val="006B3482"/>
    <w:rsid w:val="006B3507"/>
    <w:rsid w:val="006C0E8C"/>
    <w:rsid w:val="006C1E7C"/>
    <w:rsid w:val="006C2F6E"/>
    <w:rsid w:val="006C3350"/>
    <w:rsid w:val="006C4AF5"/>
    <w:rsid w:val="006C5571"/>
    <w:rsid w:val="006C5BDD"/>
    <w:rsid w:val="006C73CC"/>
    <w:rsid w:val="006C7773"/>
    <w:rsid w:val="006D14B5"/>
    <w:rsid w:val="006D3755"/>
    <w:rsid w:val="006D3F1D"/>
    <w:rsid w:val="006D54E5"/>
    <w:rsid w:val="006D5BC3"/>
    <w:rsid w:val="006D5D2F"/>
    <w:rsid w:val="006D75A2"/>
    <w:rsid w:val="006D79B9"/>
    <w:rsid w:val="006E0926"/>
    <w:rsid w:val="006E1D1C"/>
    <w:rsid w:val="006E2685"/>
    <w:rsid w:val="006E3C49"/>
    <w:rsid w:val="006E42D5"/>
    <w:rsid w:val="006E55F3"/>
    <w:rsid w:val="006F1A95"/>
    <w:rsid w:val="006F23FB"/>
    <w:rsid w:val="006F2AAB"/>
    <w:rsid w:val="006F425D"/>
    <w:rsid w:val="006F4A5A"/>
    <w:rsid w:val="006F5AC3"/>
    <w:rsid w:val="007013B1"/>
    <w:rsid w:val="0070235D"/>
    <w:rsid w:val="007037FF"/>
    <w:rsid w:val="00703861"/>
    <w:rsid w:val="0070407E"/>
    <w:rsid w:val="00705524"/>
    <w:rsid w:val="00706E3A"/>
    <w:rsid w:val="00707223"/>
    <w:rsid w:val="00707B6D"/>
    <w:rsid w:val="0071032C"/>
    <w:rsid w:val="007104A4"/>
    <w:rsid w:val="00710966"/>
    <w:rsid w:val="00713CFB"/>
    <w:rsid w:val="007156D9"/>
    <w:rsid w:val="00720729"/>
    <w:rsid w:val="007207E4"/>
    <w:rsid w:val="00720ED8"/>
    <w:rsid w:val="007227C1"/>
    <w:rsid w:val="00723EAF"/>
    <w:rsid w:val="007246A6"/>
    <w:rsid w:val="00725357"/>
    <w:rsid w:val="0072536D"/>
    <w:rsid w:val="00726598"/>
    <w:rsid w:val="00726A16"/>
    <w:rsid w:val="007275DB"/>
    <w:rsid w:val="00730FB0"/>
    <w:rsid w:val="00732B55"/>
    <w:rsid w:val="00733493"/>
    <w:rsid w:val="007335D4"/>
    <w:rsid w:val="00734506"/>
    <w:rsid w:val="007347FA"/>
    <w:rsid w:val="007401FB"/>
    <w:rsid w:val="00741024"/>
    <w:rsid w:val="00742989"/>
    <w:rsid w:val="00746393"/>
    <w:rsid w:val="007502EA"/>
    <w:rsid w:val="00750AFC"/>
    <w:rsid w:val="0075102E"/>
    <w:rsid w:val="0075113E"/>
    <w:rsid w:val="007514FD"/>
    <w:rsid w:val="00753522"/>
    <w:rsid w:val="00753EEC"/>
    <w:rsid w:val="007554E6"/>
    <w:rsid w:val="00756A23"/>
    <w:rsid w:val="00760477"/>
    <w:rsid w:val="00760EB9"/>
    <w:rsid w:val="00762DE8"/>
    <w:rsid w:val="007642E1"/>
    <w:rsid w:val="00765F07"/>
    <w:rsid w:val="00765F96"/>
    <w:rsid w:val="007663D8"/>
    <w:rsid w:val="00767F98"/>
    <w:rsid w:val="00767FD0"/>
    <w:rsid w:val="007709E6"/>
    <w:rsid w:val="00774F7D"/>
    <w:rsid w:val="00776487"/>
    <w:rsid w:val="00777C13"/>
    <w:rsid w:val="00780019"/>
    <w:rsid w:val="007802ED"/>
    <w:rsid w:val="007817EE"/>
    <w:rsid w:val="00783542"/>
    <w:rsid w:val="007851D1"/>
    <w:rsid w:val="007853CA"/>
    <w:rsid w:val="0078551E"/>
    <w:rsid w:val="007859F9"/>
    <w:rsid w:val="00786FAA"/>
    <w:rsid w:val="007903F8"/>
    <w:rsid w:val="0079120B"/>
    <w:rsid w:val="00792091"/>
    <w:rsid w:val="007925D0"/>
    <w:rsid w:val="00792C66"/>
    <w:rsid w:val="007931E4"/>
    <w:rsid w:val="00793AA3"/>
    <w:rsid w:val="00793FB8"/>
    <w:rsid w:val="00796310"/>
    <w:rsid w:val="00797006"/>
    <w:rsid w:val="007A23E6"/>
    <w:rsid w:val="007A416B"/>
    <w:rsid w:val="007A4909"/>
    <w:rsid w:val="007A510E"/>
    <w:rsid w:val="007B0B3D"/>
    <w:rsid w:val="007B0E71"/>
    <w:rsid w:val="007B251F"/>
    <w:rsid w:val="007B3C7C"/>
    <w:rsid w:val="007B44AC"/>
    <w:rsid w:val="007B5F5A"/>
    <w:rsid w:val="007B6738"/>
    <w:rsid w:val="007C15CC"/>
    <w:rsid w:val="007C189A"/>
    <w:rsid w:val="007C2B44"/>
    <w:rsid w:val="007C3A1C"/>
    <w:rsid w:val="007C3EE0"/>
    <w:rsid w:val="007C6505"/>
    <w:rsid w:val="007D03FD"/>
    <w:rsid w:val="007D082D"/>
    <w:rsid w:val="007D1326"/>
    <w:rsid w:val="007D277B"/>
    <w:rsid w:val="007D2BF1"/>
    <w:rsid w:val="007D3C76"/>
    <w:rsid w:val="007D455E"/>
    <w:rsid w:val="007D68C9"/>
    <w:rsid w:val="007D7263"/>
    <w:rsid w:val="007E02AB"/>
    <w:rsid w:val="007E1989"/>
    <w:rsid w:val="007E2E6B"/>
    <w:rsid w:val="007E3C8D"/>
    <w:rsid w:val="007E412A"/>
    <w:rsid w:val="007E4DFF"/>
    <w:rsid w:val="007E7493"/>
    <w:rsid w:val="007E7855"/>
    <w:rsid w:val="007F13E7"/>
    <w:rsid w:val="007F2D8D"/>
    <w:rsid w:val="007F3B83"/>
    <w:rsid w:val="007F5E07"/>
    <w:rsid w:val="00800164"/>
    <w:rsid w:val="0080117F"/>
    <w:rsid w:val="008026F8"/>
    <w:rsid w:val="0080441E"/>
    <w:rsid w:val="00804EB3"/>
    <w:rsid w:val="00806062"/>
    <w:rsid w:val="00810BA0"/>
    <w:rsid w:val="00811664"/>
    <w:rsid w:val="00817694"/>
    <w:rsid w:val="00820325"/>
    <w:rsid w:val="00820551"/>
    <w:rsid w:val="0082149F"/>
    <w:rsid w:val="00821A4B"/>
    <w:rsid w:val="00821E61"/>
    <w:rsid w:val="0082224D"/>
    <w:rsid w:val="008242AD"/>
    <w:rsid w:val="00825969"/>
    <w:rsid w:val="00830ADF"/>
    <w:rsid w:val="008320BA"/>
    <w:rsid w:val="0083310A"/>
    <w:rsid w:val="008332F5"/>
    <w:rsid w:val="00833A96"/>
    <w:rsid w:val="00834580"/>
    <w:rsid w:val="00834C3A"/>
    <w:rsid w:val="00836B2F"/>
    <w:rsid w:val="00837F39"/>
    <w:rsid w:val="008403F0"/>
    <w:rsid w:val="00840C2D"/>
    <w:rsid w:val="0084284D"/>
    <w:rsid w:val="008428B1"/>
    <w:rsid w:val="00843ACC"/>
    <w:rsid w:val="00844762"/>
    <w:rsid w:val="00844C8A"/>
    <w:rsid w:val="00844E7D"/>
    <w:rsid w:val="00844F92"/>
    <w:rsid w:val="008454F7"/>
    <w:rsid w:val="008457C8"/>
    <w:rsid w:val="008469B4"/>
    <w:rsid w:val="00846EF3"/>
    <w:rsid w:val="00847A4A"/>
    <w:rsid w:val="00847A89"/>
    <w:rsid w:val="0085163D"/>
    <w:rsid w:val="00851832"/>
    <w:rsid w:val="00851B4E"/>
    <w:rsid w:val="008530D5"/>
    <w:rsid w:val="00853734"/>
    <w:rsid w:val="00853B56"/>
    <w:rsid w:val="00853C81"/>
    <w:rsid w:val="00853ECC"/>
    <w:rsid w:val="0085628F"/>
    <w:rsid w:val="00857002"/>
    <w:rsid w:val="00860794"/>
    <w:rsid w:val="00861934"/>
    <w:rsid w:val="00861A17"/>
    <w:rsid w:val="0086471F"/>
    <w:rsid w:val="0086491B"/>
    <w:rsid w:val="00864DB2"/>
    <w:rsid w:val="00865B59"/>
    <w:rsid w:val="00866150"/>
    <w:rsid w:val="008665BB"/>
    <w:rsid w:val="008671D0"/>
    <w:rsid w:val="00867510"/>
    <w:rsid w:val="0087108A"/>
    <w:rsid w:val="0087273D"/>
    <w:rsid w:val="00875E10"/>
    <w:rsid w:val="008764C5"/>
    <w:rsid w:val="008767D6"/>
    <w:rsid w:val="00877987"/>
    <w:rsid w:val="008779E8"/>
    <w:rsid w:val="00877E98"/>
    <w:rsid w:val="00880E86"/>
    <w:rsid w:val="0088185B"/>
    <w:rsid w:val="0088228E"/>
    <w:rsid w:val="008829C0"/>
    <w:rsid w:val="0088311D"/>
    <w:rsid w:val="00884484"/>
    <w:rsid w:val="00884B7C"/>
    <w:rsid w:val="00884EE8"/>
    <w:rsid w:val="00884F7C"/>
    <w:rsid w:val="0088774F"/>
    <w:rsid w:val="00887B9A"/>
    <w:rsid w:val="00890211"/>
    <w:rsid w:val="008903DE"/>
    <w:rsid w:val="00891312"/>
    <w:rsid w:val="00891367"/>
    <w:rsid w:val="00892775"/>
    <w:rsid w:val="00894A90"/>
    <w:rsid w:val="00894B7A"/>
    <w:rsid w:val="0089685B"/>
    <w:rsid w:val="008970EB"/>
    <w:rsid w:val="008A1DF4"/>
    <w:rsid w:val="008A21C6"/>
    <w:rsid w:val="008A60E5"/>
    <w:rsid w:val="008A648B"/>
    <w:rsid w:val="008A6A0B"/>
    <w:rsid w:val="008A6A33"/>
    <w:rsid w:val="008A73F2"/>
    <w:rsid w:val="008A764A"/>
    <w:rsid w:val="008B00B5"/>
    <w:rsid w:val="008B1C40"/>
    <w:rsid w:val="008B1E8A"/>
    <w:rsid w:val="008B2B6A"/>
    <w:rsid w:val="008B2F60"/>
    <w:rsid w:val="008B4C7D"/>
    <w:rsid w:val="008B51D2"/>
    <w:rsid w:val="008B5242"/>
    <w:rsid w:val="008B762B"/>
    <w:rsid w:val="008B7AD1"/>
    <w:rsid w:val="008C0A5B"/>
    <w:rsid w:val="008C12DA"/>
    <w:rsid w:val="008C1CFC"/>
    <w:rsid w:val="008C1D1A"/>
    <w:rsid w:val="008C1F60"/>
    <w:rsid w:val="008C5111"/>
    <w:rsid w:val="008C5951"/>
    <w:rsid w:val="008C6153"/>
    <w:rsid w:val="008C6A22"/>
    <w:rsid w:val="008D0B0B"/>
    <w:rsid w:val="008D7E6E"/>
    <w:rsid w:val="008E023E"/>
    <w:rsid w:val="008E22AC"/>
    <w:rsid w:val="008E26DE"/>
    <w:rsid w:val="008E359F"/>
    <w:rsid w:val="008E3B75"/>
    <w:rsid w:val="008E44F1"/>
    <w:rsid w:val="008E55CE"/>
    <w:rsid w:val="008E7321"/>
    <w:rsid w:val="008E78AF"/>
    <w:rsid w:val="008E7BCD"/>
    <w:rsid w:val="008F042A"/>
    <w:rsid w:val="008F053C"/>
    <w:rsid w:val="008F102E"/>
    <w:rsid w:val="008F2662"/>
    <w:rsid w:val="008F2A7E"/>
    <w:rsid w:val="008F306B"/>
    <w:rsid w:val="008F3F8F"/>
    <w:rsid w:val="008F42AF"/>
    <w:rsid w:val="008F49B7"/>
    <w:rsid w:val="00900D19"/>
    <w:rsid w:val="0090218E"/>
    <w:rsid w:val="00903F8B"/>
    <w:rsid w:val="009041CB"/>
    <w:rsid w:val="009042AD"/>
    <w:rsid w:val="009065C9"/>
    <w:rsid w:val="009076EE"/>
    <w:rsid w:val="00910A8B"/>
    <w:rsid w:val="00910BB7"/>
    <w:rsid w:val="00912F55"/>
    <w:rsid w:val="00913081"/>
    <w:rsid w:val="00913178"/>
    <w:rsid w:val="009133F6"/>
    <w:rsid w:val="00913B9E"/>
    <w:rsid w:val="00915D1E"/>
    <w:rsid w:val="00920133"/>
    <w:rsid w:val="00920B8B"/>
    <w:rsid w:val="00920F77"/>
    <w:rsid w:val="00921E88"/>
    <w:rsid w:val="00922741"/>
    <w:rsid w:val="009228F0"/>
    <w:rsid w:val="00922A68"/>
    <w:rsid w:val="00923336"/>
    <w:rsid w:val="0092374C"/>
    <w:rsid w:val="00925D44"/>
    <w:rsid w:val="009273B1"/>
    <w:rsid w:val="0093165A"/>
    <w:rsid w:val="00932BD4"/>
    <w:rsid w:val="00933685"/>
    <w:rsid w:val="00934497"/>
    <w:rsid w:val="009371E8"/>
    <w:rsid w:val="009400AD"/>
    <w:rsid w:val="00942097"/>
    <w:rsid w:val="009427C2"/>
    <w:rsid w:val="00942FA7"/>
    <w:rsid w:val="009464A1"/>
    <w:rsid w:val="009508C4"/>
    <w:rsid w:val="009521E3"/>
    <w:rsid w:val="0095386E"/>
    <w:rsid w:val="009540F3"/>
    <w:rsid w:val="00954F53"/>
    <w:rsid w:val="00955453"/>
    <w:rsid w:val="009572C0"/>
    <w:rsid w:val="00957987"/>
    <w:rsid w:val="00957FFD"/>
    <w:rsid w:val="00961080"/>
    <w:rsid w:val="0096151A"/>
    <w:rsid w:val="0096298B"/>
    <w:rsid w:val="009629F0"/>
    <w:rsid w:val="00962CC3"/>
    <w:rsid w:val="00963052"/>
    <w:rsid w:val="00965751"/>
    <w:rsid w:val="009676B5"/>
    <w:rsid w:val="00970310"/>
    <w:rsid w:val="00971F36"/>
    <w:rsid w:val="00973EC2"/>
    <w:rsid w:val="00974313"/>
    <w:rsid w:val="0097544C"/>
    <w:rsid w:val="00975AEE"/>
    <w:rsid w:val="00975FA6"/>
    <w:rsid w:val="009773E2"/>
    <w:rsid w:val="00977642"/>
    <w:rsid w:val="0098063E"/>
    <w:rsid w:val="009822ED"/>
    <w:rsid w:val="00983EF4"/>
    <w:rsid w:val="00985106"/>
    <w:rsid w:val="00987C07"/>
    <w:rsid w:val="0099086B"/>
    <w:rsid w:val="009916EC"/>
    <w:rsid w:val="00992529"/>
    <w:rsid w:val="00993042"/>
    <w:rsid w:val="009932C3"/>
    <w:rsid w:val="009938FE"/>
    <w:rsid w:val="00994223"/>
    <w:rsid w:val="009955DC"/>
    <w:rsid w:val="00996F8D"/>
    <w:rsid w:val="0099707A"/>
    <w:rsid w:val="009A28CA"/>
    <w:rsid w:val="009A3721"/>
    <w:rsid w:val="009A3978"/>
    <w:rsid w:val="009A5548"/>
    <w:rsid w:val="009A55AC"/>
    <w:rsid w:val="009A6A00"/>
    <w:rsid w:val="009A7213"/>
    <w:rsid w:val="009A7517"/>
    <w:rsid w:val="009B08B0"/>
    <w:rsid w:val="009B1FD7"/>
    <w:rsid w:val="009B2754"/>
    <w:rsid w:val="009B385D"/>
    <w:rsid w:val="009B4018"/>
    <w:rsid w:val="009B4365"/>
    <w:rsid w:val="009B47F6"/>
    <w:rsid w:val="009B4A88"/>
    <w:rsid w:val="009B59C6"/>
    <w:rsid w:val="009B7086"/>
    <w:rsid w:val="009B7BC8"/>
    <w:rsid w:val="009C0DD5"/>
    <w:rsid w:val="009C2AC5"/>
    <w:rsid w:val="009C2CEF"/>
    <w:rsid w:val="009C43DE"/>
    <w:rsid w:val="009C53AC"/>
    <w:rsid w:val="009C57DB"/>
    <w:rsid w:val="009C601C"/>
    <w:rsid w:val="009C75B2"/>
    <w:rsid w:val="009D095E"/>
    <w:rsid w:val="009D166D"/>
    <w:rsid w:val="009D1FC2"/>
    <w:rsid w:val="009D2C1A"/>
    <w:rsid w:val="009D3FFF"/>
    <w:rsid w:val="009D40E1"/>
    <w:rsid w:val="009D41C1"/>
    <w:rsid w:val="009D4AE7"/>
    <w:rsid w:val="009D6D1F"/>
    <w:rsid w:val="009D73A3"/>
    <w:rsid w:val="009E0C0B"/>
    <w:rsid w:val="009E12E1"/>
    <w:rsid w:val="009E1AF0"/>
    <w:rsid w:val="009E2CE2"/>
    <w:rsid w:val="009E64F7"/>
    <w:rsid w:val="009F0E47"/>
    <w:rsid w:val="009F1573"/>
    <w:rsid w:val="009F1738"/>
    <w:rsid w:val="009F5CC1"/>
    <w:rsid w:val="009F6722"/>
    <w:rsid w:val="009F6BCA"/>
    <w:rsid w:val="009F77EB"/>
    <w:rsid w:val="00A00A5E"/>
    <w:rsid w:val="00A00DD1"/>
    <w:rsid w:val="00A012A8"/>
    <w:rsid w:val="00A015AA"/>
    <w:rsid w:val="00A01F9F"/>
    <w:rsid w:val="00A02614"/>
    <w:rsid w:val="00A0289D"/>
    <w:rsid w:val="00A04EA9"/>
    <w:rsid w:val="00A06216"/>
    <w:rsid w:val="00A0738F"/>
    <w:rsid w:val="00A10BA4"/>
    <w:rsid w:val="00A10E91"/>
    <w:rsid w:val="00A14BB8"/>
    <w:rsid w:val="00A15DEB"/>
    <w:rsid w:val="00A168E0"/>
    <w:rsid w:val="00A16B5E"/>
    <w:rsid w:val="00A2010D"/>
    <w:rsid w:val="00A213D9"/>
    <w:rsid w:val="00A21C76"/>
    <w:rsid w:val="00A239CF"/>
    <w:rsid w:val="00A23D72"/>
    <w:rsid w:val="00A24668"/>
    <w:rsid w:val="00A26D27"/>
    <w:rsid w:val="00A271D7"/>
    <w:rsid w:val="00A27AED"/>
    <w:rsid w:val="00A27BF6"/>
    <w:rsid w:val="00A30FDF"/>
    <w:rsid w:val="00A322C9"/>
    <w:rsid w:val="00A32A32"/>
    <w:rsid w:val="00A3393B"/>
    <w:rsid w:val="00A33F29"/>
    <w:rsid w:val="00A35052"/>
    <w:rsid w:val="00A35C1E"/>
    <w:rsid w:val="00A36E0C"/>
    <w:rsid w:val="00A36E55"/>
    <w:rsid w:val="00A37330"/>
    <w:rsid w:val="00A40B3B"/>
    <w:rsid w:val="00A414EC"/>
    <w:rsid w:val="00A46633"/>
    <w:rsid w:val="00A46A26"/>
    <w:rsid w:val="00A509BE"/>
    <w:rsid w:val="00A51C72"/>
    <w:rsid w:val="00A52238"/>
    <w:rsid w:val="00A5242F"/>
    <w:rsid w:val="00A524FC"/>
    <w:rsid w:val="00A53991"/>
    <w:rsid w:val="00A54281"/>
    <w:rsid w:val="00A54343"/>
    <w:rsid w:val="00A54A20"/>
    <w:rsid w:val="00A554CD"/>
    <w:rsid w:val="00A5735A"/>
    <w:rsid w:val="00A6344B"/>
    <w:rsid w:val="00A65904"/>
    <w:rsid w:val="00A65B99"/>
    <w:rsid w:val="00A665ED"/>
    <w:rsid w:val="00A70FDF"/>
    <w:rsid w:val="00A713C2"/>
    <w:rsid w:val="00A72B28"/>
    <w:rsid w:val="00A73019"/>
    <w:rsid w:val="00A7358D"/>
    <w:rsid w:val="00A73998"/>
    <w:rsid w:val="00A73DE7"/>
    <w:rsid w:val="00A740B4"/>
    <w:rsid w:val="00A7491A"/>
    <w:rsid w:val="00A75068"/>
    <w:rsid w:val="00A75715"/>
    <w:rsid w:val="00A75B85"/>
    <w:rsid w:val="00A75D3F"/>
    <w:rsid w:val="00A75F94"/>
    <w:rsid w:val="00A8210F"/>
    <w:rsid w:val="00A82A43"/>
    <w:rsid w:val="00A82CEE"/>
    <w:rsid w:val="00A82D68"/>
    <w:rsid w:val="00A8566D"/>
    <w:rsid w:val="00A86E5D"/>
    <w:rsid w:val="00A904C6"/>
    <w:rsid w:val="00A90BF1"/>
    <w:rsid w:val="00A90CD1"/>
    <w:rsid w:val="00A90EB4"/>
    <w:rsid w:val="00A919A3"/>
    <w:rsid w:val="00A91BB5"/>
    <w:rsid w:val="00A91BE5"/>
    <w:rsid w:val="00A91FDE"/>
    <w:rsid w:val="00A921D7"/>
    <w:rsid w:val="00A92DC2"/>
    <w:rsid w:val="00A93A7D"/>
    <w:rsid w:val="00A9436C"/>
    <w:rsid w:val="00A95A91"/>
    <w:rsid w:val="00A95BA0"/>
    <w:rsid w:val="00A96BD3"/>
    <w:rsid w:val="00A96C00"/>
    <w:rsid w:val="00A97844"/>
    <w:rsid w:val="00A97C26"/>
    <w:rsid w:val="00AA0B97"/>
    <w:rsid w:val="00AA0C4D"/>
    <w:rsid w:val="00AA12E8"/>
    <w:rsid w:val="00AA2985"/>
    <w:rsid w:val="00AA455F"/>
    <w:rsid w:val="00AA4866"/>
    <w:rsid w:val="00AA4D69"/>
    <w:rsid w:val="00AA6893"/>
    <w:rsid w:val="00AA714A"/>
    <w:rsid w:val="00AA7384"/>
    <w:rsid w:val="00AB12A0"/>
    <w:rsid w:val="00AB3BEC"/>
    <w:rsid w:val="00AB69B4"/>
    <w:rsid w:val="00AB6B0F"/>
    <w:rsid w:val="00AC02CB"/>
    <w:rsid w:val="00AC385C"/>
    <w:rsid w:val="00AC7D43"/>
    <w:rsid w:val="00AD122D"/>
    <w:rsid w:val="00AD1693"/>
    <w:rsid w:val="00AD38CC"/>
    <w:rsid w:val="00AD5D97"/>
    <w:rsid w:val="00AE0E39"/>
    <w:rsid w:val="00AE133E"/>
    <w:rsid w:val="00AE15F5"/>
    <w:rsid w:val="00AE19ED"/>
    <w:rsid w:val="00AE46BA"/>
    <w:rsid w:val="00AE493C"/>
    <w:rsid w:val="00AE4ABE"/>
    <w:rsid w:val="00AF128C"/>
    <w:rsid w:val="00AF317F"/>
    <w:rsid w:val="00AF43BA"/>
    <w:rsid w:val="00AF5F9A"/>
    <w:rsid w:val="00AF7A08"/>
    <w:rsid w:val="00B00A2B"/>
    <w:rsid w:val="00B02E5E"/>
    <w:rsid w:val="00B0337D"/>
    <w:rsid w:val="00B0431E"/>
    <w:rsid w:val="00B04979"/>
    <w:rsid w:val="00B04CE1"/>
    <w:rsid w:val="00B04E54"/>
    <w:rsid w:val="00B077BE"/>
    <w:rsid w:val="00B1161B"/>
    <w:rsid w:val="00B133AC"/>
    <w:rsid w:val="00B14AF8"/>
    <w:rsid w:val="00B156CA"/>
    <w:rsid w:val="00B17507"/>
    <w:rsid w:val="00B21EE7"/>
    <w:rsid w:val="00B237BD"/>
    <w:rsid w:val="00B23AAB"/>
    <w:rsid w:val="00B240ED"/>
    <w:rsid w:val="00B243AA"/>
    <w:rsid w:val="00B3156E"/>
    <w:rsid w:val="00B31AD0"/>
    <w:rsid w:val="00B328BF"/>
    <w:rsid w:val="00B35915"/>
    <w:rsid w:val="00B36651"/>
    <w:rsid w:val="00B36EA2"/>
    <w:rsid w:val="00B4100E"/>
    <w:rsid w:val="00B41DAE"/>
    <w:rsid w:val="00B42F05"/>
    <w:rsid w:val="00B42F75"/>
    <w:rsid w:val="00B443F7"/>
    <w:rsid w:val="00B47BCC"/>
    <w:rsid w:val="00B47E56"/>
    <w:rsid w:val="00B50C3B"/>
    <w:rsid w:val="00B512F9"/>
    <w:rsid w:val="00B52269"/>
    <w:rsid w:val="00B53D2E"/>
    <w:rsid w:val="00B54D06"/>
    <w:rsid w:val="00B560AC"/>
    <w:rsid w:val="00B569DD"/>
    <w:rsid w:val="00B56DBA"/>
    <w:rsid w:val="00B57018"/>
    <w:rsid w:val="00B602F5"/>
    <w:rsid w:val="00B60F5A"/>
    <w:rsid w:val="00B61FDB"/>
    <w:rsid w:val="00B62C3D"/>
    <w:rsid w:val="00B6440C"/>
    <w:rsid w:val="00B64759"/>
    <w:rsid w:val="00B647DA"/>
    <w:rsid w:val="00B65A60"/>
    <w:rsid w:val="00B66A63"/>
    <w:rsid w:val="00B67EA7"/>
    <w:rsid w:val="00B706DE"/>
    <w:rsid w:val="00B71478"/>
    <w:rsid w:val="00B71BC0"/>
    <w:rsid w:val="00B72B02"/>
    <w:rsid w:val="00B72F42"/>
    <w:rsid w:val="00B760DD"/>
    <w:rsid w:val="00B7664B"/>
    <w:rsid w:val="00B76C72"/>
    <w:rsid w:val="00B77A65"/>
    <w:rsid w:val="00B819F6"/>
    <w:rsid w:val="00B826DD"/>
    <w:rsid w:val="00B83C75"/>
    <w:rsid w:val="00B84E48"/>
    <w:rsid w:val="00B85AE3"/>
    <w:rsid w:val="00B87C1F"/>
    <w:rsid w:val="00B90405"/>
    <w:rsid w:val="00B93EBD"/>
    <w:rsid w:val="00BA0458"/>
    <w:rsid w:val="00BA079A"/>
    <w:rsid w:val="00BA0F03"/>
    <w:rsid w:val="00BA16C7"/>
    <w:rsid w:val="00BA2003"/>
    <w:rsid w:val="00BA2D07"/>
    <w:rsid w:val="00BA37EA"/>
    <w:rsid w:val="00BA4FE0"/>
    <w:rsid w:val="00BA5642"/>
    <w:rsid w:val="00BA5898"/>
    <w:rsid w:val="00BA59DD"/>
    <w:rsid w:val="00BA5D8C"/>
    <w:rsid w:val="00BA6934"/>
    <w:rsid w:val="00BB122A"/>
    <w:rsid w:val="00BB23A2"/>
    <w:rsid w:val="00BB3117"/>
    <w:rsid w:val="00BB37BB"/>
    <w:rsid w:val="00BB4DB9"/>
    <w:rsid w:val="00BB59CC"/>
    <w:rsid w:val="00BC063A"/>
    <w:rsid w:val="00BC0880"/>
    <w:rsid w:val="00BC0D89"/>
    <w:rsid w:val="00BC24E7"/>
    <w:rsid w:val="00BC2B51"/>
    <w:rsid w:val="00BC2BD2"/>
    <w:rsid w:val="00BC36D7"/>
    <w:rsid w:val="00BC667D"/>
    <w:rsid w:val="00BC6A4F"/>
    <w:rsid w:val="00BC6CEF"/>
    <w:rsid w:val="00BD0422"/>
    <w:rsid w:val="00BD18E5"/>
    <w:rsid w:val="00BD34B0"/>
    <w:rsid w:val="00BD579B"/>
    <w:rsid w:val="00BD5F51"/>
    <w:rsid w:val="00BD65E4"/>
    <w:rsid w:val="00BD75A8"/>
    <w:rsid w:val="00BD7C7A"/>
    <w:rsid w:val="00BE1AA7"/>
    <w:rsid w:val="00BE1FF8"/>
    <w:rsid w:val="00BE25D2"/>
    <w:rsid w:val="00BE29CD"/>
    <w:rsid w:val="00BE7452"/>
    <w:rsid w:val="00BE7D66"/>
    <w:rsid w:val="00BF03DE"/>
    <w:rsid w:val="00BF0A4B"/>
    <w:rsid w:val="00BF0C39"/>
    <w:rsid w:val="00BF1514"/>
    <w:rsid w:val="00BF195E"/>
    <w:rsid w:val="00BF2011"/>
    <w:rsid w:val="00BF2839"/>
    <w:rsid w:val="00BF2D43"/>
    <w:rsid w:val="00BF5756"/>
    <w:rsid w:val="00BF7FC6"/>
    <w:rsid w:val="00C000B9"/>
    <w:rsid w:val="00C0030D"/>
    <w:rsid w:val="00C00C2E"/>
    <w:rsid w:val="00C01666"/>
    <w:rsid w:val="00C01CB5"/>
    <w:rsid w:val="00C01DD8"/>
    <w:rsid w:val="00C02471"/>
    <w:rsid w:val="00C03146"/>
    <w:rsid w:val="00C04971"/>
    <w:rsid w:val="00C071D7"/>
    <w:rsid w:val="00C100ED"/>
    <w:rsid w:val="00C10E9A"/>
    <w:rsid w:val="00C11235"/>
    <w:rsid w:val="00C11C95"/>
    <w:rsid w:val="00C13AC9"/>
    <w:rsid w:val="00C146E0"/>
    <w:rsid w:val="00C15613"/>
    <w:rsid w:val="00C15B9C"/>
    <w:rsid w:val="00C219FE"/>
    <w:rsid w:val="00C245CE"/>
    <w:rsid w:val="00C267C2"/>
    <w:rsid w:val="00C303EE"/>
    <w:rsid w:val="00C31239"/>
    <w:rsid w:val="00C319FF"/>
    <w:rsid w:val="00C36965"/>
    <w:rsid w:val="00C40118"/>
    <w:rsid w:val="00C420AB"/>
    <w:rsid w:val="00C42ED5"/>
    <w:rsid w:val="00C448ED"/>
    <w:rsid w:val="00C45A50"/>
    <w:rsid w:val="00C46FF9"/>
    <w:rsid w:val="00C4758E"/>
    <w:rsid w:val="00C51575"/>
    <w:rsid w:val="00C5278A"/>
    <w:rsid w:val="00C52BA3"/>
    <w:rsid w:val="00C53CAF"/>
    <w:rsid w:val="00C5428D"/>
    <w:rsid w:val="00C5496B"/>
    <w:rsid w:val="00C5617A"/>
    <w:rsid w:val="00C56248"/>
    <w:rsid w:val="00C56764"/>
    <w:rsid w:val="00C57057"/>
    <w:rsid w:val="00C605B3"/>
    <w:rsid w:val="00C61279"/>
    <w:rsid w:val="00C650D8"/>
    <w:rsid w:val="00C65A9E"/>
    <w:rsid w:val="00C6650B"/>
    <w:rsid w:val="00C67012"/>
    <w:rsid w:val="00C670BE"/>
    <w:rsid w:val="00C67730"/>
    <w:rsid w:val="00C73A2F"/>
    <w:rsid w:val="00C73FF4"/>
    <w:rsid w:val="00C76784"/>
    <w:rsid w:val="00C811A1"/>
    <w:rsid w:val="00C83584"/>
    <w:rsid w:val="00C86C8E"/>
    <w:rsid w:val="00C87105"/>
    <w:rsid w:val="00C87FD3"/>
    <w:rsid w:val="00C933AD"/>
    <w:rsid w:val="00C941AD"/>
    <w:rsid w:val="00C945CF"/>
    <w:rsid w:val="00C94FD6"/>
    <w:rsid w:val="00C95DD2"/>
    <w:rsid w:val="00C96A57"/>
    <w:rsid w:val="00C96D5B"/>
    <w:rsid w:val="00C97780"/>
    <w:rsid w:val="00C97DA7"/>
    <w:rsid w:val="00CA05A5"/>
    <w:rsid w:val="00CA1CAA"/>
    <w:rsid w:val="00CA1F1B"/>
    <w:rsid w:val="00CA28D1"/>
    <w:rsid w:val="00CA2F3C"/>
    <w:rsid w:val="00CA5AF2"/>
    <w:rsid w:val="00CA7E8E"/>
    <w:rsid w:val="00CA7F3D"/>
    <w:rsid w:val="00CB09D9"/>
    <w:rsid w:val="00CB26C7"/>
    <w:rsid w:val="00CB2711"/>
    <w:rsid w:val="00CB33AA"/>
    <w:rsid w:val="00CB3557"/>
    <w:rsid w:val="00CB5550"/>
    <w:rsid w:val="00CB6E52"/>
    <w:rsid w:val="00CC03E0"/>
    <w:rsid w:val="00CC0F5C"/>
    <w:rsid w:val="00CC1665"/>
    <w:rsid w:val="00CC16AB"/>
    <w:rsid w:val="00CC1B5F"/>
    <w:rsid w:val="00CC1DDB"/>
    <w:rsid w:val="00CC1E70"/>
    <w:rsid w:val="00CC22AA"/>
    <w:rsid w:val="00CC2B63"/>
    <w:rsid w:val="00CC364B"/>
    <w:rsid w:val="00CC3E85"/>
    <w:rsid w:val="00CC40EE"/>
    <w:rsid w:val="00CC65CE"/>
    <w:rsid w:val="00CC6D20"/>
    <w:rsid w:val="00CD146F"/>
    <w:rsid w:val="00CD16A0"/>
    <w:rsid w:val="00CD1C44"/>
    <w:rsid w:val="00CD32B6"/>
    <w:rsid w:val="00CD4AF8"/>
    <w:rsid w:val="00CD5F76"/>
    <w:rsid w:val="00CD6397"/>
    <w:rsid w:val="00CD70C7"/>
    <w:rsid w:val="00CE01FF"/>
    <w:rsid w:val="00CE05CF"/>
    <w:rsid w:val="00CE06B0"/>
    <w:rsid w:val="00CE3ABD"/>
    <w:rsid w:val="00CE4D79"/>
    <w:rsid w:val="00CF019B"/>
    <w:rsid w:val="00CF1D2B"/>
    <w:rsid w:val="00CF28F6"/>
    <w:rsid w:val="00CF2A59"/>
    <w:rsid w:val="00CF2BFD"/>
    <w:rsid w:val="00CF5EAA"/>
    <w:rsid w:val="00CF6992"/>
    <w:rsid w:val="00CF7A41"/>
    <w:rsid w:val="00D00C59"/>
    <w:rsid w:val="00D014EE"/>
    <w:rsid w:val="00D017CC"/>
    <w:rsid w:val="00D04129"/>
    <w:rsid w:val="00D05574"/>
    <w:rsid w:val="00D05A29"/>
    <w:rsid w:val="00D06493"/>
    <w:rsid w:val="00D06BED"/>
    <w:rsid w:val="00D071DD"/>
    <w:rsid w:val="00D1156D"/>
    <w:rsid w:val="00D11C7A"/>
    <w:rsid w:val="00D11D6D"/>
    <w:rsid w:val="00D134DD"/>
    <w:rsid w:val="00D13A14"/>
    <w:rsid w:val="00D13FD6"/>
    <w:rsid w:val="00D14B55"/>
    <w:rsid w:val="00D1536B"/>
    <w:rsid w:val="00D16426"/>
    <w:rsid w:val="00D16B91"/>
    <w:rsid w:val="00D20F29"/>
    <w:rsid w:val="00D226FD"/>
    <w:rsid w:val="00D25D55"/>
    <w:rsid w:val="00D25DCC"/>
    <w:rsid w:val="00D26D87"/>
    <w:rsid w:val="00D3038F"/>
    <w:rsid w:val="00D33ED2"/>
    <w:rsid w:val="00D343B8"/>
    <w:rsid w:val="00D34E6A"/>
    <w:rsid w:val="00D365B7"/>
    <w:rsid w:val="00D36D35"/>
    <w:rsid w:val="00D36DED"/>
    <w:rsid w:val="00D371D4"/>
    <w:rsid w:val="00D4080E"/>
    <w:rsid w:val="00D42102"/>
    <w:rsid w:val="00D4585C"/>
    <w:rsid w:val="00D47217"/>
    <w:rsid w:val="00D51EAA"/>
    <w:rsid w:val="00D53134"/>
    <w:rsid w:val="00D53A9C"/>
    <w:rsid w:val="00D53C2E"/>
    <w:rsid w:val="00D55240"/>
    <w:rsid w:val="00D56133"/>
    <w:rsid w:val="00D56420"/>
    <w:rsid w:val="00D56574"/>
    <w:rsid w:val="00D56F0F"/>
    <w:rsid w:val="00D576D8"/>
    <w:rsid w:val="00D57ABE"/>
    <w:rsid w:val="00D62D73"/>
    <w:rsid w:val="00D661FA"/>
    <w:rsid w:val="00D67D6F"/>
    <w:rsid w:val="00D7013E"/>
    <w:rsid w:val="00D71623"/>
    <w:rsid w:val="00D71A59"/>
    <w:rsid w:val="00D72113"/>
    <w:rsid w:val="00D740A9"/>
    <w:rsid w:val="00D76265"/>
    <w:rsid w:val="00D76914"/>
    <w:rsid w:val="00D812C5"/>
    <w:rsid w:val="00D8197C"/>
    <w:rsid w:val="00D827A6"/>
    <w:rsid w:val="00D83F8A"/>
    <w:rsid w:val="00D85371"/>
    <w:rsid w:val="00D8692A"/>
    <w:rsid w:val="00D86F48"/>
    <w:rsid w:val="00D9009B"/>
    <w:rsid w:val="00D916C5"/>
    <w:rsid w:val="00D9303E"/>
    <w:rsid w:val="00D9332F"/>
    <w:rsid w:val="00D936A0"/>
    <w:rsid w:val="00D937C7"/>
    <w:rsid w:val="00D944CE"/>
    <w:rsid w:val="00D9454C"/>
    <w:rsid w:val="00D9575A"/>
    <w:rsid w:val="00D95D0C"/>
    <w:rsid w:val="00D96A4E"/>
    <w:rsid w:val="00D97032"/>
    <w:rsid w:val="00D97449"/>
    <w:rsid w:val="00DA185A"/>
    <w:rsid w:val="00DA33C4"/>
    <w:rsid w:val="00DA39F1"/>
    <w:rsid w:val="00DA41B6"/>
    <w:rsid w:val="00DA424B"/>
    <w:rsid w:val="00DA4A14"/>
    <w:rsid w:val="00DA50C2"/>
    <w:rsid w:val="00DA5A85"/>
    <w:rsid w:val="00DB1783"/>
    <w:rsid w:val="00DB1B54"/>
    <w:rsid w:val="00DB415E"/>
    <w:rsid w:val="00DB4E8A"/>
    <w:rsid w:val="00DB5A86"/>
    <w:rsid w:val="00DB5BE0"/>
    <w:rsid w:val="00DB67B6"/>
    <w:rsid w:val="00DC09FB"/>
    <w:rsid w:val="00DC1FC7"/>
    <w:rsid w:val="00DD0B26"/>
    <w:rsid w:val="00DD1C2F"/>
    <w:rsid w:val="00DD22E4"/>
    <w:rsid w:val="00DD4983"/>
    <w:rsid w:val="00DD5688"/>
    <w:rsid w:val="00DD636E"/>
    <w:rsid w:val="00DD72A2"/>
    <w:rsid w:val="00DE0196"/>
    <w:rsid w:val="00DE026E"/>
    <w:rsid w:val="00DE056C"/>
    <w:rsid w:val="00DE0D8B"/>
    <w:rsid w:val="00DE10A8"/>
    <w:rsid w:val="00DE1B55"/>
    <w:rsid w:val="00DE1DE2"/>
    <w:rsid w:val="00DE2F09"/>
    <w:rsid w:val="00DE3E7E"/>
    <w:rsid w:val="00DE485C"/>
    <w:rsid w:val="00DE4BF1"/>
    <w:rsid w:val="00DE5883"/>
    <w:rsid w:val="00DE6650"/>
    <w:rsid w:val="00DE705F"/>
    <w:rsid w:val="00DE720D"/>
    <w:rsid w:val="00DE7AD9"/>
    <w:rsid w:val="00DF017D"/>
    <w:rsid w:val="00DF0546"/>
    <w:rsid w:val="00DF1513"/>
    <w:rsid w:val="00DF1618"/>
    <w:rsid w:val="00DF239D"/>
    <w:rsid w:val="00DF3DB9"/>
    <w:rsid w:val="00DF4484"/>
    <w:rsid w:val="00DF55D2"/>
    <w:rsid w:val="00DF565A"/>
    <w:rsid w:val="00DF6067"/>
    <w:rsid w:val="00E00964"/>
    <w:rsid w:val="00E01CF5"/>
    <w:rsid w:val="00E01FEF"/>
    <w:rsid w:val="00E0220B"/>
    <w:rsid w:val="00E06E3C"/>
    <w:rsid w:val="00E101BC"/>
    <w:rsid w:val="00E10886"/>
    <w:rsid w:val="00E12F28"/>
    <w:rsid w:val="00E14B04"/>
    <w:rsid w:val="00E14D4C"/>
    <w:rsid w:val="00E170A4"/>
    <w:rsid w:val="00E200EA"/>
    <w:rsid w:val="00E24023"/>
    <w:rsid w:val="00E24B50"/>
    <w:rsid w:val="00E24CB9"/>
    <w:rsid w:val="00E2521A"/>
    <w:rsid w:val="00E254B4"/>
    <w:rsid w:val="00E256DD"/>
    <w:rsid w:val="00E258B4"/>
    <w:rsid w:val="00E270B5"/>
    <w:rsid w:val="00E30BD8"/>
    <w:rsid w:val="00E31CFE"/>
    <w:rsid w:val="00E364A2"/>
    <w:rsid w:val="00E36959"/>
    <w:rsid w:val="00E36B2E"/>
    <w:rsid w:val="00E36D5D"/>
    <w:rsid w:val="00E37AB5"/>
    <w:rsid w:val="00E37E70"/>
    <w:rsid w:val="00E42EB8"/>
    <w:rsid w:val="00E45438"/>
    <w:rsid w:val="00E45FD7"/>
    <w:rsid w:val="00E46264"/>
    <w:rsid w:val="00E46C4C"/>
    <w:rsid w:val="00E51508"/>
    <w:rsid w:val="00E530B4"/>
    <w:rsid w:val="00E53A68"/>
    <w:rsid w:val="00E53B51"/>
    <w:rsid w:val="00E54BA9"/>
    <w:rsid w:val="00E5556C"/>
    <w:rsid w:val="00E61384"/>
    <w:rsid w:val="00E62B07"/>
    <w:rsid w:val="00E62E55"/>
    <w:rsid w:val="00E630D1"/>
    <w:rsid w:val="00E6346F"/>
    <w:rsid w:val="00E670E4"/>
    <w:rsid w:val="00E67479"/>
    <w:rsid w:val="00E704B8"/>
    <w:rsid w:val="00E712F7"/>
    <w:rsid w:val="00E7148E"/>
    <w:rsid w:val="00E71CD2"/>
    <w:rsid w:val="00E72338"/>
    <w:rsid w:val="00E76357"/>
    <w:rsid w:val="00E76A29"/>
    <w:rsid w:val="00E77C3B"/>
    <w:rsid w:val="00E80D72"/>
    <w:rsid w:val="00E81E37"/>
    <w:rsid w:val="00E83936"/>
    <w:rsid w:val="00E850E3"/>
    <w:rsid w:val="00E8712D"/>
    <w:rsid w:val="00E9285A"/>
    <w:rsid w:val="00E931C1"/>
    <w:rsid w:val="00E9350C"/>
    <w:rsid w:val="00E94235"/>
    <w:rsid w:val="00E95EFB"/>
    <w:rsid w:val="00EA22ED"/>
    <w:rsid w:val="00EA373B"/>
    <w:rsid w:val="00EA3813"/>
    <w:rsid w:val="00EA40E2"/>
    <w:rsid w:val="00EA5B18"/>
    <w:rsid w:val="00EB0A1D"/>
    <w:rsid w:val="00EB0B96"/>
    <w:rsid w:val="00EB0E7B"/>
    <w:rsid w:val="00EB11FB"/>
    <w:rsid w:val="00EB1611"/>
    <w:rsid w:val="00EB2ED1"/>
    <w:rsid w:val="00EB351A"/>
    <w:rsid w:val="00EB3618"/>
    <w:rsid w:val="00EB4EE1"/>
    <w:rsid w:val="00EB5E63"/>
    <w:rsid w:val="00EB71F5"/>
    <w:rsid w:val="00EC0263"/>
    <w:rsid w:val="00EC4D4E"/>
    <w:rsid w:val="00EC70E4"/>
    <w:rsid w:val="00EC7469"/>
    <w:rsid w:val="00EC775E"/>
    <w:rsid w:val="00ED178F"/>
    <w:rsid w:val="00ED2B25"/>
    <w:rsid w:val="00ED2C4D"/>
    <w:rsid w:val="00ED2F69"/>
    <w:rsid w:val="00ED380E"/>
    <w:rsid w:val="00ED3AF9"/>
    <w:rsid w:val="00ED5E0D"/>
    <w:rsid w:val="00ED63D9"/>
    <w:rsid w:val="00ED6949"/>
    <w:rsid w:val="00ED6A59"/>
    <w:rsid w:val="00ED6F8F"/>
    <w:rsid w:val="00ED7033"/>
    <w:rsid w:val="00ED784E"/>
    <w:rsid w:val="00ED79DF"/>
    <w:rsid w:val="00EE0897"/>
    <w:rsid w:val="00EE1AD5"/>
    <w:rsid w:val="00EE1C7E"/>
    <w:rsid w:val="00EE3148"/>
    <w:rsid w:val="00EE4859"/>
    <w:rsid w:val="00EE489F"/>
    <w:rsid w:val="00EE4A62"/>
    <w:rsid w:val="00EE51FC"/>
    <w:rsid w:val="00EE6361"/>
    <w:rsid w:val="00EE727A"/>
    <w:rsid w:val="00EE7A13"/>
    <w:rsid w:val="00EE7B0B"/>
    <w:rsid w:val="00EE7B4A"/>
    <w:rsid w:val="00EE7C06"/>
    <w:rsid w:val="00EE7E10"/>
    <w:rsid w:val="00EE7E38"/>
    <w:rsid w:val="00EF0499"/>
    <w:rsid w:val="00EF0F6D"/>
    <w:rsid w:val="00EF1CAB"/>
    <w:rsid w:val="00EF2B79"/>
    <w:rsid w:val="00EF2B7F"/>
    <w:rsid w:val="00EF3368"/>
    <w:rsid w:val="00EF3A95"/>
    <w:rsid w:val="00EF3C07"/>
    <w:rsid w:val="00EF409A"/>
    <w:rsid w:val="00EF5E34"/>
    <w:rsid w:val="00F004EE"/>
    <w:rsid w:val="00F00ADA"/>
    <w:rsid w:val="00F0132D"/>
    <w:rsid w:val="00F0247D"/>
    <w:rsid w:val="00F0490F"/>
    <w:rsid w:val="00F04A16"/>
    <w:rsid w:val="00F04E33"/>
    <w:rsid w:val="00F0545B"/>
    <w:rsid w:val="00F06858"/>
    <w:rsid w:val="00F07895"/>
    <w:rsid w:val="00F103EE"/>
    <w:rsid w:val="00F10D20"/>
    <w:rsid w:val="00F11634"/>
    <w:rsid w:val="00F1304B"/>
    <w:rsid w:val="00F14BC6"/>
    <w:rsid w:val="00F171C6"/>
    <w:rsid w:val="00F202A7"/>
    <w:rsid w:val="00F21283"/>
    <w:rsid w:val="00F22AA3"/>
    <w:rsid w:val="00F23117"/>
    <w:rsid w:val="00F23D4F"/>
    <w:rsid w:val="00F25DEC"/>
    <w:rsid w:val="00F26B21"/>
    <w:rsid w:val="00F27F36"/>
    <w:rsid w:val="00F3119D"/>
    <w:rsid w:val="00F33088"/>
    <w:rsid w:val="00F33579"/>
    <w:rsid w:val="00F34DEA"/>
    <w:rsid w:val="00F35CF2"/>
    <w:rsid w:val="00F35FF1"/>
    <w:rsid w:val="00F36AF1"/>
    <w:rsid w:val="00F36BE0"/>
    <w:rsid w:val="00F3708D"/>
    <w:rsid w:val="00F4013E"/>
    <w:rsid w:val="00F40320"/>
    <w:rsid w:val="00F40350"/>
    <w:rsid w:val="00F419D7"/>
    <w:rsid w:val="00F42104"/>
    <w:rsid w:val="00F42B6A"/>
    <w:rsid w:val="00F42DCD"/>
    <w:rsid w:val="00F43011"/>
    <w:rsid w:val="00F44096"/>
    <w:rsid w:val="00F44D62"/>
    <w:rsid w:val="00F44E9D"/>
    <w:rsid w:val="00F45657"/>
    <w:rsid w:val="00F45EAF"/>
    <w:rsid w:val="00F466F9"/>
    <w:rsid w:val="00F47840"/>
    <w:rsid w:val="00F52830"/>
    <w:rsid w:val="00F535B3"/>
    <w:rsid w:val="00F54C1C"/>
    <w:rsid w:val="00F5533E"/>
    <w:rsid w:val="00F5587C"/>
    <w:rsid w:val="00F55EFC"/>
    <w:rsid w:val="00F56F59"/>
    <w:rsid w:val="00F57390"/>
    <w:rsid w:val="00F60324"/>
    <w:rsid w:val="00F60BB4"/>
    <w:rsid w:val="00F643F4"/>
    <w:rsid w:val="00F64D7E"/>
    <w:rsid w:val="00F64F69"/>
    <w:rsid w:val="00F657DC"/>
    <w:rsid w:val="00F65DAD"/>
    <w:rsid w:val="00F70A43"/>
    <w:rsid w:val="00F71D7D"/>
    <w:rsid w:val="00F735AD"/>
    <w:rsid w:val="00F746A0"/>
    <w:rsid w:val="00F75946"/>
    <w:rsid w:val="00F75AA2"/>
    <w:rsid w:val="00F76B3A"/>
    <w:rsid w:val="00F76B6E"/>
    <w:rsid w:val="00F80A40"/>
    <w:rsid w:val="00F81C4A"/>
    <w:rsid w:val="00F83F86"/>
    <w:rsid w:val="00F8494E"/>
    <w:rsid w:val="00F85F84"/>
    <w:rsid w:val="00F85FB4"/>
    <w:rsid w:val="00F86801"/>
    <w:rsid w:val="00F87255"/>
    <w:rsid w:val="00F87C90"/>
    <w:rsid w:val="00F902BA"/>
    <w:rsid w:val="00F916E4"/>
    <w:rsid w:val="00F921A1"/>
    <w:rsid w:val="00F92F29"/>
    <w:rsid w:val="00F9379B"/>
    <w:rsid w:val="00F9521B"/>
    <w:rsid w:val="00F96ADF"/>
    <w:rsid w:val="00F97649"/>
    <w:rsid w:val="00FA1982"/>
    <w:rsid w:val="00FA25AE"/>
    <w:rsid w:val="00FA369E"/>
    <w:rsid w:val="00FA38F0"/>
    <w:rsid w:val="00FA39DA"/>
    <w:rsid w:val="00FA69A6"/>
    <w:rsid w:val="00FA6D09"/>
    <w:rsid w:val="00FB17CB"/>
    <w:rsid w:val="00FB17E8"/>
    <w:rsid w:val="00FB4865"/>
    <w:rsid w:val="00FB54A2"/>
    <w:rsid w:val="00FB60A9"/>
    <w:rsid w:val="00FB6E2F"/>
    <w:rsid w:val="00FC0858"/>
    <w:rsid w:val="00FC1484"/>
    <w:rsid w:val="00FC50B9"/>
    <w:rsid w:val="00FC5379"/>
    <w:rsid w:val="00FC537C"/>
    <w:rsid w:val="00FC57BC"/>
    <w:rsid w:val="00FC6885"/>
    <w:rsid w:val="00FD4031"/>
    <w:rsid w:val="00FE019A"/>
    <w:rsid w:val="00FE040E"/>
    <w:rsid w:val="00FE0B4C"/>
    <w:rsid w:val="00FE22BD"/>
    <w:rsid w:val="00FE343E"/>
    <w:rsid w:val="00FE3F6F"/>
    <w:rsid w:val="00FF0649"/>
    <w:rsid w:val="00FF0B66"/>
    <w:rsid w:val="00FF0B67"/>
    <w:rsid w:val="00FF1634"/>
    <w:rsid w:val="00FF2B65"/>
    <w:rsid w:val="00FF54EB"/>
    <w:rsid w:val="00FF6CD1"/>
    <w:rsid w:val="00FF75DF"/>
    <w:rsid w:val="659E2F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3"/>
    <w:qFormat/>
    <w:uiPriority w:val="9"/>
    <w:pPr>
      <w:keepNext/>
      <w:keepLines/>
      <w:spacing w:line="360" w:lineRule="auto"/>
      <w:outlineLvl w:val="0"/>
    </w:pPr>
    <w:rPr>
      <w:b/>
      <w:bCs/>
      <w:kern w:val="44"/>
      <w:sz w:val="32"/>
      <w:szCs w:val="44"/>
    </w:rPr>
  </w:style>
  <w:style w:type="paragraph" w:styleId="4">
    <w:name w:val="heading 2"/>
    <w:basedOn w:val="1"/>
    <w:next w:val="1"/>
    <w:link w:val="24"/>
    <w:unhideWhenUsed/>
    <w:qFormat/>
    <w:uiPriority w:val="9"/>
    <w:pPr>
      <w:keepNext/>
      <w:keepLines/>
      <w:spacing w:line="360" w:lineRule="auto"/>
      <w:outlineLvl w:val="1"/>
    </w:pPr>
    <w:rPr>
      <w:rFonts w:cstheme="majorBidi"/>
      <w:b/>
      <w:bCs/>
      <w:sz w:val="28"/>
      <w:szCs w:val="32"/>
    </w:rPr>
  </w:style>
  <w:style w:type="paragraph" w:styleId="5">
    <w:name w:val="heading 3"/>
    <w:basedOn w:val="1"/>
    <w:next w:val="1"/>
    <w:link w:val="25"/>
    <w:unhideWhenUsed/>
    <w:qFormat/>
    <w:uiPriority w:val="9"/>
    <w:pPr>
      <w:keepNext/>
      <w:keepLines/>
      <w:spacing w:line="360" w:lineRule="auto"/>
      <w:outlineLvl w:val="2"/>
    </w:pPr>
    <w:rPr>
      <w:b/>
      <w:bCs/>
      <w:sz w:val="24"/>
      <w:szCs w:val="32"/>
    </w:rPr>
  </w:style>
  <w:style w:type="paragraph" w:styleId="6">
    <w:name w:val="heading 4"/>
    <w:basedOn w:val="1"/>
    <w:next w:val="1"/>
    <w:link w:val="26"/>
    <w:semiHidden/>
    <w:unhideWhenUsed/>
    <w:qFormat/>
    <w:uiPriority w:val="9"/>
    <w:pPr>
      <w:keepNext/>
      <w:keepLines/>
      <w:spacing w:line="360" w:lineRule="auto"/>
      <w:outlineLvl w:val="3"/>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0"/>
    <w:pPr>
      <w:widowControl/>
      <w:snapToGrid w:val="0"/>
      <w:spacing w:before="60" w:after="160" w:line="259" w:lineRule="auto"/>
      <w:ind w:right="113"/>
    </w:pPr>
    <w:rPr>
      <w:kern w:val="0"/>
      <w:sz w:val="18"/>
      <w:szCs w:val="20"/>
    </w:rPr>
  </w:style>
  <w:style w:type="paragraph" w:styleId="7">
    <w:name w:val="caption"/>
    <w:basedOn w:val="1"/>
    <w:next w:val="8"/>
    <w:qFormat/>
    <w:uiPriority w:val="35"/>
    <w:pPr>
      <w:adjustRightInd w:val="0"/>
      <w:snapToGrid w:val="0"/>
      <w:jc w:val="center"/>
    </w:pPr>
    <w:rPr>
      <w:rFonts w:ascii="Calibri" w:hAnsi="Calibri" w:eastAsia="黑体"/>
      <w:szCs w:val="20"/>
    </w:rPr>
  </w:style>
  <w:style w:type="paragraph" w:customStyle="1" w:styleId="8">
    <w:name w:val="表格内格式"/>
    <w:basedOn w:val="1"/>
    <w:next w:val="1"/>
    <w:qFormat/>
    <w:uiPriority w:val="0"/>
    <w:pPr>
      <w:widowControl/>
      <w:spacing w:line="360" w:lineRule="exact"/>
      <w:jc w:val="center"/>
    </w:pPr>
    <w:rPr>
      <w:rFonts w:ascii="Calibri" w:hAnsi="Calibri"/>
      <w:kern w:val="0"/>
      <w:szCs w:val="22"/>
    </w:rPr>
  </w:style>
  <w:style w:type="paragraph" w:styleId="9">
    <w:name w:val="annotation text"/>
    <w:basedOn w:val="1"/>
    <w:link w:val="28"/>
    <w:unhideWhenUsed/>
    <w:qFormat/>
    <w:uiPriority w:val="99"/>
    <w:pPr>
      <w:widowControl/>
      <w:adjustRightInd w:val="0"/>
      <w:snapToGrid w:val="0"/>
      <w:jc w:val="left"/>
    </w:pPr>
    <w:rPr>
      <w:rFonts w:cstheme="minorBidi"/>
      <w:kern w:val="0"/>
      <w:szCs w:val="22"/>
    </w:rPr>
  </w:style>
  <w:style w:type="paragraph" w:styleId="10">
    <w:name w:val="Body Text Indent 2"/>
    <w:basedOn w:val="1"/>
    <w:link w:val="62"/>
    <w:semiHidden/>
    <w:unhideWhenUsed/>
    <w:qFormat/>
    <w:uiPriority w:val="99"/>
    <w:pPr>
      <w:spacing w:after="120" w:line="480" w:lineRule="auto"/>
      <w:ind w:left="420" w:leftChars="200"/>
    </w:pPr>
  </w:style>
  <w:style w:type="paragraph" w:styleId="11">
    <w:name w:val="Balloon Text"/>
    <w:basedOn w:val="1"/>
    <w:link w:val="29"/>
    <w:semiHidden/>
    <w:unhideWhenUsed/>
    <w:qFormat/>
    <w:uiPriority w:val="99"/>
    <w:pPr>
      <w:ind w:firstLine="200" w:firstLineChars="200"/>
    </w:pPr>
    <w:rPr>
      <w:sz w:val="18"/>
      <w:szCs w:val="18"/>
    </w:rPr>
  </w:style>
  <w:style w:type="paragraph" w:styleId="12">
    <w:name w:val="footer"/>
    <w:basedOn w:val="1"/>
    <w:link w:val="33"/>
    <w:unhideWhenUsed/>
    <w:qFormat/>
    <w:uiPriority w:val="99"/>
    <w:pPr>
      <w:tabs>
        <w:tab w:val="center" w:pos="4153"/>
        <w:tab w:val="right" w:pos="8306"/>
      </w:tabs>
      <w:snapToGrid w:val="0"/>
      <w:ind w:firstLine="200" w:firstLineChars="200"/>
      <w:jc w:val="left"/>
    </w:pPr>
    <w:rPr>
      <w:sz w:val="18"/>
      <w:szCs w:val="18"/>
    </w:rPr>
  </w:style>
  <w:style w:type="paragraph" w:styleId="13">
    <w:name w:val="header"/>
    <w:basedOn w:val="1"/>
    <w:link w:val="32"/>
    <w:unhideWhenUsed/>
    <w:qFormat/>
    <w:uiPriority w:val="99"/>
    <w:pPr>
      <w:pBdr>
        <w:bottom w:val="single" w:color="auto" w:sz="6" w:space="1"/>
      </w:pBdr>
      <w:tabs>
        <w:tab w:val="center" w:pos="4153"/>
        <w:tab w:val="right" w:pos="8306"/>
      </w:tabs>
      <w:snapToGrid w:val="0"/>
      <w:ind w:firstLine="200" w:firstLineChars="200"/>
      <w:jc w:val="center"/>
    </w:pPr>
    <w:rPr>
      <w:sz w:val="18"/>
      <w:szCs w:val="18"/>
    </w:rPr>
  </w:style>
  <w:style w:type="paragraph" w:styleId="14">
    <w:name w:val="toc 1"/>
    <w:basedOn w:val="1"/>
    <w:next w:val="1"/>
    <w:unhideWhenUsed/>
    <w:qFormat/>
    <w:uiPriority w:val="39"/>
    <w:pPr>
      <w:spacing w:line="360" w:lineRule="auto"/>
      <w:ind w:firstLine="200" w:firstLineChars="200"/>
    </w:pPr>
    <w:rPr>
      <w:sz w:val="24"/>
      <w:szCs w:val="22"/>
    </w:rPr>
  </w:style>
  <w:style w:type="paragraph" w:styleId="15">
    <w:name w:val="Normal (Web)"/>
    <w:basedOn w:val="1"/>
    <w:link w:val="27"/>
    <w:qFormat/>
    <w:uiPriority w:val="0"/>
    <w:pPr>
      <w:widowControl/>
      <w:spacing w:before="100" w:beforeAutospacing="1" w:after="100" w:afterAutospacing="1"/>
      <w:jc w:val="left"/>
    </w:pPr>
    <w:rPr>
      <w:rFonts w:ascii="宋体" w:hAnsi="宋体" w:cstheme="minorBidi"/>
      <w:sz w:val="24"/>
      <w:szCs w:val="22"/>
    </w:rPr>
  </w:style>
  <w:style w:type="paragraph" w:styleId="16">
    <w:name w:val="annotation subject"/>
    <w:basedOn w:val="9"/>
    <w:next w:val="9"/>
    <w:link w:val="34"/>
    <w:semiHidden/>
    <w:unhideWhenUsed/>
    <w:qFormat/>
    <w:uiPriority w:val="99"/>
    <w:pPr>
      <w:widowControl w:val="0"/>
      <w:adjustRightInd/>
      <w:snapToGrid/>
      <w:spacing w:line="360" w:lineRule="auto"/>
      <w:ind w:firstLine="200" w:firstLineChars="200"/>
    </w:pPr>
    <w:rPr>
      <w:rFonts w:cs="Times New Roman"/>
      <w:b/>
      <w:bCs/>
      <w:kern w:val="2"/>
      <w:sz w:val="24"/>
    </w:rPr>
  </w:style>
  <w:style w:type="paragraph" w:styleId="17">
    <w:name w:val="Body Text First Indent"/>
    <w:basedOn w:val="2"/>
    <w:link w:val="42"/>
    <w:qFormat/>
    <w:uiPriority w:val="0"/>
    <w:pPr>
      <w:adjustRightInd w:val="0"/>
      <w:spacing w:beforeLines="50" w:line="360" w:lineRule="auto"/>
      <w:ind w:firstLine="200" w:firstLineChars="200"/>
    </w:pPr>
    <w:rPr>
      <w:sz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unhideWhenUsed/>
    <w:qFormat/>
    <w:uiPriority w:val="0"/>
    <w:rPr>
      <w:sz w:val="21"/>
      <w:szCs w:val="21"/>
    </w:rPr>
  </w:style>
  <w:style w:type="character" w:customStyle="1" w:styleId="23">
    <w:name w:val="标题 1 Char"/>
    <w:basedOn w:val="20"/>
    <w:link w:val="3"/>
    <w:qFormat/>
    <w:uiPriority w:val="9"/>
    <w:rPr>
      <w:rFonts w:cs="Times New Roman"/>
      <w:b/>
      <w:bCs/>
      <w:kern w:val="44"/>
      <w:sz w:val="32"/>
      <w:szCs w:val="44"/>
    </w:rPr>
  </w:style>
  <w:style w:type="character" w:customStyle="1" w:styleId="24">
    <w:name w:val="标题 2 Char"/>
    <w:basedOn w:val="20"/>
    <w:link w:val="4"/>
    <w:qFormat/>
    <w:uiPriority w:val="9"/>
    <w:rPr>
      <w:rFonts w:cstheme="majorBidi"/>
      <w:b/>
      <w:bCs/>
      <w:sz w:val="28"/>
      <w:szCs w:val="32"/>
    </w:rPr>
  </w:style>
  <w:style w:type="character" w:customStyle="1" w:styleId="25">
    <w:name w:val="标题 3 Char"/>
    <w:basedOn w:val="20"/>
    <w:link w:val="5"/>
    <w:qFormat/>
    <w:uiPriority w:val="9"/>
    <w:rPr>
      <w:b/>
      <w:bCs/>
      <w:szCs w:val="32"/>
    </w:rPr>
  </w:style>
  <w:style w:type="character" w:customStyle="1" w:styleId="26">
    <w:name w:val="标题 4 Char"/>
    <w:basedOn w:val="20"/>
    <w:link w:val="6"/>
    <w:qFormat/>
    <w:uiPriority w:val="9"/>
    <w:rPr>
      <w:rFonts w:cs="Times New Roman"/>
      <w:b/>
      <w:bCs/>
      <w:sz w:val="28"/>
      <w:szCs w:val="28"/>
    </w:rPr>
  </w:style>
  <w:style w:type="character" w:customStyle="1" w:styleId="27">
    <w:name w:val="普通(网站) Char"/>
    <w:link w:val="15"/>
    <w:qFormat/>
    <w:locked/>
    <w:uiPriority w:val="0"/>
    <w:rPr>
      <w:rFonts w:ascii="宋体" w:hAnsi="宋体"/>
    </w:rPr>
  </w:style>
  <w:style w:type="character" w:customStyle="1" w:styleId="28">
    <w:name w:val="批注文字 Char"/>
    <w:basedOn w:val="20"/>
    <w:link w:val="9"/>
    <w:qFormat/>
    <w:uiPriority w:val="99"/>
    <w:rPr>
      <w:kern w:val="0"/>
      <w:sz w:val="21"/>
    </w:rPr>
  </w:style>
  <w:style w:type="character" w:customStyle="1" w:styleId="29">
    <w:name w:val="批注框文本 Char"/>
    <w:basedOn w:val="20"/>
    <w:link w:val="11"/>
    <w:semiHidden/>
    <w:qFormat/>
    <w:uiPriority w:val="99"/>
    <w:rPr>
      <w:rFonts w:cs="Times New Roman"/>
      <w:sz w:val="18"/>
      <w:szCs w:val="18"/>
    </w:rPr>
  </w:style>
  <w:style w:type="paragraph" w:styleId="30">
    <w:name w:val="No Spacing"/>
    <w:link w:val="31"/>
    <w:qFormat/>
    <w:uiPriority w:val="1"/>
    <w:pPr>
      <w:widowControl w:val="0"/>
      <w:adjustRightInd w:val="0"/>
      <w:snapToGrid w:val="0"/>
      <w:spacing w:line="360" w:lineRule="auto"/>
      <w:jc w:val="center"/>
      <w:textAlignment w:val="baseline"/>
    </w:pPr>
    <w:rPr>
      <w:rFonts w:ascii="Times New Roman" w:hAnsi="Times New Roman" w:eastAsia="宋体" w:cs="Times New Roman"/>
      <w:b/>
      <w:kern w:val="0"/>
      <w:sz w:val="21"/>
      <w:szCs w:val="20"/>
      <w:lang w:val="en-US" w:eastAsia="zh-CN" w:bidi="ar-SA"/>
    </w:rPr>
  </w:style>
  <w:style w:type="character" w:customStyle="1" w:styleId="31">
    <w:name w:val="无间隔 Char"/>
    <w:link w:val="30"/>
    <w:qFormat/>
    <w:locked/>
    <w:uiPriority w:val="1"/>
    <w:rPr>
      <w:rFonts w:cs="Times New Roman"/>
      <w:b/>
      <w:kern w:val="0"/>
      <w:sz w:val="21"/>
      <w:szCs w:val="20"/>
    </w:rPr>
  </w:style>
  <w:style w:type="character" w:customStyle="1" w:styleId="32">
    <w:name w:val="页眉 Char"/>
    <w:basedOn w:val="20"/>
    <w:link w:val="13"/>
    <w:qFormat/>
    <w:uiPriority w:val="99"/>
    <w:rPr>
      <w:rFonts w:cs="Times New Roman"/>
      <w:sz w:val="18"/>
      <w:szCs w:val="18"/>
    </w:rPr>
  </w:style>
  <w:style w:type="character" w:customStyle="1" w:styleId="33">
    <w:name w:val="页脚 Char"/>
    <w:basedOn w:val="20"/>
    <w:link w:val="12"/>
    <w:qFormat/>
    <w:uiPriority w:val="99"/>
    <w:rPr>
      <w:rFonts w:cs="Times New Roman"/>
      <w:sz w:val="18"/>
      <w:szCs w:val="18"/>
    </w:rPr>
  </w:style>
  <w:style w:type="character" w:customStyle="1" w:styleId="34">
    <w:name w:val="批注主题 Char"/>
    <w:basedOn w:val="28"/>
    <w:link w:val="16"/>
    <w:semiHidden/>
    <w:qFormat/>
    <w:uiPriority w:val="99"/>
    <w:rPr>
      <w:rFonts w:cs="Times New Roman"/>
      <w:b/>
      <w:bCs/>
      <w:kern w:val="0"/>
      <w:sz w:val="21"/>
    </w:rPr>
  </w:style>
  <w:style w:type="character" w:styleId="35">
    <w:name w:val="Placeholder Text"/>
    <w:basedOn w:val="20"/>
    <w:semiHidden/>
    <w:qFormat/>
    <w:uiPriority w:val="99"/>
    <w:rPr>
      <w:color w:val="808080"/>
    </w:rPr>
  </w:style>
  <w:style w:type="character" w:customStyle="1" w:styleId="36">
    <w:name w:val="表格 Char"/>
    <w:link w:val="37"/>
    <w:qFormat/>
    <w:locked/>
    <w:uiPriority w:val="99"/>
    <w:rPr>
      <w:rFonts w:ascii="宋体"/>
      <w:sz w:val="21"/>
    </w:rPr>
  </w:style>
  <w:style w:type="paragraph" w:customStyle="1" w:styleId="37">
    <w:name w:val="表格"/>
    <w:basedOn w:val="1"/>
    <w:next w:val="1"/>
    <w:link w:val="36"/>
    <w:qFormat/>
    <w:uiPriority w:val="99"/>
    <w:pPr>
      <w:adjustRightInd w:val="0"/>
      <w:snapToGrid w:val="0"/>
      <w:spacing w:beforeLines="10" w:afterLines="10" w:line="259" w:lineRule="auto"/>
      <w:jc w:val="center"/>
    </w:pPr>
    <w:rPr>
      <w:rFonts w:ascii="宋体" w:cstheme="minorBidi"/>
      <w:szCs w:val="22"/>
    </w:rPr>
  </w:style>
  <w:style w:type="paragraph" w:customStyle="1" w:styleId="38">
    <w:name w:val="Table Paragraph"/>
    <w:basedOn w:val="1"/>
    <w:semiHidden/>
    <w:qFormat/>
    <w:uiPriority w:val="0"/>
    <w:pPr>
      <w:widowControl/>
      <w:jc w:val="left"/>
    </w:pPr>
    <w:rPr>
      <w:rFonts w:ascii="Calibri" w:hAnsi="Calibri" w:cs="Calibri"/>
      <w:kern w:val="0"/>
      <w:sz w:val="22"/>
      <w:szCs w:val="22"/>
    </w:rPr>
  </w:style>
  <w:style w:type="character" w:customStyle="1" w:styleId="39">
    <w:name w:val="fontstyle01"/>
    <w:qFormat/>
    <w:uiPriority w:val="0"/>
    <w:rPr>
      <w:rFonts w:hint="eastAsia" w:ascii="宋体" w:hAnsi="宋体" w:eastAsia="宋体"/>
      <w:color w:val="000000"/>
      <w:sz w:val="24"/>
      <w:szCs w:val="24"/>
    </w:rPr>
  </w:style>
  <w:style w:type="paragraph" w:customStyle="1" w:styleId="40">
    <w:name w:val="Default"/>
    <w:qFormat/>
    <w:uiPriority w:val="0"/>
    <w:pPr>
      <w:widowControl w:val="0"/>
      <w:autoSpaceDE w:val="0"/>
      <w:autoSpaceDN w:val="0"/>
      <w:adjustRightInd w:val="0"/>
      <w:jc w:val="left"/>
    </w:pPr>
    <w:rPr>
      <w:rFonts w:ascii="宋体" w:hAnsi="Times New Roman" w:eastAsia="宋体" w:cs="宋体"/>
      <w:color w:val="000000"/>
      <w:kern w:val="0"/>
      <w:sz w:val="24"/>
      <w:szCs w:val="24"/>
      <w:lang w:val="en-US" w:eastAsia="zh-CN" w:bidi="ar-SA"/>
    </w:rPr>
  </w:style>
  <w:style w:type="character" w:customStyle="1" w:styleId="41">
    <w:name w:val="正文文本 Char"/>
    <w:basedOn w:val="20"/>
    <w:link w:val="2"/>
    <w:qFormat/>
    <w:uiPriority w:val="0"/>
    <w:rPr>
      <w:rFonts w:cs="Times New Roman"/>
      <w:kern w:val="0"/>
      <w:sz w:val="18"/>
      <w:szCs w:val="20"/>
    </w:rPr>
  </w:style>
  <w:style w:type="character" w:customStyle="1" w:styleId="42">
    <w:name w:val="正文首行缩进 Char"/>
    <w:basedOn w:val="41"/>
    <w:link w:val="17"/>
    <w:qFormat/>
    <w:uiPriority w:val="0"/>
    <w:rPr>
      <w:rFonts w:cs="Times New Roman"/>
      <w:kern w:val="0"/>
      <w:sz w:val="18"/>
      <w:szCs w:val="20"/>
    </w:rPr>
  </w:style>
  <w:style w:type="character" w:customStyle="1" w:styleId="43">
    <w:name w:val="表标题 Char1"/>
    <w:link w:val="44"/>
    <w:qFormat/>
    <w:uiPriority w:val="0"/>
    <w:rPr>
      <w:b/>
    </w:rPr>
  </w:style>
  <w:style w:type="paragraph" w:customStyle="1" w:styleId="44">
    <w:name w:val="表标题"/>
    <w:next w:val="37"/>
    <w:link w:val="43"/>
    <w:qFormat/>
    <w:uiPriority w:val="0"/>
    <w:pPr>
      <w:tabs>
        <w:tab w:val="left" w:pos="0"/>
      </w:tabs>
      <w:jc w:val="center"/>
    </w:pPr>
    <w:rPr>
      <w:rFonts w:ascii="Times New Roman" w:hAnsi="Times New Roman" w:eastAsia="宋体" w:cstheme="minorBidi"/>
      <w:b/>
      <w:kern w:val="2"/>
      <w:sz w:val="24"/>
      <w:szCs w:val="22"/>
      <w:lang w:val="en-US" w:eastAsia="zh-CN" w:bidi="ar-SA"/>
    </w:rPr>
  </w:style>
  <w:style w:type="character" w:customStyle="1" w:styleId="45">
    <w:name w:val="表格第一行 Char Char"/>
    <w:link w:val="46"/>
    <w:qFormat/>
    <w:uiPriority w:val="0"/>
    <w:rPr>
      <w:b/>
      <w:sz w:val="21"/>
      <w:szCs w:val="21"/>
    </w:rPr>
  </w:style>
  <w:style w:type="paragraph" w:customStyle="1" w:styleId="46">
    <w:name w:val="表格第一行"/>
    <w:next w:val="1"/>
    <w:link w:val="45"/>
    <w:qFormat/>
    <w:uiPriority w:val="0"/>
    <w:pPr>
      <w:adjustRightInd w:val="0"/>
      <w:snapToGrid w:val="0"/>
      <w:spacing w:line="320" w:lineRule="exact"/>
      <w:jc w:val="center"/>
      <w:textAlignment w:val="baseline"/>
    </w:pPr>
    <w:rPr>
      <w:rFonts w:ascii="Times New Roman" w:hAnsi="Times New Roman" w:eastAsia="宋体" w:cstheme="minorBidi"/>
      <w:b/>
      <w:kern w:val="2"/>
      <w:sz w:val="21"/>
      <w:szCs w:val="21"/>
      <w:lang w:val="en-US" w:eastAsia="zh-CN" w:bidi="ar-SA"/>
    </w:rPr>
  </w:style>
  <w:style w:type="character" w:customStyle="1" w:styleId="47">
    <w:name w:val="标准正文 Char"/>
    <w:link w:val="48"/>
    <w:qFormat/>
    <w:uiPriority w:val="0"/>
    <w:rPr>
      <w:rFonts w:hAnsi="宋体"/>
      <w:szCs w:val="24"/>
    </w:rPr>
  </w:style>
  <w:style w:type="paragraph" w:customStyle="1" w:styleId="48">
    <w:name w:val="标准正文"/>
    <w:basedOn w:val="1"/>
    <w:link w:val="47"/>
    <w:qFormat/>
    <w:uiPriority w:val="0"/>
    <w:pPr>
      <w:spacing w:line="360" w:lineRule="auto"/>
      <w:ind w:firstLine="480" w:firstLineChars="200"/>
    </w:pPr>
    <w:rPr>
      <w:rFonts w:hAnsi="宋体" w:cstheme="minorBidi"/>
      <w:sz w:val="24"/>
      <w:szCs w:val="24"/>
    </w:rPr>
  </w:style>
  <w:style w:type="paragraph" w:customStyle="1" w:styleId="49">
    <w:name w:val="TOC Heading"/>
    <w:basedOn w:val="3"/>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0">
    <w:name w:val="正文1"/>
    <w:basedOn w:val="1"/>
    <w:qFormat/>
    <w:uiPriority w:val="0"/>
    <w:pPr>
      <w:tabs>
        <w:tab w:val="left" w:pos="22680"/>
      </w:tabs>
      <w:spacing w:line="360" w:lineRule="auto"/>
      <w:ind w:firstLine="602" w:firstLineChars="200"/>
      <w:jc w:val="left"/>
    </w:pPr>
    <w:rPr>
      <w:rFonts w:ascii="宋体" w:hAnsi="宋体"/>
      <w:sz w:val="24"/>
      <w:szCs w:val="20"/>
    </w:rPr>
  </w:style>
  <w:style w:type="paragraph" w:customStyle="1" w:styleId="51">
    <w:name w:val="p0"/>
    <w:basedOn w:val="1"/>
    <w:qFormat/>
    <w:uiPriority w:val="0"/>
    <w:pPr>
      <w:widowControl/>
    </w:pPr>
    <w:rPr>
      <w:kern w:val="0"/>
    </w:rPr>
  </w:style>
  <w:style w:type="paragraph" w:customStyle="1" w:styleId="52">
    <w:name w:val="样式正文无级"/>
    <w:basedOn w:val="1"/>
    <w:qFormat/>
    <w:uiPriority w:val="0"/>
    <w:pPr>
      <w:spacing w:line="360" w:lineRule="auto"/>
      <w:ind w:firstLine="480" w:firstLineChars="200"/>
    </w:pPr>
    <w:rPr>
      <w:kern w:val="0"/>
      <w:sz w:val="24"/>
      <w:szCs w:val="24"/>
    </w:rPr>
  </w:style>
  <w:style w:type="character" w:customStyle="1" w:styleId="53">
    <w:name w:val="HJ-表格 Char"/>
    <w:link w:val="54"/>
    <w:qFormat/>
    <w:uiPriority w:val="0"/>
    <w:rPr>
      <w:b/>
      <w:sz w:val="18"/>
    </w:rPr>
  </w:style>
  <w:style w:type="paragraph" w:customStyle="1" w:styleId="54">
    <w:name w:val="HJ-表格"/>
    <w:basedOn w:val="1"/>
    <w:link w:val="53"/>
    <w:qFormat/>
    <w:uiPriority w:val="0"/>
    <w:pPr>
      <w:jc w:val="center"/>
    </w:pPr>
    <w:rPr>
      <w:rFonts w:cstheme="minorBidi"/>
      <w:b/>
      <w:sz w:val="18"/>
      <w:szCs w:val="22"/>
    </w:rPr>
  </w:style>
  <w:style w:type="paragraph" w:customStyle="1" w:styleId="55">
    <w:name w:val="正文（用）"/>
    <w:basedOn w:val="1"/>
    <w:qFormat/>
    <w:uiPriority w:val="0"/>
    <w:pPr>
      <w:spacing w:line="360" w:lineRule="auto"/>
      <w:ind w:firstLine="480" w:firstLineChars="200"/>
      <w:jc w:val="left"/>
    </w:pPr>
    <w:rPr>
      <w:rFonts w:ascii="宋体" w:hAnsi="宋体" w:cs="宋体"/>
      <w:sz w:val="24"/>
      <w:szCs w:val="20"/>
    </w:rPr>
  </w:style>
  <w:style w:type="character" w:customStyle="1" w:styleId="56">
    <w:name w:val="表 Char"/>
    <w:link w:val="57"/>
    <w:qFormat/>
    <w:uiPriority w:val="0"/>
  </w:style>
  <w:style w:type="paragraph" w:customStyle="1" w:styleId="57">
    <w:name w:val="表"/>
    <w:link w:val="56"/>
    <w:qFormat/>
    <w:uiPriority w:val="0"/>
    <w:pPr>
      <w:adjustRightInd w:val="0"/>
      <w:snapToGrid w:val="0"/>
      <w:spacing w:line="320" w:lineRule="exact"/>
      <w:jc w:val="center"/>
    </w:pPr>
    <w:rPr>
      <w:rFonts w:ascii="Times New Roman" w:hAnsi="Times New Roman" w:eastAsia="宋体" w:cstheme="minorBidi"/>
      <w:kern w:val="2"/>
      <w:sz w:val="24"/>
      <w:szCs w:val="22"/>
      <w:lang w:val="en-US" w:eastAsia="zh-CN" w:bidi="ar-SA"/>
    </w:rPr>
  </w:style>
  <w:style w:type="paragraph" w:customStyle="1" w:styleId="58">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styleId="59">
    <w:name w:val="List Paragraph"/>
    <w:basedOn w:val="1"/>
    <w:qFormat/>
    <w:uiPriority w:val="99"/>
    <w:pPr>
      <w:ind w:firstLine="420" w:firstLineChars="200"/>
    </w:pPr>
    <w:rPr>
      <w:rFonts w:ascii="Calibri" w:hAnsi="Calibri"/>
    </w:rPr>
  </w:style>
  <w:style w:type="paragraph" w:customStyle="1" w:styleId="60">
    <w:name w:val="表格 32"/>
    <w:basedOn w:val="1"/>
    <w:qFormat/>
    <w:uiPriority w:val="0"/>
    <w:pPr>
      <w:autoSpaceDE w:val="0"/>
      <w:autoSpaceDN w:val="0"/>
      <w:adjustRightInd w:val="0"/>
      <w:jc w:val="center"/>
      <w:textAlignment w:val="baseline"/>
    </w:pPr>
    <w:rPr>
      <w:rFonts w:ascii="宋体" w:hAnsi="Impact"/>
      <w:kern w:val="24"/>
      <w:sz w:val="24"/>
      <w:szCs w:val="20"/>
    </w:rPr>
  </w:style>
  <w:style w:type="table" w:customStyle="1" w:styleId="61">
    <w:name w:val="网格型1"/>
    <w:basedOn w:val="18"/>
    <w:qFormat/>
    <w:uiPriority w:val="59"/>
    <w:pPr>
      <w:jc w:val="left"/>
    </w:pPr>
    <w:rPr>
      <w:rFonts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2">
    <w:name w:val="正文文本缩进 2 Char"/>
    <w:basedOn w:val="20"/>
    <w:link w:val="10"/>
    <w:semiHidden/>
    <w:qFormat/>
    <w:uiPriority w:val="99"/>
    <w:rPr>
      <w:rFonts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CFCF6-7035-42F7-B821-4677E5EE27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21580</Words>
  <Characters>24685</Characters>
  <Lines>201</Lines>
  <Paragraphs>56</Paragraphs>
  <TotalTime>31</TotalTime>
  <ScaleCrop>false</ScaleCrop>
  <LinksUpToDate>false</LinksUpToDate>
  <CharactersWithSpaces>24945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2023-08-15T06:04:00Z</dcterms:created>
  <dc:creator>john</dc:creator>
  <cp:lastModifiedBy>Administrator</cp:lastModifiedBy>
  <cp:lastPrinted>2023-04-07T01:23:00Z</cp:lastPrinted>
  <dcterms:modified xsi:type="dcterms:W3CDTF">2023-08-23T08:16:44Z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769D3EB9C1BE4817A9EB1098B9C6305E_13</vt:lpwstr>
  </property>
</Properties>
</file>