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pacing w:line="560" w:lineRule="exact"/>
        <w:jc w:val="center"/>
        <w:rPr>
          <w:rFonts w:eastAsia="黑体"/>
          <w:sz w:val="44"/>
          <w:szCs w:val="44"/>
        </w:rPr>
      </w:pPr>
    </w:p>
    <w:p>
      <w:pPr>
        <w:keepNext w:val="0"/>
        <w:keepLines w:val="0"/>
        <w:pageBreakBefore w:val="0"/>
        <w:widowControl w:val="0"/>
        <w:kinsoku/>
        <w:wordWrap/>
        <w:topLinePunct w:val="0"/>
        <w:autoSpaceDE/>
        <w:autoSpaceDN/>
        <w:bidi w:val="0"/>
        <w:adjustRightInd/>
        <w:snapToGrid w:val="0"/>
        <w:spacing w:line="560" w:lineRule="exact"/>
        <w:jc w:val="center"/>
        <w:textAlignment w:val="baseline"/>
        <w:rPr>
          <w:rFonts w:hint="eastAsia" w:eastAsia="方正小标宋简体"/>
          <w:b/>
          <w:bCs/>
          <w:spacing w:val="-11"/>
          <w:sz w:val="44"/>
          <w:szCs w:val="44"/>
          <w:lang w:val="en-US" w:eastAsia="zh-CN"/>
        </w:rPr>
      </w:pPr>
      <w:r>
        <w:rPr>
          <w:rFonts w:hint="eastAsia" w:eastAsia="方正小标宋简体"/>
          <w:b/>
          <w:bCs/>
          <w:spacing w:val="-11"/>
          <w:sz w:val="44"/>
          <w:szCs w:val="44"/>
          <w:lang w:val="en-US" w:eastAsia="zh-CN"/>
        </w:rPr>
        <w:t>2023年常德市生态环境局经开区分局新增专项</w:t>
      </w:r>
    </w:p>
    <w:p>
      <w:pPr>
        <w:keepNext w:val="0"/>
        <w:keepLines w:val="0"/>
        <w:pageBreakBefore w:val="0"/>
        <w:widowControl w:val="0"/>
        <w:kinsoku/>
        <w:wordWrap/>
        <w:topLinePunct w:val="0"/>
        <w:autoSpaceDE/>
        <w:autoSpaceDN/>
        <w:bidi w:val="0"/>
        <w:adjustRightInd/>
        <w:spacing w:line="560" w:lineRule="exact"/>
        <w:jc w:val="center"/>
        <w:rPr>
          <w:rFonts w:hint="eastAsia" w:eastAsia="方正小标宋简体"/>
          <w:b/>
          <w:bCs/>
          <w:sz w:val="44"/>
          <w:szCs w:val="44"/>
          <w:lang w:eastAsia="zh-CN"/>
        </w:rPr>
      </w:pPr>
    </w:p>
    <w:p>
      <w:pPr>
        <w:keepNext w:val="0"/>
        <w:keepLines w:val="0"/>
        <w:pageBreakBefore w:val="0"/>
        <w:widowControl w:val="0"/>
        <w:kinsoku/>
        <w:wordWrap/>
        <w:topLinePunct w:val="0"/>
        <w:autoSpaceDE/>
        <w:autoSpaceDN/>
        <w:bidi w:val="0"/>
        <w:adjustRightInd/>
        <w:spacing w:line="560" w:lineRule="exact"/>
        <w:jc w:val="center"/>
        <w:rPr>
          <w:rFonts w:eastAsia="黑体"/>
          <w:sz w:val="44"/>
          <w:szCs w:val="44"/>
        </w:rPr>
      </w:pPr>
      <w:r>
        <w:rPr>
          <w:rFonts w:hint="eastAsia" w:eastAsia="方正小标宋简体"/>
          <w:b/>
          <w:bCs/>
          <w:sz w:val="44"/>
          <w:szCs w:val="44"/>
          <w:lang w:eastAsia="zh-CN"/>
        </w:rPr>
        <w:t>事前绩效</w:t>
      </w:r>
      <w:r>
        <w:rPr>
          <w:rFonts w:eastAsia="方正小标宋简体"/>
          <w:b/>
          <w:bCs/>
          <w:sz w:val="44"/>
          <w:szCs w:val="44"/>
        </w:rPr>
        <w:t>评估报告</w:t>
      </w:r>
    </w:p>
    <w:p>
      <w:pPr>
        <w:keepNext w:val="0"/>
        <w:keepLines w:val="0"/>
        <w:pageBreakBefore w:val="0"/>
        <w:widowControl w:val="0"/>
        <w:kinsoku/>
        <w:wordWrap/>
        <w:topLinePunct w:val="0"/>
        <w:autoSpaceDE/>
        <w:autoSpaceDN/>
        <w:bidi w:val="0"/>
        <w:adjustRightInd/>
        <w:spacing w:line="560" w:lineRule="exact"/>
        <w:jc w:val="center"/>
        <w:rPr>
          <w:rFonts w:eastAsia="仿宋"/>
          <w:szCs w:val="30"/>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kinsoku/>
        <w:wordWrap/>
        <w:topLinePunct w:val="0"/>
        <w:autoSpaceDE/>
        <w:autoSpaceDN/>
        <w:bidi w:val="0"/>
        <w:adjustRightInd/>
        <w:spacing w:line="560" w:lineRule="exact"/>
        <w:rPr>
          <w:sz w:val="32"/>
          <w:szCs w:val="32"/>
        </w:rPr>
      </w:pPr>
    </w:p>
    <w:p>
      <w:pPr>
        <w:keepNext w:val="0"/>
        <w:keepLines w:val="0"/>
        <w:pageBreakBefore w:val="0"/>
        <w:widowControl w:val="0"/>
        <w:tabs>
          <w:tab w:val="left" w:pos="632"/>
        </w:tabs>
        <w:kinsoku/>
        <w:wordWrap/>
        <w:topLinePunct w:val="0"/>
        <w:autoSpaceDE/>
        <w:autoSpaceDN/>
        <w:bidi w:val="0"/>
        <w:adjustRightInd/>
        <w:spacing w:line="560" w:lineRule="exact"/>
        <w:rPr>
          <w:sz w:val="32"/>
          <w:szCs w:val="32"/>
        </w:rPr>
      </w:pPr>
    </w:p>
    <w:p>
      <w:pPr>
        <w:keepNext w:val="0"/>
        <w:keepLines w:val="0"/>
        <w:pageBreakBefore w:val="0"/>
        <w:widowControl w:val="0"/>
        <w:tabs>
          <w:tab w:val="left" w:pos="632"/>
          <w:tab w:val="left" w:leader="underscore" w:pos="6320"/>
        </w:tabs>
        <w:kinsoku/>
        <w:wordWrap/>
        <w:topLinePunct w:val="0"/>
        <w:autoSpaceDE/>
        <w:autoSpaceDN/>
        <w:bidi w:val="0"/>
        <w:adjustRightInd/>
        <w:spacing w:line="560" w:lineRule="exact"/>
        <w:rPr>
          <w:rFonts w:hint="default" w:eastAsia="方正小标宋简体"/>
          <w:szCs w:val="30"/>
          <w:u w:val="single"/>
          <w:lang w:val="en-US" w:eastAsia="zh-CN"/>
        </w:rPr>
      </w:pPr>
      <w:r>
        <w:rPr>
          <w:rFonts w:eastAsia="方正小标宋简体"/>
          <w:szCs w:val="30"/>
        </w:rPr>
        <w:t>项目名称：</w:t>
      </w:r>
      <w:r>
        <w:rPr>
          <w:rFonts w:hint="eastAsia" w:eastAsia="方正小标宋简体"/>
          <w:szCs w:val="30"/>
          <w:u w:val="single"/>
          <w:lang w:val="en-US" w:eastAsia="zh-CN"/>
        </w:rPr>
        <w:t>2023年常德市生态环境局经开区分局新增专项</w:t>
      </w:r>
    </w:p>
    <w:p>
      <w:pPr>
        <w:keepNext w:val="0"/>
        <w:keepLines w:val="0"/>
        <w:pageBreakBefore w:val="0"/>
        <w:widowControl w:val="0"/>
        <w:tabs>
          <w:tab w:val="left" w:pos="632"/>
          <w:tab w:val="left" w:leader="underscore" w:pos="6320"/>
        </w:tabs>
        <w:kinsoku/>
        <w:wordWrap/>
        <w:topLinePunct w:val="0"/>
        <w:autoSpaceDE/>
        <w:autoSpaceDN/>
        <w:bidi w:val="0"/>
        <w:adjustRightInd/>
        <w:spacing w:line="560" w:lineRule="exact"/>
        <w:rPr>
          <w:rFonts w:eastAsia="方正小标宋简体"/>
          <w:szCs w:val="30"/>
          <w:u w:val="single"/>
        </w:rPr>
      </w:pPr>
      <w:r>
        <w:rPr>
          <w:rFonts w:eastAsia="方正小标宋简体"/>
          <w:szCs w:val="30"/>
        </w:rPr>
        <w:t>实施单位：</w:t>
      </w:r>
      <w:r>
        <w:rPr>
          <w:rFonts w:hint="eastAsia" w:eastAsia="方正小标宋简体"/>
          <w:szCs w:val="30"/>
          <w:u w:val="single"/>
          <w:lang w:eastAsia="zh-CN"/>
        </w:rPr>
        <w:t>常德</w:t>
      </w:r>
      <w:r>
        <w:rPr>
          <w:rFonts w:hint="eastAsia" w:eastAsia="方正小标宋简体"/>
          <w:szCs w:val="30"/>
          <w:u w:val="single"/>
          <w:lang w:val="en-US" w:eastAsia="zh-CN"/>
        </w:rPr>
        <w:t xml:space="preserve">市生态环境局经开区分局           </w:t>
      </w:r>
      <w:r>
        <w:rPr>
          <w:rFonts w:eastAsia="方正小标宋简体"/>
          <w:szCs w:val="30"/>
          <w:u w:val="single"/>
        </w:rPr>
        <w:t xml:space="preserve">   </w:t>
      </w:r>
    </w:p>
    <w:p>
      <w:pPr>
        <w:keepNext w:val="0"/>
        <w:keepLines w:val="0"/>
        <w:pageBreakBefore w:val="0"/>
        <w:widowControl w:val="0"/>
        <w:tabs>
          <w:tab w:val="left" w:pos="632"/>
        </w:tabs>
        <w:kinsoku/>
        <w:wordWrap/>
        <w:topLinePunct w:val="0"/>
        <w:autoSpaceDE/>
        <w:autoSpaceDN/>
        <w:bidi w:val="0"/>
        <w:adjustRightInd/>
        <w:spacing w:line="560" w:lineRule="exact"/>
        <w:rPr>
          <w:rFonts w:eastAsia="方正小标宋简体"/>
          <w:szCs w:val="30"/>
          <w:u w:val="single"/>
        </w:rPr>
      </w:pPr>
      <w:r>
        <w:rPr>
          <w:rFonts w:eastAsia="方正小标宋简体"/>
          <w:szCs w:val="30"/>
        </w:rPr>
        <w:t>主管部门：</w:t>
      </w:r>
      <w:r>
        <w:rPr>
          <w:rFonts w:hint="eastAsia" w:eastAsia="方正小标宋简体"/>
          <w:szCs w:val="30"/>
          <w:u w:val="single"/>
          <w:lang w:eastAsia="zh-CN"/>
        </w:rPr>
        <w:t>常德</w:t>
      </w:r>
      <w:r>
        <w:rPr>
          <w:rFonts w:hint="eastAsia" w:eastAsia="方正小标宋简体"/>
          <w:szCs w:val="30"/>
          <w:u w:val="single"/>
          <w:lang w:val="en-US" w:eastAsia="zh-CN"/>
        </w:rPr>
        <w:t xml:space="preserve">经济技术开发区管委会            </w:t>
      </w:r>
      <w:r>
        <w:rPr>
          <w:rFonts w:eastAsia="方正小标宋简体"/>
          <w:szCs w:val="30"/>
          <w:u w:val="single"/>
        </w:rPr>
        <w:t xml:space="preserve">    </w:t>
      </w:r>
    </w:p>
    <w:p>
      <w:pPr>
        <w:keepNext w:val="0"/>
        <w:keepLines w:val="0"/>
        <w:pageBreakBefore w:val="0"/>
        <w:widowControl w:val="0"/>
        <w:tabs>
          <w:tab w:val="left" w:pos="632"/>
        </w:tabs>
        <w:kinsoku/>
        <w:wordWrap/>
        <w:topLinePunct w:val="0"/>
        <w:autoSpaceDE/>
        <w:autoSpaceDN/>
        <w:bidi w:val="0"/>
        <w:adjustRightInd/>
        <w:spacing w:line="560" w:lineRule="exact"/>
        <w:rPr>
          <w:rFonts w:hint="eastAsia" w:eastAsia="方正小标宋简体"/>
          <w:szCs w:val="30"/>
          <w:u w:val="single"/>
          <w:lang w:val="en-US" w:eastAsia="zh-CN"/>
        </w:rPr>
      </w:pPr>
      <w:r>
        <w:rPr>
          <w:rFonts w:eastAsia="方正小标宋简体"/>
          <w:szCs w:val="30"/>
        </w:rPr>
        <w:t>评估机构：</w:t>
      </w:r>
      <w:r>
        <w:rPr>
          <w:rFonts w:eastAsia="方正小标宋简体"/>
          <w:szCs w:val="30"/>
          <w:u w:val="single"/>
        </w:rPr>
        <w:t>湖南九澧咨询服务有限公司</w:t>
      </w:r>
      <w:r>
        <w:rPr>
          <w:rFonts w:hint="eastAsia" w:eastAsia="方正小标宋简体"/>
          <w:szCs w:val="30"/>
          <w:u w:val="single"/>
          <w:lang w:val="en-US" w:eastAsia="zh-CN"/>
        </w:rPr>
        <w:t>常德分公司</w:t>
      </w:r>
      <w:r>
        <w:rPr>
          <w:rFonts w:eastAsia="方正小标宋简体"/>
          <w:szCs w:val="30"/>
          <w:u w:val="single"/>
        </w:rPr>
        <w:t xml:space="preserve">     </w:t>
      </w:r>
      <w:r>
        <w:rPr>
          <w:rFonts w:hint="eastAsia" w:eastAsia="方正小标宋简体"/>
          <w:szCs w:val="30"/>
          <w:u w:val="single"/>
          <w:lang w:val="en-US" w:eastAsia="zh-CN"/>
        </w:rPr>
        <w:t xml:space="preserve"> </w:t>
      </w:r>
    </w:p>
    <w:p>
      <w:pPr>
        <w:keepNext w:val="0"/>
        <w:keepLines w:val="0"/>
        <w:pageBreakBefore w:val="0"/>
        <w:widowControl w:val="0"/>
        <w:tabs>
          <w:tab w:val="left" w:pos="632"/>
        </w:tabs>
        <w:kinsoku/>
        <w:wordWrap/>
        <w:topLinePunct w:val="0"/>
        <w:autoSpaceDE/>
        <w:autoSpaceDN/>
        <w:bidi w:val="0"/>
        <w:adjustRightInd/>
        <w:spacing w:line="560" w:lineRule="exact"/>
        <w:rPr>
          <w:rFonts w:eastAsia="方正小标宋简体"/>
          <w:sz w:val="44"/>
          <w:szCs w:val="44"/>
        </w:rPr>
        <w:sectPr>
          <w:footerReference r:id="rId3" w:type="default"/>
          <w:pgSz w:w="11906" w:h="16838"/>
          <w:pgMar w:top="2098" w:right="1474" w:bottom="1984" w:left="1587" w:header="851" w:footer="1587" w:gutter="0"/>
          <w:pgNumType w:fmt="numberInDash" w:start="1"/>
          <w:cols w:space="0" w:num="1"/>
          <w:docGrid w:type="linesAndChars" w:linePitch="579" w:charSpace="3247"/>
        </w:sectPr>
      </w:pPr>
      <w:r>
        <w:rPr>
          <w:rFonts w:eastAsia="方正小标宋简体"/>
          <w:szCs w:val="30"/>
        </w:rPr>
        <w:t>评估时间：</w:t>
      </w:r>
      <w:r>
        <w:rPr>
          <w:rFonts w:eastAsia="方正小标宋简体"/>
          <w:szCs w:val="30"/>
          <w:u w:val="single"/>
        </w:rPr>
        <w:t>202</w:t>
      </w:r>
      <w:r>
        <w:rPr>
          <w:rFonts w:hint="eastAsia" w:eastAsia="方正小标宋简体"/>
          <w:szCs w:val="30"/>
          <w:u w:val="single"/>
          <w:lang w:val="en-US" w:eastAsia="zh-CN"/>
        </w:rPr>
        <w:t>3</w:t>
      </w:r>
      <w:r>
        <w:rPr>
          <w:rFonts w:eastAsia="方正小标宋简体"/>
          <w:szCs w:val="30"/>
          <w:u w:val="single"/>
        </w:rPr>
        <w:t>年1</w:t>
      </w:r>
      <w:r>
        <w:rPr>
          <w:rFonts w:hint="eastAsia" w:eastAsia="方正小标宋简体"/>
          <w:szCs w:val="30"/>
          <w:u w:val="single"/>
          <w:lang w:val="en-US" w:eastAsia="zh-CN"/>
        </w:rPr>
        <w:t>0</w:t>
      </w:r>
      <w:r>
        <w:rPr>
          <w:rFonts w:eastAsia="方正小标宋简体"/>
          <w:szCs w:val="30"/>
          <w:u w:val="single"/>
        </w:rPr>
        <w:t>月</w:t>
      </w:r>
      <w:r>
        <w:rPr>
          <w:rFonts w:hint="eastAsia" w:eastAsia="方正小标宋简体"/>
          <w:szCs w:val="30"/>
          <w:u w:val="single"/>
          <w:lang w:val="en-US" w:eastAsia="zh-CN"/>
        </w:rPr>
        <w:t>10</w:t>
      </w:r>
      <w:r>
        <w:rPr>
          <w:rFonts w:eastAsia="方正小标宋简体"/>
          <w:szCs w:val="30"/>
          <w:u w:val="single"/>
        </w:rPr>
        <w:t xml:space="preserve">日                </w:t>
      </w:r>
      <w:r>
        <w:rPr>
          <w:rFonts w:hint="eastAsia" w:eastAsia="方正小标宋简体"/>
          <w:szCs w:val="30"/>
          <w:u w:val="single"/>
          <w:lang w:val="en-US" w:eastAsia="zh-CN"/>
        </w:rPr>
        <w:t xml:space="preserve"> </w:t>
      </w:r>
      <w:r>
        <w:rPr>
          <w:rFonts w:eastAsia="方正小标宋简体"/>
          <w:szCs w:val="30"/>
          <w:u w:val="single"/>
        </w:rPr>
        <w:t xml:space="preserve">   </w:t>
      </w:r>
      <w:r>
        <w:rPr>
          <w:rFonts w:hint="eastAsia" w:eastAsia="方正小标宋简体"/>
          <w:szCs w:val="30"/>
          <w:u w:val="single"/>
          <w:lang w:val="en-US" w:eastAsia="zh-CN"/>
        </w:rPr>
        <w:t xml:space="preserve"> </w:t>
      </w:r>
      <w:r>
        <w:rPr>
          <w:rFonts w:eastAsia="方正小标宋简体"/>
          <w:szCs w:val="30"/>
          <w:u w:val="single"/>
        </w:rPr>
        <w:t xml:space="preserve">   </w:t>
      </w:r>
      <w:bookmarkStart w:id="0" w:name="_Hlk92372814"/>
    </w:p>
    <w:bookmarkEnd w:id="0"/>
    <w:p>
      <w:pPr>
        <w:keepNext w:val="0"/>
        <w:keepLines w:val="0"/>
        <w:pageBreakBefore w:val="0"/>
        <w:widowControl w:val="0"/>
        <w:kinsoku/>
        <w:wordWrap/>
        <w:topLinePunct w:val="0"/>
        <w:autoSpaceDE/>
        <w:autoSpaceDN/>
        <w:bidi w:val="0"/>
        <w:adjustRightInd/>
        <w:snapToGrid w:val="0"/>
        <w:spacing w:line="560" w:lineRule="exact"/>
        <w:jc w:val="center"/>
        <w:textAlignment w:val="baseline"/>
        <w:rPr>
          <w:rFonts w:hint="eastAsia" w:eastAsia="方正小标宋简体"/>
          <w:sz w:val="44"/>
          <w:szCs w:val="44"/>
          <w:lang w:val="en-US" w:eastAsia="zh-CN"/>
        </w:rPr>
        <w:sectPr>
          <w:footerReference r:id="rId4" w:type="default"/>
          <w:pgSz w:w="11906" w:h="16838"/>
          <w:pgMar w:top="2098" w:right="1474" w:bottom="1984" w:left="1587" w:header="851" w:footer="1587" w:gutter="0"/>
          <w:pgNumType w:fmt="numberInDash" w:start="1"/>
          <w:cols w:space="0" w:num="1"/>
          <w:docGrid w:type="linesAndChars" w:linePitch="579" w:charSpace="3247"/>
        </w:sectPr>
      </w:pPr>
    </w:p>
    <w:p>
      <w:pPr>
        <w:pStyle w:val="27"/>
        <w:spacing w:line="800" w:lineRule="exact"/>
        <w:ind w:firstLine="0"/>
        <w:jc w:val="distribute"/>
        <w:outlineLvl w:val="0"/>
        <w:rPr>
          <w:rFonts w:eastAsia="微软雅黑"/>
          <w:bCs/>
          <w:color w:val="auto"/>
          <w:sz w:val="30"/>
          <w:szCs w:val="30"/>
        </w:rPr>
      </w:pPr>
      <w:r>
        <w:rPr>
          <w:rFonts w:eastAsia="微软雅黑"/>
          <w:bCs/>
          <w:color w:val="auto"/>
          <w:sz w:val="52"/>
          <w:szCs w:val="52"/>
        </w:rPr>
        <w:t>湖南九澧咨询服务有限公司</w:t>
      </w:r>
      <w:r>
        <w:rPr>
          <w:rFonts w:hint="eastAsia" w:eastAsia="微软雅黑"/>
          <w:bCs/>
          <w:color w:val="auto"/>
          <w:sz w:val="52"/>
          <w:szCs w:val="52"/>
        </w:rPr>
        <w:t>常德分公司</w:t>
      </w:r>
    </w:p>
    <w:p>
      <w:pPr>
        <w:widowControl w:val="0"/>
        <w:spacing w:after="0" w:line="560" w:lineRule="exact"/>
        <w:jc w:val="both"/>
        <w:textAlignment w:val="baseline"/>
        <w:rPr>
          <w:rFonts w:ascii="Times New Roman" w:hAnsi="Times New Roman"/>
          <w:sz w:val="44"/>
          <w:szCs w:val="44"/>
        </w:rPr>
      </w:pPr>
      <w:r>
        <w:rPr>
          <w:rFonts w:ascii="Times New Roman" w:hAnsi="Times New Roman"/>
          <w:b/>
          <w:sz w:val="30"/>
          <w:szCs w:val="30"/>
          <w:u w:val="thick"/>
        </w:rPr>
        <w:t xml:space="preserve"> </w:t>
      </w:r>
      <w:r>
        <w:rPr>
          <w:rFonts w:ascii="Times New Roman" w:hAnsi="Times New Roman"/>
          <w:bCs/>
          <w:sz w:val="30"/>
          <w:szCs w:val="30"/>
          <w:u w:val="thick"/>
        </w:rPr>
        <w:t xml:space="preserve">                          </w:t>
      </w:r>
      <w:r>
        <w:rPr>
          <w:rFonts w:ascii="Times New Roman" w:hAnsi="Times New Roman"/>
          <w:bCs/>
          <w:sz w:val="28"/>
          <w:szCs w:val="28"/>
          <w:u w:val="thick"/>
        </w:rPr>
        <w:t xml:space="preserve">         九澧绩字[2023]第</w:t>
      </w:r>
      <w:r>
        <w:rPr>
          <w:rFonts w:hint="eastAsia" w:ascii="Times New Roman" w:hAnsi="Times New Roman"/>
          <w:bCs/>
          <w:sz w:val="28"/>
          <w:szCs w:val="28"/>
          <w:u w:val="thick"/>
          <w:lang w:val="en-US" w:eastAsia="zh-CN"/>
        </w:rPr>
        <w:t>JK-003</w:t>
      </w:r>
      <w:r>
        <w:rPr>
          <w:rFonts w:ascii="Times New Roman" w:hAnsi="Times New Roman"/>
          <w:bCs/>
          <w:sz w:val="28"/>
          <w:szCs w:val="28"/>
          <w:u w:val="thick"/>
        </w:rPr>
        <w:t xml:space="preserve">号          </w:t>
      </w:r>
    </w:p>
    <w:p>
      <w:pPr>
        <w:widowControl w:val="0"/>
        <w:spacing w:after="0" w:line="560" w:lineRule="exact"/>
        <w:jc w:val="center"/>
        <w:textAlignment w:val="baseline"/>
        <w:rPr>
          <w:rFonts w:ascii="Times New Roman" w:hAnsi="Times New Roman" w:eastAsia="方正小标宋简体"/>
          <w:sz w:val="44"/>
          <w:szCs w:val="44"/>
        </w:rPr>
      </w:pPr>
    </w:p>
    <w:p>
      <w:pPr>
        <w:keepNext w:val="0"/>
        <w:keepLines w:val="0"/>
        <w:pageBreakBefore w:val="0"/>
        <w:widowControl w:val="0"/>
        <w:kinsoku/>
        <w:wordWrap/>
        <w:topLinePunct w:val="0"/>
        <w:autoSpaceDE/>
        <w:autoSpaceDN/>
        <w:bidi w:val="0"/>
        <w:adjustRightInd/>
        <w:snapToGrid w:val="0"/>
        <w:spacing w:line="560" w:lineRule="exact"/>
        <w:jc w:val="center"/>
        <w:textAlignment w:val="baseline"/>
        <w:rPr>
          <w:rFonts w:hint="eastAsia" w:eastAsia="方正小标宋简体"/>
          <w:sz w:val="44"/>
          <w:szCs w:val="44"/>
          <w:lang w:val="en-US" w:eastAsia="zh-CN"/>
        </w:rPr>
      </w:pPr>
      <w:r>
        <w:rPr>
          <w:rFonts w:hint="eastAsia" w:eastAsia="方正小标宋简体"/>
          <w:sz w:val="44"/>
          <w:szCs w:val="44"/>
          <w:lang w:val="en-US" w:eastAsia="zh-CN"/>
        </w:rPr>
        <w:t>2023年常德生态环境局经开区分局新增专项</w:t>
      </w:r>
    </w:p>
    <w:p>
      <w:pPr>
        <w:keepNext w:val="0"/>
        <w:keepLines w:val="0"/>
        <w:pageBreakBefore w:val="0"/>
        <w:widowControl w:val="0"/>
        <w:kinsoku/>
        <w:wordWrap/>
        <w:topLinePunct w:val="0"/>
        <w:autoSpaceDE/>
        <w:autoSpaceDN/>
        <w:bidi w:val="0"/>
        <w:adjustRightInd/>
        <w:snapToGrid w:val="0"/>
        <w:spacing w:line="560" w:lineRule="exact"/>
        <w:jc w:val="center"/>
        <w:textAlignment w:val="baseline"/>
        <w:rPr>
          <w:rFonts w:eastAsia="方正小标宋简体"/>
          <w:sz w:val="44"/>
          <w:szCs w:val="44"/>
        </w:rPr>
      </w:pPr>
      <w:r>
        <w:rPr>
          <w:rFonts w:hint="eastAsia" w:eastAsia="方正小标宋简体"/>
          <w:sz w:val="44"/>
          <w:szCs w:val="44"/>
          <w:lang w:eastAsia="zh-CN"/>
        </w:rPr>
        <w:t>事前绩效</w:t>
      </w:r>
      <w:r>
        <w:rPr>
          <w:rFonts w:eastAsia="方正小标宋简体"/>
          <w:sz w:val="44"/>
          <w:szCs w:val="44"/>
        </w:rPr>
        <w:t>评估报告</w:t>
      </w:r>
    </w:p>
    <w:p>
      <w:pPr>
        <w:keepNext w:val="0"/>
        <w:keepLines w:val="0"/>
        <w:pageBreakBefore w:val="0"/>
        <w:widowControl w:val="0"/>
        <w:kinsoku/>
        <w:wordWrap/>
        <w:topLinePunct w:val="0"/>
        <w:autoSpaceDE/>
        <w:autoSpaceDN/>
        <w:bidi w:val="0"/>
        <w:adjustRightInd/>
        <w:spacing w:line="560" w:lineRule="exact"/>
        <w:ind w:firstLine="640" w:firstLineChars="200"/>
        <w:textAlignment w:val="baseline"/>
        <w:rPr>
          <w:rFonts w:hint="eastAsia" w:eastAsia="仿宋"/>
          <w:color w:val="000000"/>
          <w:sz w:val="32"/>
          <w:szCs w:val="32"/>
          <w:lang w:val="en-US" w:eastAsia="zh-CN"/>
        </w:rPr>
      </w:pP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加快推进预算绩效管理改革，提高财政资金使用效益，根据《湖南省省级预算事前绩效评估管理暂行办法》（湘绩〔2021〕8号）、《常德经济技术开发区财政局关于明确2023年度区本级预算绩效目标管理任务的通知》（常经开财发〔2023〕2号）文件精神，受常德经济技术开发区财政局（以下简称经开区财政局）委托，湖南九澧咨询服务有限公司常德分公司对2023年常德市生态环境局经开区分局新增专项开展了事前绩效评估，现将评估情况报告如下：</w:t>
      </w:r>
    </w:p>
    <w:p>
      <w:pPr>
        <w:keepNext w:val="0"/>
        <w:keepLines w:val="0"/>
        <w:pageBreakBefore w:val="0"/>
        <w:widowControl w:val="0"/>
        <w:kinsoku/>
        <w:wordWrap/>
        <w:topLinePunct w:val="0"/>
        <w:autoSpaceDE/>
        <w:autoSpaceDN/>
        <w:bidi w:val="0"/>
        <w:adjustRightInd/>
        <w:spacing w:line="560" w:lineRule="exact"/>
        <w:ind w:firstLine="640" w:firstLineChars="200"/>
        <w:textAlignment w:val="baseline"/>
        <w:outlineLvl w:val="0"/>
        <w:rPr>
          <w:sz w:val="32"/>
          <w:szCs w:val="32"/>
        </w:rPr>
      </w:pPr>
      <w:r>
        <w:rPr>
          <w:rFonts w:eastAsia="黑体"/>
          <w:sz w:val="32"/>
          <w:szCs w:val="32"/>
        </w:rPr>
        <w:t>一、评估对象</w:t>
      </w:r>
    </w:p>
    <w:p>
      <w:pPr>
        <w:keepNext w:val="0"/>
        <w:keepLines w:val="0"/>
        <w:pageBreakBefore w:val="0"/>
        <w:widowControl w:val="0"/>
        <w:kinsoku/>
        <w:wordWrap/>
        <w:topLinePunct w:val="0"/>
        <w:autoSpaceDE/>
        <w:autoSpaceDN/>
        <w:bidi w:val="0"/>
        <w:adjustRightInd/>
        <w:spacing w:line="560" w:lineRule="exact"/>
        <w:ind w:firstLine="640" w:firstLineChars="200"/>
        <w:textAlignment w:val="baseline"/>
        <w:outlineLvl w:val="1"/>
        <w:rPr>
          <w:sz w:val="32"/>
          <w:szCs w:val="32"/>
        </w:rPr>
      </w:pPr>
      <w:r>
        <w:rPr>
          <w:rFonts w:eastAsia="楷体_GB2312"/>
          <w:sz w:val="32"/>
          <w:szCs w:val="32"/>
        </w:rPr>
        <w:t>（一）</w:t>
      </w:r>
      <w:r>
        <w:rPr>
          <w:rFonts w:hint="eastAsia" w:eastAsia="楷体_GB2312"/>
          <w:sz w:val="32"/>
          <w:szCs w:val="32"/>
          <w:lang w:val="en-US" w:eastAsia="zh-CN"/>
        </w:rPr>
        <w:t>项目</w:t>
      </w:r>
      <w:r>
        <w:rPr>
          <w:rFonts w:eastAsia="楷体_GB2312"/>
          <w:sz w:val="32"/>
          <w:szCs w:val="32"/>
        </w:rPr>
        <w:t>名称</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sz w:val="32"/>
          <w:szCs w:val="32"/>
          <w:lang w:val="en-US" w:eastAsia="zh-CN"/>
        </w:rPr>
        <w:t>2023年常德市生态环境局经开区分局新增专项</w:t>
      </w:r>
      <w:r>
        <w:rPr>
          <w:rFonts w:hint="eastAsia"/>
          <w:bCs/>
          <w:sz w:val="32"/>
          <w:szCs w:val="32"/>
          <w:lang w:val="en-US" w:eastAsia="zh-CN"/>
        </w:rPr>
        <w:t>。</w:t>
      </w:r>
    </w:p>
    <w:p>
      <w:pPr>
        <w:keepNext w:val="0"/>
        <w:keepLines w:val="0"/>
        <w:pageBreakBefore w:val="0"/>
        <w:widowControl w:val="0"/>
        <w:kinsoku/>
        <w:wordWrap/>
        <w:topLinePunct w:val="0"/>
        <w:autoSpaceDE/>
        <w:autoSpaceDN/>
        <w:bidi w:val="0"/>
        <w:adjustRightInd/>
        <w:spacing w:line="560" w:lineRule="exact"/>
        <w:ind w:firstLine="640" w:firstLineChars="200"/>
        <w:textAlignment w:val="baseline"/>
        <w:outlineLvl w:val="1"/>
        <w:rPr>
          <w:rFonts w:eastAsia="楷体_GB2312"/>
          <w:sz w:val="32"/>
          <w:szCs w:val="32"/>
        </w:rPr>
      </w:pPr>
      <w:r>
        <w:rPr>
          <w:rFonts w:eastAsia="楷体_GB2312"/>
          <w:sz w:val="32"/>
          <w:szCs w:val="32"/>
        </w:rPr>
        <w:t>（二）</w:t>
      </w:r>
      <w:r>
        <w:rPr>
          <w:rFonts w:hint="eastAsia" w:eastAsia="楷体_GB2312"/>
          <w:sz w:val="32"/>
          <w:szCs w:val="32"/>
          <w:lang w:val="en-US" w:eastAsia="zh-CN"/>
        </w:rPr>
        <w:t>项目</w:t>
      </w:r>
      <w:r>
        <w:rPr>
          <w:rFonts w:eastAsia="楷体_GB2312"/>
          <w:sz w:val="32"/>
          <w:szCs w:val="32"/>
        </w:rPr>
        <w:t>绩效目标</w:t>
      </w:r>
    </w:p>
    <w:p>
      <w:pPr>
        <w:keepNext w:val="0"/>
        <w:keepLines w:val="0"/>
        <w:pageBreakBefore w:val="0"/>
        <w:widowControl w:val="0"/>
        <w:kinsoku/>
        <w:wordWrap/>
        <w:topLinePunct w:val="0"/>
        <w:autoSpaceDE/>
        <w:autoSpaceDN/>
        <w:bidi w:val="0"/>
        <w:adjustRightInd/>
        <w:spacing w:line="560" w:lineRule="exact"/>
        <w:ind w:firstLine="640" w:firstLineChars="200"/>
        <w:outlineLvl w:val="2"/>
        <w:rPr>
          <w:bCs/>
          <w:sz w:val="32"/>
          <w:szCs w:val="32"/>
        </w:rPr>
      </w:pPr>
      <w:r>
        <w:rPr>
          <w:bCs/>
          <w:sz w:val="32"/>
          <w:szCs w:val="32"/>
        </w:rPr>
        <w:t>1.项目总目标</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为全面落实“三高四新”战略定位和使命任务，围绕建设生态强市目标，改善生态环境质量，降低生态环境风险，增强生态环境治理能力。</w:t>
      </w:r>
    </w:p>
    <w:p>
      <w:pPr>
        <w:keepNext w:val="0"/>
        <w:keepLines w:val="0"/>
        <w:pageBreakBefore w:val="0"/>
        <w:widowControl w:val="0"/>
        <w:kinsoku/>
        <w:wordWrap/>
        <w:topLinePunct w:val="0"/>
        <w:autoSpaceDE/>
        <w:autoSpaceDN/>
        <w:bidi w:val="0"/>
        <w:adjustRightInd/>
        <w:spacing w:line="560" w:lineRule="exact"/>
        <w:ind w:firstLine="640" w:firstLineChars="200"/>
        <w:outlineLvl w:val="2"/>
        <w:rPr>
          <w:bCs/>
          <w:sz w:val="32"/>
          <w:szCs w:val="32"/>
        </w:rPr>
      </w:pPr>
      <w:r>
        <w:rPr>
          <w:bCs/>
          <w:sz w:val="32"/>
          <w:szCs w:val="32"/>
        </w:rPr>
        <w:t>2.具体绩效目标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Cs/>
          <w:sz w:val="32"/>
          <w:szCs w:val="32"/>
          <w:highlight w:val="none"/>
          <w:lang w:val="en-US" w:eastAsia="zh-CN"/>
        </w:rPr>
      </w:pPr>
      <w:r>
        <w:rPr>
          <w:rFonts w:hint="eastAsia"/>
          <w:bCs/>
          <w:sz w:val="32"/>
          <w:szCs w:val="32"/>
          <w:highlight w:val="none"/>
          <w:lang w:val="en-US" w:eastAsia="zh-CN"/>
        </w:rPr>
        <w:t>（1）数量指标</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①“一库两湖三水”水质监测。对金陵水库、盘塘湖、肖家湖、枉水、东风河、友谊河开展水质监测，共1个水库18个点位，每月一次；</w:t>
      </w:r>
    </w:p>
    <w:p>
      <w:pPr>
        <w:keepNext w:val="0"/>
        <w:keepLines w:val="0"/>
        <w:pageBreakBefore w:val="0"/>
        <w:widowControl w:val="0"/>
        <w:kinsoku/>
        <w:wordWrap/>
        <w:topLinePunct w:val="0"/>
        <w:autoSpaceDE/>
        <w:autoSpaceDN/>
        <w:bidi w:val="0"/>
        <w:adjustRightInd/>
        <w:spacing w:line="560" w:lineRule="exact"/>
        <w:ind w:firstLine="640" w:firstLineChars="200"/>
        <w:rPr>
          <w:rFonts w:hint="default" w:eastAsia="仿宋_GB2312"/>
          <w:bCs/>
          <w:sz w:val="32"/>
          <w:szCs w:val="32"/>
          <w:lang w:val="en-US" w:eastAsia="zh-CN"/>
        </w:rPr>
      </w:pPr>
      <w:r>
        <w:rPr>
          <w:rFonts w:hint="eastAsia"/>
          <w:bCs/>
          <w:sz w:val="32"/>
          <w:szCs w:val="32"/>
          <w:lang w:val="en-US" w:eastAsia="zh-CN"/>
        </w:rPr>
        <w:t>②“环保管家”服务项目。推进统一规划、监测、监管、运营的一体化园区环境第三方治理服务模式.向园区企业提供监测，环保设施建设运营、污染治理等一体化环保服务和解决方案；</w:t>
      </w:r>
      <w:r>
        <w:rPr>
          <w:rFonts w:hint="eastAsia"/>
        </w:rPr>
        <w:t>每半月上报一次巡查记录表</w:t>
      </w:r>
      <w:r>
        <w:rPr>
          <w:rFonts w:hint="eastAsia"/>
          <w:lang w:val="en-US" w:eastAsia="zh-CN"/>
        </w:rPr>
        <w:t>；配备一台巡查车和5名专职人员。</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③油烟清洗。对市二中国控空气站点34台油烟净化设备进行清洗和检测；每月清洗一次，每季度检测一次。</w:t>
      </w:r>
    </w:p>
    <w:p>
      <w:pPr>
        <w:keepNext w:val="0"/>
        <w:keepLines w:val="0"/>
        <w:pageBreakBefore w:val="0"/>
        <w:widowControl w:val="0"/>
        <w:kinsoku/>
        <w:wordWrap/>
        <w:topLinePunct w:val="0"/>
        <w:autoSpaceDE/>
        <w:autoSpaceDN/>
        <w:bidi w:val="0"/>
        <w:adjustRightInd/>
        <w:spacing w:line="560" w:lineRule="exact"/>
        <w:ind w:firstLine="640" w:firstLineChars="200"/>
        <w:rPr>
          <w:rFonts w:hint="default"/>
          <w:bCs/>
          <w:sz w:val="32"/>
          <w:szCs w:val="32"/>
          <w:lang w:val="en-US" w:eastAsia="zh-CN"/>
        </w:rPr>
      </w:pPr>
      <w:r>
        <w:rPr>
          <w:rFonts w:hint="eastAsia"/>
          <w:bCs/>
          <w:sz w:val="32"/>
          <w:szCs w:val="32"/>
          <w:lang w:val="en-US" w:eastAsia="zh-CN"/>
        </w:rPr>
        <w:t>④市二中国控站点精细化管控。对二中站点周边实施精细化管控，精准提供污染源解析和各项指标数据分析，提高预测预警预报能力；提供周报、月报、年报等数据分析。</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⑤污水处理厂污泥检测。对德山污水处理厂压滤间脱水污泥共1个采样点位进行重金属检测；一周一次。</w:t>
      </w:r>
    </w:p>
    <w:p>
      <w:pPr>
        <w:pStyle w:val="11"/>
        <w:rPr>
          <w:rFonts w:hint="default"/>
          <w:lang w:val="en-US" w:eastAsia="zh-CN"/>
        </w:rPr>
      </w:pPr>
      <w:r>
        <w:rPr>
          <w:rFonts w:hint="eastAsia"/>
          <w:bCs/>
          <w:sz w:val="32"/>
          <w:szCs w:val="32"/>
          <w:lang w:val="en-US" w:eastAsia="zh-CN"/>
        </w:rPr>
        <w:t xml:space="preserve">    </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⑥大气污染防治巡查。对二中国控站点周边工地扬尘、餐馆油烟、桔杆焚烧、企业排放标准等巡查。每天巡查，4人，2人一班，早8点至晚10点。</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⑦非道路移动机械尾气排放监督性抽测。对非道路移动机械尾气排放进行监督性抽测95台。</w:t>
      </w:r>
    </w:p>
    <w:p>
      <w:pPr>
        <w:keepNext w:val="0"/>
        <w:keepLines w:val="0"/>
        <w:pageBreakBefore w:val="0"/>
        <w:widowControl w:val="0"/>
        <w:kinsoku/>
        <w:wordWrap/>
        <w:topLinePunct w:val="0"/>
        <w:autoSpaceDE/>
        <w:autoSpaceDN/>
        <w:bidi w:val="0"/>
        <w:adjustRightInd/>
        <w:spacing w:line="560" w:lineRule="exact"/>
        <w:ind w:firstLine="640" w:firstLineChars="200"/>
        <w:rPr>
          <w:rFonts w:hint="default"/>
          <w:bCs/>
          <w:sz w:val="32"/>
          <w:szCs w:val="32"/>
          <w:lang w:val="en-US" w:eastAsia="zh-CN"/>
        </w:rPr>
      </w:pPr>
      <w:r>
        <w:rPr>
          <w:rFonts w:hint="eastAsia"/>
          <w:bCs/>
          <w:sz w:val="32"/>
          <w:szCs w:val="32"/>
          <w:lang w:val="en-US" w:eastAsia="zh-CN"/>
        </w:rPr>
        <w:t>⑧二中站点周边洒水降尘。以市二中国控点为中心周边3公里范围内空中降尘、地面抑尘工作；每天2次以上。</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⑨污染源监督监测。对43家排污企业污染源排污口排放的废水和废气进行监测，并出具CMA资质的检测报告。废水检测每季度一次，废气检测每半年一次。</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⑩机动车尾气检测。对道路上行驶的机动车尾气进行监测，每月监测100台（特护期200台/月）。</w:t>
      </w:r>
    </w:p>
    <w:p>
      <w:pPr>
        <w:keepNext w:val="0"/>
        <w:keepLines w:val="0"/>
        <w:pageBreakBefore w:val="0"/>
        <w:widowControl w:val="0"/>
        <w:kinsoku/>
        <w:wordWrap/>
        <w:topLinePunct w:val="0"/>
        <w:autoSpaceDE/>
        <w:autoSpaceDN/>
        <w:bidi w:val="0"/>
        <w:adjustRightInd/>
        <w:spacing w:line="560" w:lineRule="exact"/>
        <w:ind w:firstLine="640" w:firstLineChars="200"/>
        <w:rPr>
          <w:rFonts w:hint="default"/>
          <w:bCs/>
          <w:sz w:val="32"/>
          <w:szCs w:val="32"/>
          <w:lang w:val="en-US" w:eastAsia="zh-CN"/>
        </w:rPr>
      </w:pPr>
      <w:r>
        <w:rPr>
          <w:rFonts w:hint="eastAsia"/>
          <w:bCs/>
          <w:sz w:val="32"/>
          <w:szCs w:val="32"/>
          <w:lang w:val="en-US" w:eastAsia="zh-CN"/>
        </w:rPr>
        <w:t>（2）质量指标。检测、巡查问题交办率100%；洒水降尘到位率100%；油烟清洗达标率100%；“环保管家”服务到位率100%。</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（3）时效指标。各项工作完成及时率100%。</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（4）成本指标。各项支出合理合规，控制在预算内。</w:t>
      </w:r>
    </w:p>
    <w:p>
      <w:pPr>
        <w:keepNext w:val="0"/>
        <w:keepLines w:val="0"/>
        <w:pageBreakBefore w:val="0"/>
        <w:widowControl w:val="0"/>
        <w:kinsoku/>
        <w:wordWrap/>
        <w:topLinePunct w:val="0"/>
        <w:autoSpaceDE/>
        <w:autoSpaceDN/>
        <w:bidi w:val="0"/>
        <w:adjustRightInd/>
        <w:spacing w:line="560" w:lineRule="exact"/>
        <w:ind w:firstLine="640" w:firstLineChars="200"/>
        <w:rPr>
          <w:rFonts w:hint="default"/>
          <w:bCs/>
          <w:sz w:val="32"/>
          <w:szCs w:val="32"/>
          <w:lang w:val="en-US" w:eastAsia="zh-CN"/>
        </w:rPr>
      </w:pPr>
      <w:r>
        <w:rPr>
          <w:rFonts w:hint="eastAsia"/>
          <w:bCs/>
          <w:sz w:val="32"/>
          <w:szCs w:val="32"/>
          <w:lang w:val="en-US" w:eastAsia="zh-CN"/>
        </w:rPr>
        <w:t>（5）社会效益。保障国控点环境达标，推动园区经济发展。</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（6）生态效益。改善园区生态条件，创造园区优良的生活环境。</w:t>
      </w:r>
    </w:p>
    <w:p>
      <w:pPr>
        <w:keepNext w:val="0"/>
        <w:keepLines w:val="0"/>
        <w:pageBreakBefore w:val="0"/>
        <w:widowControl w:val="0"/>
        <w:kinsoku/>
        <w:wordWrap/>
        <w:topLinePunct w:val="0"/>
        <w:autoSpaceDE/>
        <w:autoSpaceDN/>
        <w:bidi w:val="0"/>
        <w:adjustRightInd/>
        <w:spacing w:line="560" w:lineRule="exact"/>
        <w:ind w:firstLine="640" w:firstLineChars="200"/>
        <w:rPr>
          <w:rFonts w:hint="default"/>
          <w:bCs/>
          <w:sz w:val="32"/>
          <w:szCs w:val="32"/>
          <w:lang w:val="en-US" w:eastAsia="zh-CN"/>
        </w:rPr>
      </w:pPr>
      <w:r>
        <w:rPr>
          <w:rFonts w:hint="eastAsia"/>
          <w:bCs/>
          <w:sz w:val="32"/>
          <w:szCs w:val="32"/>
          <w:lang w:val="en-US" w:eastAsia="zh-CN"/>
        </w:rPr>
        <w:t>（7）</w:t>
      </w:r>
      <w:r>
        <w:rPr>
          <w:rFonts w:hint="default"/>
          <w:bCs/>
          <w:sz w:val="32"/>
          <w:szCs w:val="32"/>
          <w:lang w:val="en-US" w:eastAsia="zh-CN"/>
        </w:rPr>
        <w:t>可持续性影响。</w:t>
      </w:r>
      <w:r>
        <w:rPr>
          <w:rFonts w:hint="eastAsia"/>
          <w:bCs/>
          <w:sz w:val="32"/>
          <w:szCs w:val="32"/>
          <w:lang w:val="en-US" w:eastAsia="zh-CN"/>
        </w:rPr>
        <w:t>项目的实施持续运行</w:t>
      </w:r>
      <w:r>
        <w:rPr>
          <w:rFonts w:hint="default"/>
          <w:bCs/>
          <w:sz w:val="32"/>
          <w:szCs w:val="32"/>
          <w:lang w:val="en-US" w:eastAsia="zh-CN"/>
        </w:rPr>
        <w:t>。</w:t>
      </w:r>
    </w:p>
    <w:p>
      <w:pPr>
        <w:keepNext w:val="0"/>
        <w:keepLines w:val="0"/>
        <w:pageBreakBefore w:val="0"/>
        <w:widowControl w:val="0"/>
        <w:kinsoku/>
        <w:wordWrap/>
        <w:topLinePunct w:val="0"/>
        <w:autoSpaceDE/>
        <w:autoSpaceDN/>
        <w:bidi w:val="0"/>
        <w:adjustRightInd/>
        <w:spacing w:line="560" w:lineRule="exact"/>
        <w:ind w:firstLine="640" w:firstLineChars="200"/>
        <w:rPr>
          <w:rFonts w:hint="default"/>
          <w:bCs/>
          <w:sz w:val="32"/>
          <w:szCs w:val="32"/>
          <w:lang w:val="en-US" w:eastAsia="zh-CN"/>
        </w:rPr>
      </w:pPr>
      <w:r>
        <w:rPr>
          <w:rFonts w:hint="eastAsia"/>
          <w:bCs/>
          <w:sz w:val="32"/>
          <w:szCs w:val="32"/>
          <w:lang w:val="en-US" w:eastAsia="zh-CN"/>
        </w:rPr>
        <w:t>（8）</w:t>
      </w:r>
      <w:r>
        <w:rPr>
          <w:rFonts w:hint="default"/>
          <w:bCs/>
          <w:sz w:val="32"/>
          <w:szCs w:val="32"/>
          <w:lang w:val="en-US" w:eastAsia="zh-CN"/>
        </w:rPr>
        <w:t>满意度。相关单位及受益对象满意度达90%以上。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楷体_GB2312"/>
          <w:bCs/>
          <w:sz w:val="32"/>
          <w:szCs w:val="32"/>
        </w:rPr>
      </w:pPr>
      <w:r>
        <w:rPr>
          <w:rFonts w:eastAsia="楷体_GB2312"/>
          <w:bCs/>
          <w:sz w:val="32"/>
          <w:szCs w:val="32"/>
        </w:rPr>
        <w:t>（三）</w:t>
      </w:r>
      <w:r>
        <w:rPr>
          <w:rFonts w:hint="eastAsia" w:eastAsia="楷体_GB2312"/>
          <w:bCs/>
          <w:sz w:val="32"/>
          <w:szCs w:val="32"/>
          <w:lang w:val="en-US" w:eastAsia="zh-CN"/>
        </w:rPr>
        <w:t>项目</w:t>
      </w:r>
      <w:r>
        <w:rPr>
          <w:rFonts w:eastAsia="楷体_GB2312"/>
          <w:bCs/>
          <w:sz w:val="32"/>
          <w:szCs w:val="32"/>
        </w:rPr>
        <w:t>资金构成</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sz w:val="32"/>
          <w:szCs w:val="32"/>
          <w:lang w:val="en-US" w:eastAsia="zh-CN"/>
        </w:rPr>
        <w:t>2023年常德市生态环境局经开区分局新增专项10个项目，</w:t>
      </w:r>
      <w:r>
        <w:rPr>
          <w:rFonts w:hint="eastAsia"/>
          <w:bCs/>
          <w:sz w:val="32"/>
          <w:szCs w:val="32"/>
          <w:lang w:val="en-US" w:eastAsia="zh-CN"/>
        </w:rPr>
        <w:t>2023预算安排951.86万元。经初步测算，2023年建议安排</w:t>
      </w:r>
      <w:r>
        <w:rPr>
          <w:rFonts w:hint="eastAsia"/>
          <w:bCs/>
          <w:sz w:val="32"/>
          <w:szCs w:val="32"/>
          <w:highlight w:val="none"/>
          <w:lang w:val="en-US" w:eastAsia="zh-CN"/>
        </w:rPr>
        <w:t>933.3万元，调减18.56万元。</w:t>
      </w:r>
      <w:r>
        <w:rPr>
          <w:rFonts w:hint="eastAsia"/>
          <w:bCs/>
          <w:sz w:val="32"/>
          <w:szCs w:val="32"/>
          <w:lang w:val="en-US" w:eastAsia="zh-CN"/>
        </w:rPr>
        <w:t>详见下表:</w:t>
      </w:r>
    </w:p>
    <w:p>
      <w:pPr>
        <w:pStyle w:val="2"/>
        <w:rPr>
          <w:rFonts w:hint="eastAsia"/>
          <w:lang w:val="en-US" w:eastAsia="zh-CN"/>
        </w:rPr>
      </w:pPr>
    </w:p>
    <w:p>
      <w:pPr>
        <w:pStyle w:val="11"/>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_GB2312" w:cs="Times New Roman"/>
          <w:bCs/>
          <w:kern w:val="2"/>
          <w:sz w:val="32"/>
          <w:szCs w:val="32"/>
          <w:lang w:val="en-US" w:eastAsia="zh-CN" w:bidi="ar-SA"/>
        </w:rPr>
      </w:pPr>
      <w:r>
        <w:rPr>
          <w:rFonts w:hint="eastAsia"/>
          <w:bCs/>
          <w:sz w:val="28"/>
          <w:szCs w:val="28"/>
          <w:highlight w:val="none"/>
          <w:lang w:val="en-US" w:eastAsia="zh-CN"/>
        </w:rPr>
        <w:t xml:space="preserve">                                      </w:t>
      </w:r>
      <w:r>
        <w:rPr>
          <w:rFonts w:hint="eastAsia" w:ascii="Times New Roman" w:hAnsi="Times New Roman" w:eastAsia="仿宋_GB2312" w:cs="Times New Roman"/>
          <w:bCs/>
          <w:kern w:val="2"/>
          <w:sz w:val="32"/>
          <w:szCs w:val="32"/>
          <w:lang w:val="en-US" w:eastAsia="zh-CN" w:bidi="ar-SA"/>
        </w:rPr>
        <w:t xml:space="preserve"> 金额单位：万元</w:t>
      </w:r>
    </w:p>
    <w:tbl>
      <w:tblPr>
        <w:tblStyle w:val="13"/>
        <w:tblW w:w="856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26"/>
        <w:gridCol w:w="3370"/>
        <w:gridCol w:w="3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pacing w:line="56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项目</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pacing w:line="560" w:lineRule="exact"/>
              <w:jc w:val="center"/>
              <w:textAlignment w:val="center"/>
              <w:rPr>
                <w:rFonts w:hint="default" w:ascii="Times New Roman" w:hAnsi="Times New Roman" w:eastAsia="黑体" w:cs="Times New Roman"/>
                <w:i w:val="0"/>
                <w:iCs w:val="0"/>
                <w:color w:val="000000"/>
                <w:sz w:val="24"/>
                <w:szCs w:val="24"/>
                <w:u w:val="none"/>
                <w:lang w:val="en-US"/>
              </w:rPr>
            </w:pPr>
            <w:r>
              <w:rPr>
                <w:rFonts w:hint="default" w:ascii="Times New Roman" w:hAnsi="Times New Roman" w:eastAsia="黑体" w:cs="Times New Roman"/>
                <w:i w:val="0"/>
                <w:iCs w:val="0"/>
                <w:color w:val="000000"/>
                <w:kern w:val="0"/>
                <w:sz w:val="24"/>
                <w:szCs w:val="24"/>
                <w:u w:val="none"/>
                <w:lang w:val="en-US" w:eastAsia="zh-CN" w:bidi="ar"/>
              </w:rPr>
              <w:t>202</w:t>
            </w:r>
            <w:r>
              <w:rPr>
                <w:rFonts w:hint="eastAsia" w:eastAsia="黑体" w:cs="Times New Roman"/>
                <w:i w:val="0"/>
                <w:iCs w:val="0"/>
                <w:color w:val="000000"/>
                <w:kern w:val="0"/>
                <w:sz w:val="24"/>
                <w:szCs w:val="24"/>
                <w:u w:val="none"/>
                <w:lang w:val="en-US" w:eastAsia="zh-CN" w:bidi="ar"/>
              </w:rPr>
              <w:t>3</w:t>
            </w:r>
            <w:r>
              <w:rPr>
                <w:rFonts w:hint="default" w:ascii="Times New Roman" w:hAnsi="Times New Roman" w:eastAsia="黑体" w:cs="Times New Roman"/>
                <w:i w:val="0"/>
                <w:iCs w:val="0"/>
                <w:color w:val="000000"/>
                <w:kern w:val="0"/>
                <w:sz w:val="24"/>
                <w:szCs w:val="24"/>
                <w:u w:val="none"/>
                <w:lang w:val="en-US" w:eastAsia="zh-CN" w:bidi="ar"/>
              </w:rPr>
              <w:t>年预算安排资金</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autoSpaceDE/>
              <w:autoSpaceDN/>
              <w:bidi w:val="0"/>
              <w:adjustRightInd/>
              <w:spacing w:line="560" w:lineRule="exact"/>
              <w:jc w:val="center"/>
              <w:textAlignment w:val="center"/>
              <w:rPr>
                <w:rFonts w:hint="default" w:ascii="Times New Roman" w:hAnsi="Times New Roman" w:eastAsia="黑体" w:cs="Times New Roman"/>
                <w:i w:val="0"/>
                <w:iCs w:val="0"/>
                <w:color w:val="000000"/>
                <w:sz w:val="24"/>
                <w:szCs w:val="24"/>
                <w:u w:val="none"/>
                <w:lang w:val="en-US"/>
              </w:rPr>
            </w:pPr>
            <w:r>
              <w:rPr>
                <w:rFonts w:hint="default" w:ascii="Times New Roman" w:hAnsi="Times New Roman" w:eastAsia="黑体" w:cs="Times New Roman"/>
                <w:i w:val="0"/>
                <w:iCs w:val="0"/>
                <w:color w:val="000000"/>
                <w:kern w:val="0"/>
                <w:sz w:val="24"/>
                <w:szCs w:val="24"/>
                <w:u w:val="none"/>
                <w:lang w:val="en-US" w:eastAsia="zh-CN" w:bidi="ar"/>
              </w:rPr>
              <w:t>2023年</w:t>
            </w:r>
            <w:r>
              <w:rPr>
                <w:rFonts w:hint="eastAsia" w:eastAsia="黑体" w:cs="Times New Roman"/>
                <w:i w:val="0"/>
                <w:iCs w:val="0"/>
                <w:color w:val="000000"/>
                <w:kern w:val="0"/>
                <w:sz w:val="24"/>
                <w:szCs w:val="24"/>
                <w:u w:val="none"/>
                <w:lang w:val="en-US" w:eastAsia="zh-CN" w:bidi="ar"/>
              </w:rPr>
              <w:t>建议安排资金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autoSpaceDE/>
              <w:autoSpaceDN/>
              <w:bidi w:val="0"/>
              <w:adjustRightInd/>
              <w:spacing w:line="560" w:lineRule="exact"/>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合计</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lang w:val="en-US"/>
              </w:rPr>
            </w:pPr>
            <w:r>
              <w:rPr>
                <w:rFonts w:hint="eastAsia" w:ascii="宋体" w:hAnsi="宋体" w:eastAsia="宋体" w:cs="宋体"/>
                <w:b/>
                <w:bCs/>
                <w:i w:val="0"/>
                <w:iCs w:val="0"/>
                <w:color w:val="000000"/>
                <w:kern w:val="0"/>
                <w:sz w:val="20"/>
                <w:szCs w:val="20"/>
                <w:u w:val="none"/>
                <w:lang w:val="en-US" w:eastAsia="zh-CN" w:bidi="ar"/>
              </w:rPr>
              <w:t>951.86</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lang w:val="en-US"/>
              </w:rPr>
            </w:pPr>
            <w:r>
              <w:rPr>
                <w:rFonts w:hint="eastAsia" w:ascii="宋体" w:hAnsi="宋体" w:eastAsia="宋体" w:cs="宋体"/>
                <w:b/>
                <w:bCs/>
                <w:i w:val="0"/>
                <w:iCs w:val="0"/>
                <w:color w:val="000000"/>
                <w:kern w:val="0"/>
                <w:sz w:val="20"/>
                <w:szCs w:val="20"/>
                <w:u w:val="none"/>
                <w:lang w:val="en-US" w:eastAsia="zh-CN" w:bidi="ar"/>
              </w:rPr>
              <w:t>933.3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2023年经开区“一库两湖三水”水质监测</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48.5</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经开区环境污染第三方治理“环保管家”服务项目</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260</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251.35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市二中国控点家属楼油烟净化设备清洗项目</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85</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84.32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市二中国控站点精细化管控经费</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50</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000000"/>
                <w:sz w:val="24"/>
                <w:szCs w:val="24"/>
                <w:u w:val="none"/>
                <w:lang w:val="en-US" w:eastAsia="zh-CN"/>
              </w:rPr>
            </w:pPr>
            <w:r>
              <w:rPr>
                <w:rFonts w:hint="eastAsia" w:eastAsia="仿宋" w:cs="Times New Roman"/>
                <w:i w:val="0"/>
                <w:iCs w:val="0"/>
                <w:color w:val="000000"/>
                <w:sz w:val="24"/>
                <w:szCs w:val="24"/>
                <w:u w:val="none"/>
                <w:lang w:val="en-US" w:eastAsia="zh-CN"/>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污水处理厂污泥检测经费</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48</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大气污染防治巡查</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49.5</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49.33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非道路移动机械尾气排放监督性抽测工作</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5.7</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二中站点周边洒水降尘项目</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300</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污染源监督监测项目</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85</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机动车尾气检测</w:t>
            </w:r>
          </w:p>
        </w:tc>
        <w:tc>
          <w:tcPr>
            <w:tcW w:w="3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20.16</w:t>
            </w:r>
          </w:p>
        </w:tc>
        <w:tc>
          <w:tcPr>
            <w:tcW w:w="32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lang w:val="en-US"/>
              </w:rPr>
            </w:pPr>
            <w:r>
              <w:rPr>
                <w:rFonts w:hint="eastAsia" w:ascii="宋体" w:hAnsi="宋体" w:eastAsia="宋体" w:cs="宋体"/>
                <w:i w:val="0"/>
                <w:iCs w:val="0"/>
                <w:color w:val="000000"/>
                <w:kern w:val="0"/>
                <w:sz w:val="20"/>
                <w:szCs w:val="20"/>
                <w:u w:val="none"/>
                <w:lang w:val="en-US" w:eastAsia="zh-CN" w:bidi="ar"/>
              </w:rPr>
              <w:t>18.9</w:t>
            </w:r>
          </w:p>
        </w:tc>
      </w:tr>
    </w:tbl>
    <w:p>
      <w:pPr>
        <w:keepNext w:val="0"/>
        <w:keepLines w:val="0"/>
        <w:pageBreakBefore w:val="0"/>
        <w:widowControl w:val="0"/>
        <w:kinsoku/>
        <w:wordWrap/>
        <w:topLinePunct w:val="0"/>
        <w:autoSpaceDE/>
        <w:autoSpaceDN/>
        <w:bidi w:val="0"/>
        <w:adjustRightInd/>
        <w:spacing w:line="560" w:lineRule="exact"/>
        <w:ind w:firstLine="640" w:firstLineChars="200"/>
        <w:rPr>
          <w:rFonts w:eastAsia="楷体_GB2312"/>
          <w:bCs/>
          <w:sz w:val="32"/>
          <w:szCs w:val="32"/>
        </w:rPr>
      </w:pPr>
      <w:r>
        <w:rPr>
          <w:rFonts w:eastAsia="楷体_GB2312"/>
          <w:bCs/>
          <w:sz w:val="32"/>
          <w:szCs w:val="32"/>
        </w:rPr>
        <w:t>（四）</w:t>
      </w:r>
      <w:r>
        <w:rPr>
          <w:rFonts w:hint="eastAsia" w:eastAsia="楷体_GB2312"/>
          <w:bCs/>
          <w:sz w:val="32"/>
          <w:szCs w:val="32"/>
          <w:lang w:val="en-US" w:eastAsia="zh-CN"/>
        </w:rPr>
        <w:t>项目</w:t>
      </w:r>
      <w:r>
        <w:rPr>
          <w:rFonts w:eastAsia="楷体_GB2312"/>
          <w:bCs/>
          <w:sz w:val="32"/>
          <w:szCs w:val="32"/>
        </w:rPr>
        <w:t>概况</w:t>
      </w:r>
    </w:p>
    <w:p>
      <w:pPr>
        <w:keepNext w:val="0"/>
        <w:keepLines w:val="0"/>
        <w:pageBreakBefore w:val="0"/>
        <w:widowControl w:val="0"/>
        <w:kinsoku/>
        <w:wordWrap/>
        <w:topLinePunct w:val="0"/>
        <w:autoSpaceDE/>
        <w:autoSpaceDN/>
        <w:bidi w:val="0"/>
        <w:adjustRightInd/>
        <w:spacing w:line="560" w:lineRule="exact"/>
        <w:ind w:firstLine="640" w:firstLineChars="200"/>
        <w:rPr>
          <w:rFonts w:hint="default"/>
          <w:bCs/>
          <w:sz w:val="32"/>
          <w:szCs w:val="32"/>
          <w:lang w:val="en-US" w:eastAsia="zh-CN"/>
        </w:rPr>
      </w:pPr>
      <w:r>
        <w:rPr>
          <w:rFonts w:hint="eastAsia"/>
          <w:bCs/>
          <w:sz w:val="32"/>
          <w:szCs w:val="32"/>
          <w:lang w:val="en-US" w:eastAsia="zh-CN"/>
        </w:rPr>
        <w:t>项目由经开区财政局和经开区环保局实行部门共管、项目评审、绩效考评、追踪问效的全过程协作管理机制。</w:t>
      </w:r>
    </w:p>
    <w:p>
      <w:pPr>
        <w:keepNext w:val="0"/>
        <w:keepLines w:val="0"/>
        <w:pageBreakBefore w:val="0"/>
        <w:widowControl w:val="0"/>
        <w:kinsoku/>
        <w:wordWrap/>
        <w:topLinePunct w:val="0"/>
        <w:autoSpaceDE/>
        <w:autoSpaceDN/>
        <w:bidi w:val="0"/>
        <w:adjustRightInd/>
        <w:spacing w:line="560" w:lineRule="exact"/>
        <w:ind w:firstLine="640" w:firstLineChars="200"/>
        <w:rPr>
          <w:rFonts w:hint="default"/>
          <w:bCs/>
          <w:sz w:val="32"/>
          <w:szCs w:val="32"/>
          <w:highlight w:val="none"/>
          <w:lang w:val="en-US" w:eastAsia="zh-CN"/>
        </w:rPr>
      </w:pPr>
      <w:r>
        <w:rPr>
          <w:rFonts w:hint="eastAsia"/>
          <w:bCs/>
          <w:sz w:val="32"/>
          <w:szCs w:val="32"/>
          <w:highlight w:val="none"/>
          <w:lang w:val="en-US" w:eastAsia="zh-CN"/>
        </w:rPr>
        <w:t>项目主要内容：一是对市二中国控点周边环境进行管控，包括洒水降尘、油烟清洗；二是为打赢“蓝天保卫战”、“碧水保卫战”对园区的水质、大气、污泥、污染源进行检测；三是为推进统一规划、监测、监管、运营的一体化园区环境第三方治理服务模式.向园区企业提供监测，环保设施建设运营、污染治理等一体化环保服务和解决方案，采用“环保管家”模式服务；四是对车辆尾气排放进行抽测。</w:t>
      </w:r>
    </w:p>
    <w:p>
      <w:pPr>
        <w:keepNext w:val="0"/>
        <w:keepLines w:val="0"/>
        <w:pageBreakBefore w:val="0"/>
        <w:widowControl w:val="0"/>
        <w:kinsoku/>
        <w:wordWrap/>
        <w:topLinePunct w:val="0"/>
        <w:autoSpaceDE/>
        <w:autoSpaceDN/>
        <w:bidi w:val="0"/>
        <w:adjustRightInd/>
        <w:spacing w:line="560" w:lineRule="exact"/>
        <w:ind w:firstLine="640" w:firstLineChars="200"/>
        <w:outlineLvl w:val="0"/>
        <w:rPr>
          <w:rFonts w:eastAsia="黑体"/>
          <w:bCs/>
          <w:sz w:val="32"/>
          <w:szCs w:val="32"/>
        </w:rPr>
      </w:pPr>
      <w:r>
        <w:rPr>
          <w:rFonts w:eastAsia="黑体"/>
          <w:bCs/>
          <w:sz w:val="32"/>
          <w:szCs w:val="32"/>
        </w:rPr>
        <w:t>二、事前绩效评估的基本情况</w:t>
      </w:r>
    </w:p>
    <w:p>
      <w:pPr>
        <w:keepNext w:val="0"/>
        <w:keepLines w:val="0"/>
        <w:pageBreakBefore w:val="0"/>
        <w:widowControl w:val="0"/>
        <w:kinsoku/>
        <w:wordWrap/>
        <w:topLinePunct w:val="0"/>
        <w:autoSpaceDE/>
        <w:autoSpaceDN/>
        <w:bidi w:val="0"/>
        <w:adjustRightInd/>
        <w:spacing w:line="560" w:lineRule="exact"/>
        <w:ind w:firstLine="640" w:firstLineChars="200"/>
        <w:outlineLvl w:val="1"/>
        <w:rPr>
          <w:rFonts w:eastAsia="楷体_GB2312"/>
          <w:bCs/>
          <w:sz w:val="32"/>
          <w:szCs w:val="32"/>
        </w:rPr>
      </w:pPr>
      <w:r>
        <w:rPr>
          <w:rFonts w:eastAsia="楷体_GB2312"/>
          <w:bCs/>
          <w:sz w:val="32"/>
          <w:szCs w:val="32"/>
        </w:rPr>
        <w:t>（一）评估程序</w:t>
      </w:r>
    </w:p>
    <w:p>
      <w:pPr>
        <w:keepNext w:val="0"/>
        <w:keepLines w:val="0"/>
        <w:pageBreakBefore w:val="0"/>
        <w:widowControl w:val="0"/>
        <w:kinsoku/>
        <w:wordWrap/>
        <w:topLinePunct w:val="0"/>
        <w:autoSpaceDE/>
        <w:autoSpaceDN/>
        <w:bidi w:val="0"/>
        <w:adjustRightInd/>
        <w:spacing w:line="560" w:lineRule="exact"/>
        <w:ind w:firstLine="640" w:firstLineChars="200"/>
        <w:rPr>
          <w:rFonts w:hint="eastAsia"/>
          <w:bCs/>
          <w:sz w:val="32"/>
          <w:szCs w:val="32"/>
          <w:lang w:val="en-US" w:eastAsia="zh-CN"/>
        </w:rPr>
      </w:pPr>
      <w:r>
        <w:rPr>
          <w:rFonts w:hint="eastAsia"/>
          <w:bCs/>
          <w:sz w:val="32"/>
          <w:szCs w:val="32"/>
          <w:lang w:val="en-US" w:eastAsia="zh-CN"/>
        </w:rPr>
        <w:t>湖南九澧咨询服务有限公司常德分公司接到经开区财政局委托后，成立了事前绩效评估小组，结合项目实际情况制定了事前绩效评估方案。主要实施以下事前绩效评估步骤：听取项目实施单位情况介绍，了解项目背景、设立依据和项目计划；收集查阅项目立项、绩效目标等相关资料</w:t>
      </w:r>
      <w:r>
        <w:rPr>
          <w:rFonts w:hint="eastAsia"/>
          <w:bCs/>
          <w:sz w:val="32"/>
          <w:szCs w:val="32"/>
          <w:highlight w:val="none"/>
          <w:lang w:val="en-US" w:eastAsia="zh-CN"/>
        </w:rPr>
        <w:t>；发放89份调查问卷并收回，整理现场评估和非现场评估资料，对收集到的资料和信息进行核实、比对。经综合分析，形</w:t>
      </w:r>
      <w:r>
        <w:rPr>
          <w:rFonts w:hint="eastAsia"/>
          <w:bCs/>
          <w:sz w:val="32"/>
          <w:szCs w:val="32"/>
          <w:lang w:val="en-US" w:eastAsia="zh-CN"/>
        </w:rPr>
        <w:t>成本项目事前绩效评估报告。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楷体_GB2312"/>
          <w:bCs/>
          <w:sz w:val="32"/>
          <w:szCs w:val="32"/>
        </w:rPr>
      </w:pPr>
      <w:r>
        <w:rPr>
          <w:rFonts w:eastAsia="楷体_GB2312"/>
          <w:bCs/>
          <w:sz w:val="32"/>
          <w:szCs w:val="32"/>
        </w:rPr>
        <w:t>（二）评估思路</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CN"/>
        </w:rPr>
      </w:pPr>
      <w:r>
        <w:rPr>
          <w:rFonts w:hint="eastAsia"/>
          <w:sz w:val="32"/>
          <w:szCs w:val="32"/>
          <w:lang w:val="en-US" w:eastAsia="zh-CN"/>
        </w:rPr>
        <w:t>本项目事前绩效评估坚持绩效导向、科学规范、客观公正、精简高效四个原则。基于指标体系，从政策立项必要性、投入经济性、政策目标合理性、实施方案可行性、筹资合规性五个维度进行评估和分析，得出相关结论并提出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eastAsia="楷体_GB2312"/>
          <w:bCs/>
          <w:sz w:val="32"/>
          <w:szCs w:val="32"/>
        </w:rPr>
      </w:pPr>
      <w:r>
        <w:rPr>
          <w:rFonts w:eastAsia="楷体_GB2312"/>
          <w:bCs/>
          <w:sz w:val="32"/>
          <w:szCs w:val="32"/>
        </w:rPr>
        <w:t>（三）评估方式、方法</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CN"/>
        </w:rPr>
      </w:pPr>
      <w:bookmarkStart w:id="1" w:name="_Toc14057"/>
      <w:bookmarkStart w:id="2" w:name="_Toc1739"/>
      <w:bookmarkStart w:id="3" w:name="_Toc8168"/>
      <w:bookmarkStart w:id="4" w:name="_Toc294590676"/>
      <w:bookmarkStart w:id="5" w:name="_Toc30618"/>
      <w:bookmarkStart w:id="6" w:name="_Toc32318"/>
      <w:bookmarkStart w:id="7" w:name="_Toc8154"/>
      <w:bookmarkStart w:id="8" w:name="_Toc28297"/>
      <w:bookmarkStart w:id="9" w:name="_Toc31622"/>
      <w:bookmarkStart w:id="10" w:name="_Toc9679"/>
      <w:bookmarkStart w:id="11" w:name="_Toc27455"/>
      <w:bookmarkStart w:id="12" w:name="_Toc9908"/>
      <w:bookmarkStart w:id="13" w:name="_Toc20049"/>
      <w:r>
        <w:rPr>
          <w:rFonts w:hint="eastAsia"/>
          <w:sz w:val="32"/>
          <w:szCs w:val="32"/>
          <w:lang w:val="en-US" w:eastAsia="zh-CN"/>
        </w:rPr>
        <w:t>1.</w:t>
      </w:r>
      <w:r>
        <w:rPr>
          <w:rFonts w:hint="eastAsia"/>
          <w:sz w:val="32"/>
          <w:szCs w:val="32"/>
          <w:lang w:val="en-US" w:eastAsia="zh-Hans"/>
        </w:rPr>
        <w:t>评估</w:t>
      </w:r>
      <w:bookmarkEnd w:id="1"/>
      <w:bookmarkEnd w:id="2"/>
      <w:bookmarkEnd w:id="3"/>
      <w:bookmarkEnd w:id="4"/>
      <w:bookmarkEnd w:id="5"/>
      <w:bookmarkEnd w:id="6"/>
      <w:bookmarkEnd w:id="7"/>
      <w:bookmarkEnd w:id="8"/>
      <w:bookmarkEnd w:id="9"/>
      <w:r>
        <w:rPr>
          <w:rFonts w:hint="eastAsia"/>
          <w:sz w:val="32"/>
          <w:szCs w:val="32"/>
          <w:lang w:val="en-US" w:eastAsia="zh-CN"/>
        </w:rPr>
        <w:t>方式</w:t>
      </w:r>
      <w:bookmarkEnd w:id="10"/>
      <w:r>
        <w:rPr>
          <w:rFonts w:hint="eastAsia"/>
          <w:sz w:val="32"/>
          <w:szCs w:val="32"/>
          <w:lang w:val="en-US" w:eastAsia="zh-CN"/>
        </w:rPr>
        <w:t>。根据本次绩效评估工作的实际情况，评估工作</w:t>
      </w:r>
      <w:r>
        <w:rPr>
          <w:rFonts w:hint="eastAsia"/>
          <w:sz w:val="32"/>
          <w:szCs w:val="32"/>
          <w:lang w:val="en-US" w:eastAsia="zh-Hans"/>
        </w:rPr>
        <w:t>小</w:t>
      </w:r>
      <w:r>
        <w:rPr>
          <w:rFonts w:hint="eastAsia"/>
          <w:sz w:val="32"/>
          <w:szCs w:val="32"/>
          <w:lang w:val="en-US" w:eastAsia="zh-CN"/>
        </w:rPr>
        <w:t>组采用专家咨询、现场调研、座谈交流、问卷调查等多种方式开展评估。</w:t>
      </w:r>
      <w:bookmarkEnd w:id="11"/>
      <w:bookmarkEnd w:id="12"/>
      <w:bookmarkEnd w:id="13"/>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Hans"/>
        </w:rPr>
      </w:pPr>
      <w:bookmarkStart w:id="14" w:name="_Toc3779"/>
      <w:bookmarkStart w:id="15" w:name="_Toc1458"/>
      <w:bookmarkStart w:id="16" w:name="_Toc11879"/>
      <w:bookmarkStart w:id="17" w:name="_Toc9881"/>
      <w:bookmarkStart w:id="18" w:name="_Toc10421"/>
      <w:bookmarkStart w:id="19" w:name="_Toc1235685197"/>
      <w:bookmarkStart w:id="20" w:name="_Toc2569"/>
      <w:bookmarkStart w:id="21" w:name="_Toc31384"/>
      <w:bookmarkStart w:id="22" w:name="_Toc15523"/>
      <w:bookmarkStart w:id="23" w:name="_Toc698"/>
      <w:bookmarkStart w:id="24" w:name="_Toc30694"/>
      <w:bookmarkStart w:id="25" w:name="_Toc16867"/>
      <w:bookmarkStart w:id="26" w:name="_Toc6318"/>
      <w:r>
        <w:rPr>
          <w:rFonts w:hint="eastAsia"/>
          <w:sz w:val="32"/>
          <w:szCs w:val="32"/>
          <w:lang w:val="en-US" w:eastAsia="zh-CN"/>
        </w:rPr>
        <w:t>2.</w:t>
      </w:r>
      <w:r>
        <w:rPr>
          <w:rFonts w:hint="eastAsia"/>
          <w:sz w:val="32"/>
          <w:szCs w:val="32"/>
          <w:lang w:val="en-US" w:eastAsia="zh-Hans"/>
        </w:rPr>
        <w:t>评估方法</w:t>
      </w:r>
      <w:bookmarkEnd w:id="14"/>
      <w:bookmarkEnd w:id="15"/>
      <w:bookmarkEnd w:id="16"/>
      <w:bookmarkEnd w:id="17"/>
      <w:bookmarkEnd w:id="18"/>
      <w:bookmarkEnd w:id="19"/>
      <w:bookmarkEnd w:id="20"/>
      <w:bookmarkEnd w:id="21"/>
      <w:bookmarkEnd w:id="22"/>
      <w:bookmarkEnd w:id="23"/>
      <w:r>
        <w:rPr>
          <w:rFonts w:hint="eastAsia"/>
          <w:sz w:val="32"/>
          <w:szCs w:val="32"/>
          <w:lang w:val="en-US" w:eastAsia="zh-Hans"/>
        </w:rPr>
        <w:t>。</w:t>
      </w:r>
      <w:r>
        <w:rPr>
          <w:rFonts w:hint="eastAsia"/>
          <w:sz w:val="32"/>
          <w:szCs w:val="32"/>
          <w:lang w:val="en-US" w:eastAsia="zh-CN"/>
        </w:rPr>
        <w:t>本次绩效评估采用</w:t>
      </w:r>
      <w:r>
        <w:rPr>
          <w:rFonts w:hint="eastAsia"/>
          <w:sz w:val="32"/>
          <w:szCs w:val="32"/>
          <w:lang w:val="en-US" w:eastAsia="zh-Hans"/>
        </w:rPr>
        <w:t>财政支出绩效评估的一般方法，包括成本效益分析法、比较法、因素分析法、最低成本法、公众评判法等。在项目绩效评估中，根据评估对象的具体情况，采用以上多种方法相结合开展评估。</w:t>
      </w:r>
      <w:bookmarkEnd w:id="24"/>
      <w:bookmarkEnd w:id="25"/>
      <w:bookmarkEnd w:id="26"/>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Hans"/>
        </w:rPr>
      </w:pPr>
      <w:bookmarkStart w:id="27" w:name="_Toc15564"/>
      <w:bookmarkStart w:id="28" w:name="_Toc27456"/>
      <w:bookmarkStart w:id="29" w:name="_Toc27369"/>
      <w:r>
        <w:rPr>
          <w:rFonts w:hint="eastAsia"/>
          <w:sz w:val="32"/>
          <w:szCs w:val="32"/>
          <w:lang w:val="en-US" w:eastAsia="zh-Hans"/>
        </w:rPr>
        <w:t>3.评估评分。评估得分（满分100分）=∑一级指标分值；一级指标分值=∑二级指标分值，由各项指标得分汇总形成。</w:t>
      </w:r>
      <w:bookmarkEnd w:id="27"/>
      <w:bookmarkEnd w:id="28"/>
      <w:bookmarkEnd w:id="29"/>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CN"/>
        </w:rPr>
      </w:pPr>
      <w:bookmarkStart w:id="30" w:name="_Toc9938"/>
      <w:bookmarkStart w:id="31" w:name="_Toc31251"/>
      <w:bookmarkStart w:id="32" w:name="_Toc19880"/>
      <w:r>
        <w:rPr>
          <w:rFonts w:hint="eastAsia"/>
          <w:sz w:val="32"/>
          <w:szCs w:val="32"/>
          <w:lang w:val="en-US" w:eastAsia="zh-Hans"/>
        </w:rPr>
        <w:t>4.评估等级。事前绩效评估结果根据评分划分为</w:t>
      </w:r>
      <w:r>
        <w:rPr>
          <w:rFonts w:hint="eastAsia"/>
          <w:sz w:val="32"/>
          <w:szCs w:val="32"/>
          <w:lang w:val="en-US" w:eastAsia="zh-CN"/>
        </w:rPr>
        <w:t>4</w:t>
      </w:r>
      <w:r>
        <w:rPr>
          <w:rFonts w:hint="eastAsia"/>
          <w:sz w:val="32"/>
          <w:szCs w:val="32"/>
          <w:lang w:val="en-US" w:eastAsia="zh-Hans"/>
        </w:rPr>
        <w:t>个等次： 90分（含）—100分为优，80分（含）—90分为良，60分（含）—80分为中，60分以下为差。</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eastAsia="黑体"/>
          <w:bCs/>
          <w:sz w:val="32"/>
          <w:szCs w:val="32"/>
        </w:rPr>
      </w:pPr>
      <w:r>
        <w:rPr>
          <w:rFonts w:eastAsia="黑体"/>
          <w:bCs/>
          <w:sz w:val="32"/>
          <w:szCs w:val="32"/>
        </w:rPr>
        <w:t>三、评估内容与结论</w:t>
      </w:r>
    </w:p>
    <w:p>
      <w:pPr>
        <w:keepNext w:val="0"/>
        <w:keepLines w:val="0"/>
        <w:pageBreakBefore w:val="0"/>
        <w:widowControl w:val="0"/>
        <w:kinsoku/>
        <w:wordWrap/>
        <w:topLinePunct w:val="0"/>
        <w:autoSpaceDE/>
        <w:autoSpaceDN/>
        <w:bidi w:val="0"/>
        <w:adjustRightInd/>
        <w:spacing w:line="560" w:lineRule="exact"/>
        <w:ind w:firstLine="640" w:firstLineChars="200"/>
        <w:outlineLvl w:val="1"/>
        <w:rPr>
          <w:rFonts w:eastAsia="楷体_GB2312"/>
          <w:bCs/>
          <w:sz w:val="32"/>
          <w:szCs w:val="32"/>
        </w:rPr>
      </w:pPr>
      <w:r>
        <w:rPr>
          <w:rFonts w:eastAsia="楷体_GB2312"/>
          <w:bCs/>
          <w:sz w:val="32"/>
          <w:szCs w:val="32"/>
        </w:rPr>
        <w:t>（一）</w:t>
      </w:r>
      <w:r>
        <w:rPr>
          <w:rFonts w:hint="eastAsia" w:eastAsia="楷体_GB2312"/>
          <w:bCs/>
          <w:sz w:val="32"/>
          <w:szCs w:val="32"/>
          <w:lang w:val="en-US" w:eastAsia="zh-CN"/>
        </w:rPr>
        <w:t>项目</w:t>
      </w:r>
      <w:r>
        <w:rPr>
          <w:rFonts w:eastAsia="楷体_GB2312"/>
          <w:bCs/>
          <w:sz w:val="32"/>
          <w:szCs w:val="32"/>
        </w:rPr>
        <w:t>设立必要性</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CN"/>
        </w:rPr>
      </w:pPr>
      <w:r>
        <w:rPr>
          <w:rFonts w:hint="eastAsia"/>
          <w:sz w:val="32"/>
          <w:szCs w:val="32"/>
          <w:lang w:val="en-US" w:eastAsia="zh-CN"/>
        </w:rPr>
        <w:t>1.与政策相关。项目政策设立依据充分，符</w:t>
      </w:r>
      <w:r>
        <w:rPr>
          <w:rFonts w:hint="eastAsia"/>
          <w:sz w:val="32"/>
          <w:szCs w:val="32"/>
          <w:highlight w:val="none"/>
          <w:lang w:val="en-US" w:eastAsia="zh-CN"/>
        </w:rPr>
        <w:t>合《中华人民共和国环境保法》、国家环境保护总局《环境</w:t>
      </w:r>
      <w:r>
        <w:rPr>
          <w:rFonts w:hint="eastAsia"/>
          <w:sz w:val="32"/>
          <w:szCs w:val="32"/>
          <w:lang w:val="en-US" w:eastAsia="zh-CN"/>
        </w:rPr>
        <w:t>监测管理办法》《国家重点监控企业污染源监性监测及信息公开办法（试行）》（环发〔2013〕81号）、《2023 年度常德市污染防治攻坚战工作方案》 《常德经济技术开发区2023 年度自行监测方案》</w:t>
      </w:r>
      <w:r>
        <w:rPr>
          <w:rFonts w:hint="eastAsia"/>
        </w:rPr>
        <w:t>《关于积极发挥环境保护作用促进供给测结构性改革的指导意见》</w:t>
      </w:r>
      <w:r>
        <w:rPr>
          <w:rFonts w:hint="eastAsia"/>
          <w:lang w:val="en-US" w:eastAsia="zh-CN"/>
        </w:rPr>
        <w:t>等</w:t>
      </w:r>
      <w:r>
        <w:rPr>
          <w:rFonts w:hint="eastAsia"/>
          <w:sz w:val="32"/>
          <w:szCs w:val="32"/>
          <w:lang w:val="en-US" w:eastAsia="zh-CN"/>
        </w:rPr>
        <w:t>重大决策部署，符合国民经济和社会发展规划要求。</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CN"/>
        </w:rPr>
      </w:pPr>
      <w:r>
        <w:rPr>
          <w:rFonts w:hint="eastAsia"/>
          <w:sz w:val="32"/>
          <w:szCs w:val="32"/>
          <w:lang w:val="en-US" w:eastAsia="zh-CN"/>
        </w:rPr>
        <w:t>2.与部门职能相关。项目实施内容主要是对经开区的环境进行监测，对环境提质进行推进，与环保局的职能密切相关，并且是环保局的年度重点工作。</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default"/>
          <w:sz w:val="32"/>
          <w:szCs w:val="32"/>
          <w:lang w:val="en-US" w:eastAsia="zh-CN"/>
        </w:rPr>
      </w:pPr>
      <w:r>
        <w:rPr>
          <w:rFonts w:hint="eastAsia"/>
          <w:sz w:val="32"/>
          <w:szCs w:val="32"/>
          <w:lang w:val="en-US" w:eastAsia="zh-CN"/>
        </w:rPr>
        <w:t>3.与需求相关。经开区环境质量的好与坏直接关系到园区的经济发展，是园区招商引资的硬性条件。</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CN"/>
        </w:rPr>
      </w:pPr>
      <w:r>
        <w:rPr>
          <w:rFonts w:hint="eastAsia"/>
          <w:sz w:val="32"/>
          <w:szCs w:val="32"/>
          <w:lang w:val="en-US" w:eastAsia="zh-CN"/>
        </w:rPr>
        <w:t>4.与财政投入相关。项目属于公共财政支持范围，项目实施为</w:t>
      </w:r>
      <w:r>
        <w:rPr>
          <w:rFonts w:hint="default"/>
          <w:sz w:val="32"/>
          <w:szCs w:val="32"/>
          <w:lang w:val="en-US" w:eastAsia="zh-CN"/>
        </w:rPr>
        <w:t>提升</w:t>
      </w:r>
      <w:r>
        <w:rPr>
          <w:rFonts w:hint="eastAsia"/>
          <w:sz w:val="32"/>
          <w:szCs w:val="32"/>
          <w:lang w:val="en-US" w:eastAsia="zh-CN"/>
        </w:rPr>
        <w:t>经开</w:t>
      </w:r>
      <w:r>
        <w:rPr>
          <w:rFonts w:hint="default"/>
          <w:sz w:val="32"/>
          <w:szCs w:val="32"/>
          <w:lang w:val="en-US" w:eastAsia="zh-CN"/>
        </w:rPr>
        <w:t>区</w:t>
      </w:r>
      <w:r>
        <w:rPr>
          <w:rFonts w:hint="eastAsia"/>
          <w:sz w:val="32"/>
          <w:szCs w:val="32"/>
          <w:lang w:val="en-US" w:eastAsia="zh-CN"/>
        </w:rPr>
        <w:t>环境质量，打赢“蓝天保卫战”、“碧水保卫战”具有重要而深远的意义。</w:t>
      </w:r>
    </w:p>
    <w:p>
      <w:pPr>
        <w:keepNext w:val="0"/>
        <w:keepLines w:val="0"/>
        <w:pageBreakBefore w:val="0"/>
        <w:widowControl w:val="0"/>
        <w:kinsoku/>
        <w:wordWrap/>
        <w:topLinePunct w:val="0"/>
        <w:autoSpaceDE/>
        <w:autoSpaceDN/>
        <w:bidi w:val="0"/>
        <w:adjustRightInd/>
        <w:spacing w:line="560" w:lineRule="exact"/>
        <w:ind w:firstLine="640" w:firstLineChars="200"/>
        <w:outlineLvl w:val="1"/>
        <w:rPr>
          <w:rFonts w:hint="eastAsia" w:eastAsia="楷体_GB2312"/>
          <w:bCs/>
          <w:sz w:val="32"/>
          <w:szCs w:val="32"/>
          <w:lang w:val="en-US" w:eastAsia="zh-CN"/>
        </w:rPr>
      </w:pPr>
      <w:r>
        <w:rPr>
          <w:rFonts w:hint="eastAsia" w:eastAsia="楷体_GB2312"/>
          <w:bCs/>
          <w:sz w:val="32"/>
          <w:szCs w:val="32"/>
          <w:lang w:val="en-US" w:eastAsia="zh-CN"/>
        </w:rPr>
        <w:t>（二）投入经济性</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auto"/>
        <w:rPr>
          <w:rFonts w:hint="default"/>
          <w:sz w:val="32"/>
          <w:szCs w:val="32"/>
          <w:lang w:val="en-US" w:eastAsia="zh-CN"/>
        </w:rPr>
      </w:pPr>
      <w:r>
        <w:rPr>
          <w:rFonts w:hint="eastAsia"/>
          <w:sz w:val="32"/>
          <w:szCs w:val="32"/>
          <w:lang w:val="en-US" w:eastAsia="zh-CN"/>
        </w:rPr>
        <w:t>1.投入合理性。</w:t>
      </w:r>
      <w:r>
        <w:rPr>
          <w:rFonts w:hint="default"/>
          <w:sz w:val="32"/>
          <w:szCs w:val="32"/>
          <w:lang w:val="en-US" w:eastAsia="zh-CN"/>
        </w:rPr>
        <w:t>项目投入资源及成本与预期产出及效果</w:t>
      </w:r>
      <w:r>
        <w:rPr>
          <w:rFonts w:hint="eastAsia"/>
          <w:sz w:val="32"/>
          <w:szCs w:val="32"/>
          <w:lang w:val="en-US" w:eastAsia="zh-CN"/>
        </w:rPr>
        <w:t>基本</w:t>
      </w:r>
      <w:r>
        <w:rPr>
          <w:rFonts w:hint="default"/>
          <w:sz w:val="32"/>
          <w:szCs w:val="32"/>
          <w:lang w:val="en-US" w:eastAsia="zh-CN"/>
        </w:rPr>
        <w:t>匹配</w:t>
      </w:r>
      <w:r>
        <w:rPr>
          <w:rFonts w:hint="eastAsia"/>
          <w:sz w:val="32"/>
          <w:szCs w:val="32"/>
          <w:lang w:val="en-US" w:eastAsia="zh-CN"/>
        </w:rPr>
        <w:t>，但成本测算依据不充分，没有经过专家论证，无财政评审结论</w:t>
      </w:r>
      <w:r>
        <w:rPr>
          <w:rFonts w:hint="default"/>
          <w:sz w:val="32"/>
          <w:szCs w:val="32"/>
          <w:lang w:val="en-US" w:eastAsia="zh-CN"/>
        </w:rPr>
        <w:t>。</w:t>
      </w:r>
    </w:p>
    <w:p>
      <w:pPr>
        <w:pStyle w:val="11"/>
        <w:keepNext w:val="0"/>
        <w:keepLines w:val="0"/>
        <w:pageBreakBefore w:val="0"/>
        <w:widowControl w:val="0"/>
        <w:kinsoku/>
        <w:wordWrap/>
        <w:topLinePunct w:val="0"/>
        <w:autoSpaceDE/>
        <w:autoSpaceDN/>
        <w:bidi w:val="0"/>
        <w:adjustRightInd/>
        <w:spacing w:line="560" w:lineRule="exact"/>
        <w:textAlignment w:val="auto"/>
        <w:rPr>
          <w:rFonts w:hint="default" w:ascii="Times New Roman" w:hAnsi="Times New Roman" w:eastAsia="仿宋_GB2312" w:cs="Times New Roman"/>
          <w:kern w:val="2"/>
          <w:sz w:val="32"/>
          <w:szCs w:val="32"/>
          <w:lang w:val="en-US" w:eastAsia="zh-CN" w:bidi="ar-SA"/>
        </w:rPr>
      </w:pPr>
      <w:r>
        <w:rPr>
          <w:rFonts w:hint="eastAsia"/>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2.成本控制措施有效性。7个项目采取了相关成本控制措施，制定了项目监管措施和考核办法，根据以前年度考核情况，成本控制措施是有效的；另有市二中国控点家属楼油烟净化设备清洗项目、市二中国控站点精细化管控经费、非道路移动机械尾气排放监督性抽测工作3个项目无监管措施。</w:t>
      </w:r>
    </w:p>
    <w:p>
      <w:pPr>
        <w:keepNext w:val="0"/>
        <w:keepLines w:val="0"/>
        <w:pageBreakBefore w:val="0"/>
        <w:widowControl w:val="0"/>
        <w:kinsoku/>
        <w:wordWrap/>
        <w:topLinePunct w:val="0"/>
        <w:autoSpaceDE/>
        <w:autoSpaceDN/>
        <w:bidi w:val="0"/>
        <w:adjustRightInd/>
        <w:spacing w:line="560" w:lineRule="exact"/>
        <w:ind w:firstLine="640" w:firstLineChars="200"/>
        <w:outlineLvl w:val="1"/>
        <w:rPr>
          <w:rFonts w:hint="eastAsia" w:eastAsia="楷体_GB2312"/>
          <w:bCs/>
          <w:sz w:val="32"/>
          <w:szCs w:val="32"/>
          <w:lang w:val="en-US" w:eastAsia="zh-CN"/>
        </w:rPr>
      </w:pPr>
      <w:r>
        <w:rPr>
          <w:rFonts w:hint="eastAsia" w:eastAsia="楷体_GB2312"/>
          <w:bCs/>
          <w:sz w:val="32"/>
          <w:szCs w:val="32"/>
          <w:lang w:val="en-US" w:eastAsia="zh-CN"/>
        </w:rPr>
        <w:t>（三）项目目标合理性</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default"/>
          <w:sz w:val="32"/>
          <w:szCs w:val="32"/>
          <w:lang w:val="en-US" w:eastAsia="zh-CN"/>
        </w:rPr>
      </w:pPr>
      <w:r>
        <w:rPr>
          <w:rFonts w:hint="eastAsia"/>
          <w:sz w:val="32"/>
          <w:szCs w:val="32"/>
          <w:lang w:val="en-US" w:eastAsia="zh-CN"/>
        </w:rPr>
        <w:t>环保局经开区分局</w:t>
      </w:r>
      <w:r>
        <w:rPr>
          <w:rFonts w:hint="default"/>
          <w:sz w:val="32"/>
          <w:szCs w:val="32"/>
          <w:lang w:val="en-US" w:eastAsia="zh-CN"/>
        </w:rPr>
        <w:t>编制了</w:t>
      </w:r>
      <w:r>
        <w:rPr>
          <w:rFonts w:hint="eastAsia"/>
          <w:sz w:val="32"/>
          <w:szCs w:val="32"/>
          <w:lang w:val="en-US" w:eastAsia="zh-CN"/>
        </w:rPr>
        <w:t>9个项目</w:t>
      </w:r>
      <w:r>
        <w:rPr>
          <w:rFonts w:hint="default"/>
          <w:sz w:val="32"/>
          <w:szCs w:val="32"/>
          <w:lang w:val="en-US" w:eastAsia="zh-CN"/>
        </w:rPr>
        <w:t>绩效目标申报表，绩效目标设定明确，符合客观实际，</w:t>
      </w:r>
      <w:r>
        <w:rPr>
          <w:rFonts w:hint="eastAsia"/>
          <w:sz w:val="32"/>
          <w:szCs w:val="32"/>
          <w:lang w:val="en-US" w:eastAsia="zh-CN"/>
        </w:rPr>
        <w:t>指标值进行了细化、量化，</w:t>
      </w:r>
      <w:r>
        <w:rPr>
          <w:rFonts w:hint="default"/>
          <w:sz w:val="32"/>
          <w:szCs w:val="32"/>
          <w:highlight w:val="none"/>
          <w:lang w:val="en-US" w:eastAsia="zh-CN"/>
        </w:rPr>
        <w:t>资金量与实际需求</w:t>
      </w:r>
      <w:r>
        <w:rPr>
          <w:rFonts w:hint="eastAsia"/>
          <w:sz w:val="32"/>
          <w:szCs w:val="32"/>
          <w:highlight w:val="none"/>
          <w:lang w:val="en-US" w:eastAsia="zh-CN"/>
        </w:rPr>
        <w:t>基本</w:t>
      </w:r>
      <w:r>
        <w:rPr>
          <w:rFonts w:hint="default"/>
          <w:sz w:val="32"/>
          <w:szCs w:val="32"/>
          <w:highlight w:val="none"/>
          <w:lang w:val="en-US" w:eastAsia="zh-CN"/>
        </w:rPr>
        <w:t>匹配。</w:t>
      </w:r>
      <w:r>
        <w:rPr>
          <w:rFonts w:hint="eastAsia"/>
          <w:sz w:val="32"/>
          <w:szCs w:val="32"/>
          <w:highlight w:val="none"/>
          <w:lang w:val="en-US" w:eastAsia="zh-CN"/>
        </w:rPr>
        <w:t>但有8个项目的资金成本不符合</w:t>
      </w:r>
      <w:r>
        <w:rPr>
          <w:rFonts w:hint="eastAsia"/>
          <w:sz w:val="32"/>
          <w:szCs w:val="32"/>
          <w:lang w:val="en-US" w:eastAsia="zh-CN"/>
        </w:rPr>
        <w:t>实际需求：</w:t>
      </w:r>
      <w:r>
        <w:rPr>
          <w:rFonts w:hint="eastAsia"/>
          <w:b/>
          <w:bCs/>
          <w:sz w:val="32"/>
          <w:szCs w:val="32"/>
          <w:lang w:val="en-US" w:eastAsia="zh-CN"/>
        </w:rPr>
        <w:t>一是</w:t>
      </w:r>
      <w:r>
        <w:rPr>
          <w:rFonts w:hint="eastAsia"/>
          <w:sz w:val="32"/>
          <w:szCs w:val="32"/>
          <w:lang w:val="en-US" w:eastAsia="zh-CN"/>
        </w:rPr>
        <w:t>二中站点周边洒水降尘项目目标申报成本预算300万元，根据以前年度结算增值税率9%的标准，实际税率可执行6%增值税，其差额可调减7万元。</w:t>
      </w:r>
      <w:r>
        <w:rPr>
          <w:rFonts w:hint="eastAsia"/>
          <w:b/>
          <w:bCs/>
          <w:sz w:val="32"/>
          <w:szCs w:val="32"/>
          <w:lang w:val="en-US" w:eastAsia="zh-CN"/>
        </w:rPr>
        <w:t>二是</w:t>
      </w:r>
      <w:r>
        <w:rPr>
          <w:rFonts w:hint="eastAsia"/>
          <w:sz w:val="32"/>
          <w:szCs w:val="32"/>
          <w:lang w:val="en-US" w:eastAsia="zh-CN"/>
        </w:rPr>
        <w:t>“一库两湖三水”水质监测申报预算48.5万元，经走访意向采购单位，可调减1.1万元；</w:t>
      </w:r>
      <w:r>
        <w:rPr>
          <w:rFonts w:hint="eastAsia"/>
          <w:b/>
          <w:bCs/>
          <w:sz w:val="32"/>
          <w:szCs w:val="32"/>
          <w:lang w:val="en-US" w:eastAsia="zh-CN"/>
        </w:rPr>
        <w:t>三是</w:t>
      </w:r>
      <w:r>
        <w:rPr>
          <w:rFonts w:hint="eastAsia"/>
          <w:sz w:val="32"/>
          <w:szCs w:val="32"/>
          <w:lang w:val="en-US" w:eastAsia="zh-CN"/>
        </w:rPr>
        <w:t>环境污染第三方治理“环保管家”服务项目申报预算260万元，实际中标价251.35万元，可调减预算8.65万元；</w:t>
      </w:r>
      <w:r>
        <w:rPr>
          <w:rFonts w:hint="eastAsia"/>
          <w:b/>
          <w:bCs/>
          <w:sz w:val="32"/>
          <w:szCs w:val="32"/>
          <w:lang w:val="en-US" w:eastAsia="zh-CN"/>
        </w:rPr>
        <w:t>四是</w:t>
      </w:r>
      <w:r>
        <w:rPr>
          <w:rFonts w:hint="eastAsia"/>
          <w:sz w:val="32"/>
          <w:szCs w:val="32"/>
          <w:lang w:val="en-US" w:eastAsia="zh-CN"/>
        </w:rPr>
        <w:t>市二中国控点家属楼油烟净化设备清洗项目申报预算85万元，实际中标价84.32万元，可调减预算0.68万元；</w:t>
      </w:r>
      <w:r>
        <w:rPr>
          <w:rFonts w:hint="eastAsia"/>
          <w:b/>
          <w:bCs/>
          <w:sz w:val="32"/>
          <w:szCs w:val="32"/>
          <w:lang w:val="en-US" w:eastAsia="zh-CN"/>
        </w:rPr>
        <w:t>五是</w:t>
      </w:r>
      <w:r>
        <w:rPr>
          <w:rFonts w:hint="eastAsia"/>
          <w:sz w:val="32"/>
          <w:szCs w:val="32"/>
          <w:lang w:val="en-US" w:eastAsia="zh-CN"/>
        </w:rPr>
        <w:t>污水处理厂污泥检测经费申报预算48万元，经走访意向采购单位，可调减1.5万元；</w:t>
      </w:r>
      <w:r>
        <w:rPr>
          <w:rFonts w:hint="eastAsia"/>
          <w:b/>
          <w:bCs/>
          <w:sz w:val="32"/>
          <w:szCs w:val="32"/>
          <w:lang w:val="en-US" w:eastAsia="zh-CN"/>
        </w:rPr>
        <w:t>六是</w:t>
      </w:r>
      <w:r>
        <w:rPr>
          <w:rFonts w:hint="eastAsia"/>
          <w:sz w:val="32"/>
          <w:szCs w:val="32"/>
          <w:lang w:val="en-US" w:eastAsia="zh-CN"/>
        </w:rPr>
        <w:t>大气污染防治巡查申报预算49.5万元，实际中标价49.33万元，可调减0.17万元；</w:t>
      </w:r>
      <w:r>
        <w:rPr>
          <w:rFonts w:hint="eastAsia"/>
          <w:b/>
          <w:bCs/>
          <w:sz w:val="32"/>
          <w:szCs w:val="32"/>
          <w:lang w:val="en-US" w:eastAsia="zh-CN"/>
        </w:rPr>
        <w:t>七是</w:t>
      </w:r>
      <w:r>
        <w:rPr>
          <w:rFonts w:hint="eastAsia"/>
          <w:sz w:val="32"/>
          <w:szCs w:val="32"/>
          <w:lang w:val="en-US" w:eastAsia="zh-CN"/>
        </w:rPr>
        <w:t>污染源监督监测项目申报预算85万元，因有临时性项目，调增1.8万元；</w:t>
      </w:r>
      <w:r>
        <w:rPr>
          <w:rFonts w:hint="eastAsia"/>
          <w:b/>
          <w:bCs/>
          <w:sz w:val="32"/>
          <w:szCs w:val="32"/>
          <w:lang w:val="en-US" w:eastAsia="zh-CN"/>
        </w:rPr>
        <w:t>八是</w:t>
      </w:r>
      <w:r>
        <w:rPr>
          <w:rFonts w:hint="eastAsia"/>
          <w:sz w:val="32"/>
          <w:szCs w:val="32"/>
          <w:lang w:val="en-US" w:eastAsia="zh-CN"/>
        </w:rPr>
        <w:t>机动车尾气检测申报预算20.16万元，经市场问询比较，每台费用150元，全年1260台只需18.9万元，调减1.26万元。</w:t>
      </w:r>
    </w:p>
    <w:p>
      <w:pPr>
        <w:keepNext w:val="0"/>
        <w:keepLines w:val="0"/>
        <w:pageBreakBefore w:val="0"/>
        <w:widowControl w:val="0"/>
        <w:kinsoku/>
        <w:wordWrap/>
        <w:topLinePunct w:val="0"/>
        <w:autoSpaceDE/>
        <w:autoSpaceDN/>
        <w:bidi w:val="0"/>
        <w:adjustRightInd/>
        <w:spacing w:line="560" w:lineRule="exact"/>
        <w:ind w:firstLine="640" w:firstLineChars="200"/>
        <w:outlineLvl w:val="1"/>
        <w:rPr>
          <w:rFonts w:hint="eastAsia" w:eastAsia="楷体_GB2312"/>
          <w:bCs/>
          <w:sz w:val="32"/>
          <w:szCs w:val="32"/>
          <w:lang w:val="en-US" w:eastAsia="zh-CN"/>
        </w:rPr>
      </w:pPr>
      <w:r>
        <w:rPr>
          <w:rFonts w:hint="eastAsia" w:eastAsia="楷体_GB2312"/>
          <w:bCs/>
          <w:sz w:val="32"/>
          <w:szCs w:val="32"/>
          <w:lang w:val="en-US" w:eastAsia="zh-CN"/>
        </w:rPr>
        <w:t>（四）项目实施方案可行性</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default"/>
          <w:sz w:val="32"/>
          <w:szCs w:val="32"/>
          <w:lang w:val="en-US" w:eastAsia="zh-CN"/>
        </w:rPr>
      </w:pPr>
      <w:r>
        <w:rPr>
          <w:rFonts w:hint="eastAsia"/>
          <w:sz w:val="32"/>
          <w:szCs w:val="32"/>
          <w:lang w:val="en-US" w:eastAsia="zh-CN"/>
        </w:rPr>
        <w:t>1.实施内容明确。7个项目有具体实施方案，且方案内容明确、具体，与绩效目标匹配。二中国控点精细化管控、非道路移动机械尾气排放监督性抽测、机动车尾气检测3个项目无实施方案。</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CN"/>
        </w:rPr>
      </w:pPr>
      <w:r>
        <w:rPr>
          <w:rFonts w:hint="eastAsia"/>
          <w:sz w:val="32"/>
          <w:szCs w:val="32"/>
          <w:lang w:val="en-US" w:eastAsia="zh-CN"/>
        </w:rPr>
        <w:t>2.后续维护计划健全性。根据项目方案，后期维护的相关方明确、职责内容明确、清晰、资金来源明确。</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highlight w:val="none"/>
          <w:lang w:val="en-US" w:eastAsia="zh-CN"/>
        </w:rPr>
      </w:pPr>
      <w:r>
        <w:rPr>
          <w:rFonts w:hint="eastAsia"/>
          <w:sz w:val="32"/>
          <w:szCs w:val="32"/>
          <w:lang w:val="en-US" w:eastAsia="zh-CN"/>
        </w:rPr>
        <w:t>3.项目时效性</w:t>
      </w:r>
      <w:r>
        <w:rPr>
          <w:rFonts w:hint="eastAsia"/>
          <w:sz w:val="32"/>
          <w:szCs w:val="32"/>
          <w:highlight w:val="none"/>
          <w:lang w:val="en-US" w:eastAsia="zh-CN"/>
        </w:rPr>
        <w:t>。政策属于连续性项目，部分项目一次性采购3年，合同一年一签。截至事前绩效评估日，非道路移动机械尾气排放监督性抽测工作、</w:t>
      </w:r>
      <w:r>
        <w:rPr>
          <w:rFonts w:hint="eastAsia"/>
          <w:sz w:val="32"/>
          <w:szCs w:val="32"/>
          <w:lang w:val="en-US" w:eastAsia="zh-CN"/>
        </w:rPr>
        <w:t>二中国控点精细化管控</w:t>
      </w:r>
      <w:r>
        <w:rPr>
          <w:rFonts w:hint="eastAsia"/>
          <w:sz w:val="32"/>
          <w:szCs w:val="32"/>
          <w:highlight w:val="none"/>
          <w:lang w:val="en-US" w:eastAsia="zh-CN"/>
        </w:rPr>
        <w:t>2个项目尚未签订合同。</w:t>
      </w:r>
    </w:p>
    <w:p>
      <w:pPr>
        <w:pStyle w:val="11"/>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lang w:val="en-US" w:eastAsia="zh-CN"/>
        </w:rPr>
      </w:pPr>
      <w:r>
        <w:rPr>
          <w:rFonts w:hint="eastAsia"/>
          <w:sz w:val="32"/>
          <w:szCs w:val="32"/>
          <w:lang w:val="en-US" w:eastAsia="zh-CN"/>
        </w:rPr>
        <w:t xml:space="preserve">    4.方案合理性。实施方案目的和范围明确，数据来源可靠，分析方法科学，结论可行，报告内容全面。</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CN"/>
        </w:rPr>
      </w:pPr>
      <w:r>
        <w:rPr>
          <w:rFonts w:hint="eastAsia"/>
          <w:sz w:val="32"/>
          <w:szCs w:val="32"/>
          <w:lang w:val="en-US" w:eastAsia="zh-CN"/>
        </w:rPr>
        <w:t>5.过程控制有效性。为保障政策的实施，经开区管委会成立的专门管理机构：常德市生态环境局经开区分局；制定了《常德市生态环境局经开区分局资金管理办法》和《常德市生态环境局经开区分局项目管理办法》。</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default"/>
          <w:sz w:val="32"/>
          <w:szCs w:val="32"/>
          <w:lang w:val="en-US" w:eastAsia="zh-CN"/>
        </w:rPr>
      </w:pPr>
      <w:r>
        <w:rPr>
          <w:rFonts w:hint="eastAsia"/>
          <w:sz w:val="32"/>
          <w:szCs w:val="32"/>
          <w:lang w:val="en-US" w:eastAsia="zh-CN"/>
        </w:rPr>
        <w:t>工作措施（方案、规划）：为确保项目顺利实施，制定《大气巡查工作实施方案》《2023 年度常德经开区污染防治攻坚战工作方案》《2023年常德经开区生态环境保护工作要点》等</w:t>
      </w:r>
      <w:r>
        <w:rPr>
          <w:rFonts w:hint="default"/>
          <w:sz w:val="32"/>
          <w:szCs w:val="32"/>
          <w:lang w:val="en-US" w:eastAsia="zh-CN"/>
        </w:rPr>
        <w:t>。</w:t>
      </w:r>
    </w:p>
    <w:p>
      <w:pPr>
        <w:keepNext w:val="0"/>
        <w:keepLines w:val="0"/>
        <w:pageBreakBefore w:val="0"/>
        <w:widowControl w:val="0"/>
        <w:kinsoku/>
        <w:wordWrap/>
        <w:topLinePunct w:val="0"/>
        <w:autoSpaceDE/>
        <w:autoSpaceDN/>
        <w:bidi w:val="0"/>
        <w:adjustRightInd/>
        <w:spacing w:line="560" w:lineRule="exact"/>
        <w:ind w:firstLine="640" w:firstLineChars="200"/>
        <w:outlineLvl w:val="1"/>
        <w:rPr>
          <w:rFonts w:hint="eastAsia" w:eastAsia="楷体_GB2312"/>
          <w:bCs/>
          <w:sz w:val="32"/>
          <w:szCs w:val="32"/>
          <w:lang w:val="en-US" w:eastAsia="zh-CN"/>
        </w:rPr>
      </w:pPr>
      <w:r>
        <w:rPr>
          <w:rFonts w:hint="eastAsia" w:eastAsia="楷体_GB2312"/>
          <w:bCs/>
          <w:sz w:val="32"/>
          <w:szCs w:val="32"/>
          <w:lang w:val="en-US" w:eastAsia="zh-CN"/>
        </w:rPr>
        <w:t>（五）项目资金合规性</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default"/>
          <w:sz w:val="32"/>
          <w:szCs w:val="32"/>
          <w:lang w:val="en-US" w:eastAsia="zh-CN"/>
        </w:rPr>
      </w:pPr>
      <w:r>
        <w:rPr>
          <w:rFonts w:hint="default"/>
          <w:sz w:val="32"/>
          <w:szCs w:val="32"/>
          <w:lang w:val="en-US" w:eastAsia="zh-CN"/>
        </w:rPr>
        <w:t>该项目资金来源为</w:t>
      </w:r>
      <w:r>
        <w:rPr>
          <w:rFonts w:hint="eastAsia"/>
          <w:sz w:val="32"/>
          <w:szCs w:val="32"/>
          <w:lang w:val="en-US" w:eastAsia="zh-CN"/>
        </w:rPr>
        <w:t>财政资金，</w:t>
      </w:r>
      <w:r>
        <w:rPr>
          <w:rFonts w:hint="default"/>
          <w:sz w:val="32"/>
          <w:szCs w:val="32"/>
          <w:lang w:val="en-US" w:eastAsia="zh-CN"/>
        </w:rPr>
        <w:t>资金来源符合相关规定，资金筹措程序科学规范</w:t>
      </w:r>
      <w:r>
        <w:rPr>
          <w:rFonts w:hint="eastAsia"/>
          <w:sz w:val="32"/>
          <w:szCs w:val="32"/>
          <w:lang w:val="en-US" w:eastAsia="zh-CN"/>
        </w:rPr>
        <w:t>，</w:t>
      </w:r>
      <w:r>
        <w:rPr>
          <w:rFonts w:hint="default"/>
          <w:sz w:val="32"/>
          <w:szCs w:val="32"/>
          <w:lang w:val="en-US" w:eastAsia="zh-CN"/>
        </w:rPr>
        <w:t>筹资风险</w:t>
      </w:r>
      <w:r>
        <w:rPr>
          <w:rFonts w:hint="eastAsia"/>
          <w:sz w:val="32"/>
          <w:szCs w:val="32"/>
          <w:lang w:val="en-US" w:eastAsia="zh-CN"/>
        </w:rPr>
        <w:t>可控。根据以前年度项目投入情况，区财政资金配套方式和承受能力比较合理，区财政部门和其他部门没有类似项目资金重复投入，财政资金支持方式科学合理。</w:t>
      </w:r>
    </w:p>
    <w:p>
      <w:pPr>
        <w:keepNext w:val="0"/>
        <w:keepLines w:val="0"/>
        <w:pageBreakBefore w:val="0"/>
        <w:widowControl w:val="0"/>
        <w:kinsoku/>
        <w:wordWrap/>
        <w:topLinePunct w:val="0"/>
        <w:autoSpaceDE/>
        <w:autoSpaceDN/>
        <w:bidi w:val="0"/>
        <w:adjustRightInd/>
        <w:spacing w:line="560" w:lineRule="exact"/>
        <w:ind w:firstLine="640" w:firstLineChars="200"/>
        <w:outlineLvl w:val="1"/>
        <w:rPr>
          <w:rFonts w:hint="default" w:eastAsia="楷体_GB2312"/>
          <w:bCs/>
          <w:sz w:val="32"/>
          <w:szCs w:val="32"/>
          <w:lang w:val="en-US" w:eastAsia="zh-CN"/>
        </w:rPr>
      </w:pPr>
      <w:r>
        <w:rPr>
          <w:rFonts w:hint="eastAsia" w:eastAsia="楷体_GB2312"/>
          <w:bCs/>
          <w:sz w:val="32"/>
          <w:szCs w:val="32"/>
          <w:lang w:val="en-US" w:eastAsia="zh-CN"/>
        </w:rPr>
        <w:t>（六）总体评估结论</w:t>
      </w:r>
    </w:p>
    <w:p>
      <w:pPr>
        <w:pStyle w:val="26"/>
        <w:tabs>
          <w:tab w:val="left" w:pos="1623"/>
        </w:tabs>
        <w:spacing w:line="520" w:lineRule="exact"/>
        <w:ind w:firstLine="640" w:firstLineChars="200"/>
        <w:rPr>
          <w:sz w:val="32"/>
          <w:szCs w:val="32"/>
          <w:highlight w:val="none"/>
        </w:rPr>
      </w:pPr>
      <w:r>
        <w:rPr>
          <w:rFonts w:hint="eastAsia" w:ascii="Times New Roman" w:hAnsi="Times New Roman" w:eastAsia="仿宋_GB2312" w:cs="Times New Roman"/>
          <w:kern w:val="2"/>
          <w:sz w:val="32"/>
          <w:szCs w:val="32"/>
          <w:lang w:val="en-US" w:eastAsia="zh-CN" w:bidi="ar-SA"/>
        </w:rPr>
        <w:t>本次事前评估采取百分制，</w:t>
      </w:r>
      <w:r>
        <w:rPr>
          <w:rFonts w:hint="eastAsia" w:ascii="Times New Roman" w:hAnsi="Times New Roman" w:eastAsia="仿宋_GB2312" w:cs="Times New Roman"/>
          <w:kern w:val="2"/>
          <w:sz w:val="32"/>
          <w:szCs w:val="32"/>
          <w:lang w:val="en-US" w:eastAsia="zh-Hans" w:bidi="ar-SA"/>
        </w:rPr>
        <w:t>评估工作组从项目立项的必要性、投入经济性、绩效目标合理性、实施方案可行性、筹资合规性这五个维度</w:t>
      </w:r>
      <w:r>
        <w:rPr>
          <w:rFonts w:hint="eastAsia" w:ascii="Times New Roman" w:hAnsi="Times New Roman" w:eastAsia="仿宋_GB2312" w:cs="Times New Roman"/>
          <w:kern w:val="2"/>
          <w:sz w:val="32"/>
          <w:szCs w:val="32"/>
          <w:lang w:val="en-US" w:eastAsia="zh-CN" w:bidi="ar-SA"/>
        </w:rPr>
        <w:t>进行评估，综合得分为85.5分，评估等级为“良”。</w:t>
      </w:r>
      <w:r>
        <w:rPr>
          <w:rFonts w:hint="eastAsia"/>
          <w:sz w:val="32"/>
          <w:szCs w:val="32"/>
          <w:lang w:val="en-US" w:eastAsia="zh-CN"/>
        </w:rPr>
        <w:t>具体明细如下：</w:t>
      </w:r>
    </w:p>
    <w:p>
      <w:pPr>
        <w:keepNext w:val="0"/>
        <w:keepLines w:val="0"/>
        <w:pageBreakBefore w:val="0"/>
        <w:widowControl w:val="0"/>
        <w:kinsoku/>
        <w:wordWrap/>
        <w:overflowPunct w:val="0"/>
        <w:topLinePunct w:val="0"/>
        <w:autoSpaceDE/>
        <w:autoSpaceDN/>
        <w:bidi w:val="0"/>
        <w:adjustRightInd/>
        <w:spacing w:line="560" w:lineRule="exact"/>
        <w:ind w:firstLine="482"/>
        <w:rPr>
          <w:rFonts w:hint="eastAsia"/>
          <w:sz w:val="32"/>
          <w:szCs w:val="32"/>
          <w:lang w:val="en-US" w:eastAsia="zh-CN"/>
        </w:rPr>
      </w:pPr>
      <w:bookmarkStart w:id="33" w:name="_Toc92350416"/>
      <w:r>
        <w:rPr>
          <w:rFonts w:hint="eastAsia"/>
          <w:sz w:val="32"/>
          <w:szCs w:val="32"/>
          <w:lang w:val="en-US" w:eastAsia="zh-CN"/>
        </w:rPr>
        <w:t>1.立项必要性20分，实得20分。</w:t>
      </w:r>
      <w:bookmarkEnd w:id="33"/>
    </w:p>
    <w:p>
      <w:pPr>
        <w:keepNext w:val="0"/>
        <w:keepLines w:val="0"/>
        <w:pageBreakBefore w:val="0"/>
        <w:widowControl w:val="0"/>
        <w:kinsoku/>
        <w:wordWrap/>
        <w:overflowPunct w:val="0"/>
        <w:topLinePunct w:val="0"/>
        <w:autoSpaceDE/>
        <w:autoSpaceDN/>
        <w:bidi w:val="0"/>
        <w:adjustRightInd/>
        <w:spacing w:line="560" w:lineRule="exact"/>
        <w:ind w:firstLine="482"/>
        <w:rPr>
          <w:rFonts w:hint="eastAsia"/>
          <w:sz w:val="32"/>
          <w:szCs w:val="32"/>
          <w:lang w:val="en-US" w:eastAsia="zh-CN"/>
        </w:rPr>
      </w:pPr>
      <w:bookmarkStart w:id="34" w:name="_Toc92350417"/>
      <w:r>
        <w:rPr>
          <w:rFonts w:hint="eastAsia"/>
          <w:sz w:val="32"/>
          <w:szCs w:val="32"/>
          <w:lang w:val="en-US" w:eastAsia="zh-CN"/>
        </w:rPr>
        <w:t>2.投入经济性20分，实得12分。8个项目成本测算欠合理，3个项目无考核监管制度，扣8分。</w:t>
      </w:r>
      <w:bookmarkEnd w:id="34"/>
    </w:p>
    <w:p>
      <w:pPr>
        <w:keepNext w:val="0"/>
        <w:keepLines w:val="0"/>
        <w:pageBreakBefore w:val="0"/>
        <w:widowControl w:val="0"/>
        <w:kinsoku/>
        <w:wordWrap/>
        <w:overflowPunct w:val="0"/>
        <w:topLinePunct w:val="0"/>
        <w:autoSpaceDE/>
        <w:autoSpaceDN/>
        <w:bidi w:val="0"/>
        <w:adjustRightInd/>
        <w:spacing w:line="560" w:lineRule="exact"/>
        <w:ind w:firstLine="482"/>
        <w:rPr>
          <w:rFonts w:hint="default"/>
          <w:sz w:val="32"/>
          <w:szCs w:val="32"/>
          <w:lang w:val="en-US" w:eastAsia="zh-CN"/>
        </w:rPr>
      </w:pPr>
      <w:bookmarkStart w:id="35" w:name="_Toc92350418"/>
      <w:r>
        <w:rPr>
          <w:rFonts w:hint="eastAsia"/>
          <w:sz w:val="32"/>
          <w:szCs w:val="32"/>
          <w:lang w:val="en-US" w:eastAsia="zh-CN"/>
        </w:rPr>
        <w:t>3.目标合理性20分，实得18分。市二中国控站点精细化管控项目无目标扣2分。</w:t>
      </w:r>
    </w:p>
    <w:p>
      <w:pPr>
        <w:keepNext w:val="0"/>
        <w:keepLines w:val="0"/>
        <w:pageBreakBefore w:val="0"/>
        <w:widowControl w:val="0"/>
        <w:kinsoku/>
        <w:wordWrap/>
        <w:overflowPunct w:val="0"/>
        <w:topLinePunct w:val="0"/>
        <w:autoSpaceDE/>
        <w:autoSpaceDN/>
        <w:bidi w:val="0"/>
        <w:adjustRightInd/>
        <w:spacing w:line="560" w:lineRule="exact"/>
        <w:ind w:firstLine="482"/>
        <w:rPr>
          <w:rFonts w:hint="eastAsia"/>
          <w:sz w:val="32"/>
          <w:szCs w:val="32"/>
          <w:lang w:val="en-US" w:eastAsia="zh-CN"/>
        </w:rPr>
      </w:pPr>
      <w:r>
        <w:rPr>
          <w:rFonts w:hint="eastAsia"/>
          <w:sz w:val="32"/>
          <w:szCs w:val="32"/>
          <w:lang w:val="en-US" w:eastAsia="zh-CN"/>
        </w:rPr>
        <w:t>4.实施方案可行性25分，实得20.5分。3个项目无实施方案扣4.5分。</w:t>
      </w:r>
      <w:bookmarkEnd w:id="35"/>
    </w:p>
    <w:p>
      <w:pPr>
        <w:keepNext w:val="0"/>
        <w:keepLines w:val="0"/>
        <w:pageBreakBefore w:val="0"/>
        <w:widowControl w:val="0"/>
        <w:kinsoku/>
        <w:wordWrap/>
        <w:overflowPunct w:val="0"/>
        <w:topLinePunct w:val="0"/>
        <w:autoSpaceDE/>
        <w:autoSpaceDN/>
        <w:bidi w:val="0"/>
        <w:adjustRightInd/>
        <w:spacing w:line="560" w:lineRule="exact"/>
        <w:ind w:firstLine="482"/>
        <w:rPr>
          <w:rFonts w:hint="eastAsia"/>
          <w:sz w:val="32"/>
          <w:szCs w:val="32"/>
          <w:lang w:val="en-US" w:eastAsia="zh-CN"/>
        </w:rPr>
      </w:pPr>
      <w:bookmarkStart w:id="36" w:name="_Toc92350419"/>
      <w:r>
        <w:rPr>
          <w:rFonts w:hint="eastAsia"/>
          <w:sz w:val="32"/>
          <w:szCs w:val="32"/>
          <w:lang w:val="en-US" w:eastAsia="zh-CN"/>
        </w:rPr>
        <w:t>5.筹资合规性15分，实得15分。</w:t>
      </w:r>
      <w:bookmarkEnd w:id="36"/>
    </w:p>
    <w:p>
      <w:pPr>
        <w:keepNext w:val="0"/>
        <w:keepLines w:val="0"/>
        <w:pageBreakBefore w:val="0"/>
        <w:widowControl w:val="0"/>
        <w:kinsoku/>
        <w:wordWrap/>
        <w:topLinePunct w:val="0"/>
        <w:autoSpaceDE/>
        <w:autoSpaceDN/>
        <w:bidi w:val="0"/>
        <w:adjustRightInd/>
        <w:spacing w:line="560" w:lineRule="exact"/>
        <w:ind w:firstLine="320" w:firstLineChars="100"/>
        <w:jc w:val="left"/>
        <w:textAlignment w:val="baseline"/>
        <w:rPr>
          <w:rFonts w:hint="eastAsia" w:ascii="仿宋_GB2312" w:hAnsi="仿宋_GB2312" w:eastAsia="仿宋_GB2312" w:cs="仿宋_GB2312"/>
          <w:sz w:val="32"/>
          <w:szCs w:val="32"/>
          <w:highlight w:val="none"/>
        </w:rPr>
      </w:pPr>
      <w:bookmarkStart w:id="37" w:name="_Toc92350421"/>
      <w:r>
        <w:rPr>
          <w:rFonts w:hint="eastAsia" w:ascii="仿宋_GB2312" w:hAnsi="仿宋_GB2312" w:eastAsia="仿宋_GB2312" w:cs="仿宋_GB2312"/>
          <w:sz w:val="32"/>
          <w:szCs w:val="32"/>
          <w:highlight w:val="none"/>
        </w:rPr>
        <w:t>详见附件</w:t>
      </w:r>
      <w:bookmarkEnd w:id="37"/>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cs="仿宋_GB2312"/>
          <w:sz w:val="32"/>
          <w:szCs w:val="32"/>
          <w:highlight w:val="none"/>
          <w:lang w:val="en-US" w:eastAsia="zh-CN"/>
        </w:rPr>
        <w:t>项目</w:t>
      </w:r>
      <w:r>
        <w:rPr>
          <w:rFonts w:hint="eastAsia" w:ascii="仿宋_GB2312" w:hAnsi="仿宋_GB2312" w:eastAsia="仿宋_GB2312" w:cs="仿宋_GB2312"/>
          <w:color w:val="000000"/>
          <w:sz w:val="32"/>
          <w:szCs w:val="32"/>
          <w:highlight w:val="none"/>
        </w:rPr>
        <w:t>事前绩效评估指标体系</w:t>
      </w:r>
    </w:p>
    <w:p>
      <w:pPr>
        <w:keepNext w:val="0"/>
        <w:keepLines w:val="0"/>
        <w:pageBreakBefore w:val="0"/>
        <w:widowControl w:val="0"/>
        <w:kinsoku/>
        <w:wordWrap/>
        <w:topLinePunct w:val="0"/>
        <w:autoSpaceDE/>
        <w:autoSpaceDN/>
        <w:bidi w:val="0"/>
        <w:adjustRightInd/>
        <w:spacing w:line="560" w:lineRule="exact"/>
        <w:ind w:firstLine="640" w:firstLineChars="200"/>
        <w:outlineLvl w:val="0"/>
        <w:rPr>
          <w:rFonts w:eastAsia="黑体"/>
          <w:bCs/>
          <w:sz w:val="32"/>
          <w:szCs w:val="32"/>
        </w:rPr>
      </w:pPr>
      <w:r>
        <w:rPr>
          <w:rFonts w:eastAsia="黑体"/>
          <w:bCs/>
          <w:sz w:val="32"/>
          <w:szCs w:val="32"/>
        </w:rPr>
        <w:t>四、评估的相关建议</w:t>
      </w:r>
    </w:p>
    <w:p>
      <w:pPr>
        <w:pStyle w:val="26"/>
        <w:tabs>
          <w:tab w:val="left" w:pos="1623"/>
        </w:tabs>
        <w:spacing w:line="520" w:lineRule="exact"/>
        <w:ind w:firstLine="600" w:firstLineChars="200"/>
        <w:rPr>
          <w:rFonts w:ascii="Times New Roman Regular" w:hAnsi="Times New Roman Regular" w:eastAsia="仿宋" w:cs="Times New Roman Regular"/>
          <w:kern w:val="2"/>
          <w:sz w:val="32"/>
          <w:szCs w:val="32"/>
          <w:highlight w:val="none"/>
          <w:u w:val="none"/>
          <w:lang w:val="en-US" w:eastAsia="zh-CN" w:bidi="ar-SA"/>
        </w:rPr>
      </w:pPr>
      <w:r>
        <w:rPr>
          <w:rFonts w:hint="eastAsia"/>
          <w:lang w:val="en-US" w:eastAsia="zh-CN"/>
        </w:rPr>
        <w:t>环保项目适应经开区经济发展的迫切需求，但考虑到目前园区的环境条件，地方财政严重吃紧的特殊时期，可在满足上级环保督查、测评基本要求前提下，对该项目相关成本指标及前期方案进行修订完善。具体建议如下：</w:t>
      </w:r>
    </w:p>
    <w:p>
      <w:pPr>
        <w:keepNext w:val="0"/>
        <w:keepLines w:val="0"/>
        <w:pageBreakBefore w:val="0"/>
        <w:widowControl w:val="0"/>
        <w:kinsoku/>
        <w:wordWrap/>
        <w:overflowPunct w:val="0"/>
        <w:topLinePunct w:val="0"/>
        <w:autoSpaceDE/>
        <w:autoSpaceDN/>
        <w:bidi w:val="0"/>
        <w:adjustRightInd/>
        <w:spacing w:line="560" w:lineRule="exact"/>
        <w:ind w:firstLine="640" w:firstLineChars="200"/>
        <w:outlineLvl w:val="1"/>
        <w:rPr>
          <w:rFonts w:hint="eastAsia"/>
          <w:sz w:val="32"/>
          <w:szCs w:val="32"/>
          <w:lang w:val="en-US" w:eastAsia="zh-CN"/>
        </w:rPr>
      </w:pPr>
      <w:r>
        <w:rPr>
          <w:rFonts w:hint="eastAsia" w:eastAsia="楷体_GB2312"/>
          <w:bCs/>
          <w:sz w:val="32"/>
          <w:szCs w:val="32"/>
          <w:lang w:val="en-US" w:eastAsia="zh-CN"/>
        </w:rPr>
        <w:t>（一）合理调减预算，取消非必要支出</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default"/>
          <w:sz w:val="32"/>
          <w:szCs w:val="32"/>
          <w:lang w:val="en-US" w:eastAsia="zh-CN"/>
        </w:rPr>
      </w:pPr>
      <w:r>
        <w:rPr>
          <w:rFonts w:hint="eastAsia"/>
          <w:sz w:val="32"/>
          <w:szCs w:val="32"/>
          <w:lang w:val="en-US" w:eastAsia="zh-CN"/>
        </w:rPr>
        <w:t>经初步测算，10个专项2023年建议预算安排933.3万元，比年初预算调减18.56万元。其中二中站点周边洒水降尘项目调减7万元；“一库两湖三水”水质监测调减1.1万元；环境污染第三方治理“环保管家”服务项目调减8.65万元；市二中国控点家属楼油烟净化设备清洗项目调减0.68万元；污水处理厂污泥检测经费调减1.5万元；大气污染防治巡查调减0.17万元；污染源监督监测项目调增1.8万元；机动车尾气检测调减1.26万元。</w:t>
      </w:r>
    </w:p>
    <w:p>
      <w:pPr>
        <w:keepNext w:val="0"/>
        <w:keepLines w:val="0"/>
        <w:pageBreakBefore w:val="0"/>
        <w:widowControl w:val="0"/>
        <w:kinsoku/>
        <w:wordWrap/>
        <w:overflowPunct w:val="0"/>
        <w:topLinePunct w:val="0"/>
        <w:autoSpaceDE/>
        <w:autoSpaceDN/>
        <w:bidi w:val="0"/>
        <w:adjustRightInd/>
        <w:spacing w:line="560" w:lineRule="exact"/>
        <w:ind w:firstLine="640" w:firstLineChars="200"/>
        <w:outlineLvl w:val="1"/>
        <w:rPr>
          <w:rFonts w:hint="eastAsia" w:eastAsia="楷体_GB2312"/>
          <w:bCs/>
          <w:sz w:val="32"/>
          <w:szCs w:val="32"/>
          <w:lang w:val="en-US" w:eastAsia="zh-CN"/>
        </w:rPr>
      </w:pPr>
      <w:r>
        <w:rPr>
          <w:rFonts w:hint="eastAsia" w:eastAsia="楷体_GB2312"/>
          <w:bCs/>
          <w:sz w:val="32"/>
          <w:szCs w:val="32"/>
          <w:lang w:val="en-US" w:eastAsia="zh-CN"/>
        </w:rPr>
        <w:t>（二）</w:t>
      </w:r>
      <w:r>
        <w:rPr>
          <w:rFonts w:hint="default" w:eastAsia="楷体_GB2312"/>
          <w:bCs/>
          <w:sz w:val="32"/>
          <w:szCs w:val="32"/>
          <w:lang w:val="en-US" w:eastAsia="zh-CN"/>
        </w:rPr>
        <w:t>加强</w:t>
      </w:r>
      <w:r>
        <w:rPr>
          <w:rFonts w:hint="eastAsia" w:eastAsia="楷体_GB2312"/>
          <w:bCs/>
          <w:sz w:val="32"/>
          <w:szCs w:val="32"/>
          <w:lang w:val="en-US" w:eastAsia="zh-CN"/>
        </w:rPr>
        <w:t>成本管控，论证资金需求</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default"/>
          <w:sz w:val="32"/>
          <w:szCs w:val="32"/>
          <w:lang w:val="en-US" w:eastAsia="zh-CN"/>
        </w:rPr>
      </w:pPr>
      <w:r>
        <w:rPr>
          <w:rFonts w:hint="eastAsia"/>
          <w:sz w:val="32"/>
          <w:szCs w:val="32"/>
          <w:lang w:val="en-US" w:eastAsia="zh-CN"/>
        </w:rPr>
        <w:t>根据项目实施方案中环保工作内容、工作范围、工作时限、需达到的效果等资料，由专家提出成本需求论证，对项目成本进行合理估算，提出申请时附成本测算表，以此作为招标控制价进行招标</w:t>
      </w:r>
      <w:r>
        <w:rPr>
          <w:rFonts w:hint="default"/>
          <w:sz w:val="32"/>
          <w:szCs w:val="32"/>
          <w:lang w:val="en-US" w:eastAsia="zh-CN"/>
        </w:rPr>
        <w:t>。</w:t>
      </w:r>
      <w:r>
        <w:rPr>
          <w:rFonts w:hint="eastAsia"/>
          <w:sz w:val="32"/>
          <w:szCs w:val="32"/>
          <w:lang w:val="en-US" w:eastAsia="zh-CN"/>
        </w:rPr>
        <w:t>同时参考以前年度预算执行情况、考评情况进行调整。</w:t>
      </w:r>
    </w:p>
    <w:p>
      <w:pPr>
        <w:keepNext w:val="0"/>
        <w:keepLines w:val="0"/>
        <w:pageBreakBefore w:val="0"/>
        <w:widowControl w:val="0"/>
        <w:kinsoku/>
        <w:wordWrap/>
        <w:overflowPunct w:val="0"/>
        <w:topLinePunct w:val="0"/>
        <w:autoSpaceDE/>
        <w:autoSpaceDN/>
        <w:bidi w:val="0"/>
        <w:adjustRightInd/>
        <w:spacing w:line="560" w:lineRule="exact"/>
        <w:ind w:firstLine="640" w:firstLineChars="200"/>
        <w:outlineLvl w:val="1"/>
        <w:rPr>
          <w:rFonts w:hint="default" w:eastAsia="楷体_GB2312"/>
          <w:bCs/>
          <w:sz w:val="32"/>
          <w:szCs w:val="32"/>
          <w:lang w:val="en-US" w:eastAsia="zh-CN"/>
        </w:rPr>
      </w:pPr>
      <w:r>
        <w:rPr>
          <w:rFonts w:hint="eastAsia" w:eastAsia="楷体_GB2312"/>
          <w:bCs/>
          <w:sz w:val="32"/>
          <w:szCs w:val="32"/>
          <w:lang w:val="en-US" w:eastAsia="zh-CN"/>
        </w:rPr>
        <w:t>（三）完善实施方案，制定监管办法</w:t>
      </w:r>
    </w:p>
    <w:p>
      <w:pPr>
        <w:keepNext w:val="0"/>
        <w:keepLines w:val="0"/>
        <w:pageBreakBefore w:val="0"/>
        <w:widowControl w:val="0"/>
        <w:kinsoku/>
        <w:wordWrap/>
        <w:overflowPunct w:val="0"/>
        <w:topLinePunct w:val="0"/>
        <w:autoSpaceDE/>
        <w:autoSpaceDN/>
        <w:bidi w:val="0"/>
        <w:adjustRightInd/>
        <w:spacing w:line="560" w:lineRule="exact"/>
        <w:ind w:firstLine="640" w:firstLineChars="200"/>
        <w:rPr>
          <w:rFonts w:hint="eastAsia"/>
          <w:sz w:val="32"/>
          <w:szCs w:val="32"/>
          <w:lang w:val="en-US" w:eastAsia="zh-CN"/>
        </w:rPr>
      </w:pPr>
      <w:r>
        <w:rPr>
          <w:rFonts w:hint="default"/>
          <w:sz w:val="32"/>
          <w:szCs w:val="32"/>
          <w:lang w:val="en-US" w:eastAsia="zh-Hans"/>
        </w:rPr>
        <w:t>为保障</w:t>
      </w:r>
      <w:r>
        <w:rPr>
          <w:rFonts w:hint="default"/>
          <w:sz w:val="32"/>
          <w:szCs w:val="32"/>
          <w:lang w:val="en-US" w:eastAsia="zh-CN"/>
        </w:rPr>
        <w:t>项目建设的顺利实施和取得预期效果，</w:t>
      </w:r>
      <w:r>
        <w:rPr>
          <w:rFonts w:hint="eastAsia"/>
          <w:sz w:val="32"/>
          <w:szCs w:val="32"/>
          <w:lang w:val="en-US" w:eastAsia="zh-CN"/>
        </w:rPr>
        <w:t>环保经开区分局</w:t>
      </w:r>
      <w:r>
        <w:rPr>
          <w:rFonts w:hint="default"/>
          <w:sz w:val="32"/>
          <w:szCs w:val="32"/>
          <w:lang w:val="en-US" w:eastAsia="zh-Hans"/>
        </w:rPr>
        <w:t>应明确项目的目标、范围、内容和实现的效果、确定项目实施计划、明确项目管理组织机构和职责等，从以上方面完善</w:t>
      </w:r>
      <w:r>
        <w:rPr>
          <w:rFonts w:hint="eastAsia"/>
          <w:sz w:val="32"/>
          <w:szCs w:val="32"/>
          <w:lang w:val="en-US" w:eastAsia="zh-CN"/>
        </w:rPr>
        <w:t>各</w:t>
      </w:r>
      <w:r>
        <w:rPr>
          <w:rFonts w:hint="default"/>
          <w:sz w:val="32"/>
          <w:szCs w:val="32"/>
          <w:lang w:val="en-US" w:eastAsia="zh-Hans"/>
        </w:rPr>
        <w:t>项目的实施方案。同时，还需要对项目实施过程中可能出现的风险和问题进行预判和评估，并制定相应的应对措施。为保障项目</w:t>
      </w:r>
      <w:r>
        <w:rPr>
          <w:rFonts w:hint="eastAsia"/>
          <w:sz w:val="32"/>
          <w:szCs w:val="32"/>
          <w:lang w:val="en-US" w:eastAsia="zh-CN"/>
        </w:rPr>
        <w:t>实施后对第三方进行考核，</w:t>
      </w:r>
      <w:r>
        <w:rPr>
          <w:rFonts w:hint="default"/>
          <w:sz w:val="32"/>
          <w:szCs w:val="32"/>
          <w:lang w:val="en-US" w:eastAsia="zh-Hans"/>
        </w:rPr>
        <w:t>应制定</w:t>
      </w:r>
      <w:r>
        <w:rPr>
          <w:rFonts w:hint="default"/>
          <w:sz w:val="32"/>
          <w:szCs w:val="32"/>
          <w:lang w:val="en-US" w:eastAsia="zh-CN"/>
        </w:rPr>
        <w:t>一套完整的管理制度和监督机制，加强</w:t>
      </w:r>
      <w:r>
        <w:rPr>
          <w:rFonts w:hint="eastAsia"/>
          <w:sz w:val="32"/>
          <w:szCs w:val="32"/>
          <w:lang w:val="en-US" w:eastAsia="zh-CN"/>
        </w:rPr>
        <w:t>对第三方购买服务机构的</w:t>
      </w:r>
      <w:r>
        <w:rPr>
          <w:rFonts w:hint="default"/>
          <w:sz w:val="32"/>
          <w:szCs w:val="32"/>
          <w:lang w:val="en-US" w:eastAsia="zh-CN"/>
        </w:rPr>
        <w:t>管理。</w:t>
      </w:r>
    </w:p>
    <w:p>
      <w:pPr>
        <w:keepNext w:val="0"/>
        <w:keepLines w:val="0"/>
        <w:pageBreakBefore w:val="0"/>
        <w:widowControl w:val="0"/>
        <w:kinsoku/>
        <w:wordWrap/>
        <w:topLinePunct w:val="0"/>
        <w:autoSpaceDE/>
        <w:autoSpaceDN/>
        <w:bidi w:val="0"/>
        <w:adjustRightInd/>
        <w:spacing w:line="560" w:lineRule="exact"/>
        <w:ind w:firstLine="640" w:firstLineChars="200"/>
        <w:outlineLvl w:val="0"/>
        <w:rPr>
          <w:rFonts w:eastAsia="黑体"/>
          <w:bCs/>
          <w:sz w:val="32"/>
          <w:szCs w:val="32"/>
        </w:rPr>
      </w:pPr>
      <w:r>
        <w:rPr>
          <w:rFonts w:eastAsia="黑体"/>
          <w:bCs/>
          <w:sz w:val="32"/>
          <w:szCs w:val="32"/>
        </w:rPr>
        <w:t>五、其他需要说明的问题</w:t>
      </w:r>
    </w:p>
    <w:p>
      <w:pPr>
        <w:pStyle w:val="26"/>
        <w:tabs>
          <w:tab w:val="left" w:pos="1623"/>
        </w:tabs>
        <w:spacing w:line="520" w:lineRule="exact"/>
        <w:ind w:firstLine="640" w:firstLineChars="200"/>
        <w:rPr>
          <w:rFonts w:hint="eastAsia"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一</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事前绩效评估是财政部门和预算部门、单位，根据国家及省</w:t>
      </w:r>
      <w:r>
        <w:rPr>
          <w:rFonts w:hint="eastAsia" w:ascii="Times New Roman" w:hAnsi="Times New Roman" w:eastAsia="仿宋_GB2312" w:cs="Times New Roman"/>
          <w:kern w:val="2"/>
          <w:sz w:val="32"/>
          <w:szCs w:val="32"/>
          <w:lang w:val="en-US" w:eastAsia="zh-CN" w:bidi="ar-SA"/>
        </w:rPr>
        <w:t>市</w:t>
      </w:r>
      <w:r>
        <w:rPr>
          <w:rFonts w:hint="eastAsia" w:ascii="Times New Roman" w:hAnsi="Times New Roman" w:eastAsia="仿宋_GB2312" w:cs="Times New Roman"/>
          <w:kern w:val="2"/>
          <w:sz w:val="32"/>
          <w:szCs w:val="32"/>
          <w:lang w:val="en-US" w:eastAsia="zh-Hans" w:bidi="ar-SA"/>
        </w:rPr>
        <w:t>决策部署和政策要求、部门战略和事业发展规划等，运用科学、合理的评估方法，对拟新增的重大政策和项目设立必要性、投入经济性、绩效目标合理性、实施方案可行性、筹资合规性等方面进行客观、公正的评估。</w:t>
      </w:r>
    </w:p>
    <w:p>
      <w:pPr>
        <w:pStyle w:val="26"/>
        <w:tabs>
          <w:tab w:val="left" w:pos="1623"/>
        </w:tabs>
        <w:spacing w:line="520" w:lineRule="exact"/>
        <w:ind w:firstLine="640" w:firstLineChars="200"/>
        <w:rPr>
          <w:rFonts w:hint="eastAsia"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二</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事前绩效评估的目的是确定项目是否具有可行性，是否符合国家政策和规定，是否合理、有效地利用资源，以及项目实施过程中可能遇到的问题和风险，帮助政策制定者、项目管理人员和其他利益相关者更好地了解计划或项目的风险、成本和效益，以便做出更好的决策。</w:t>
      </w:r>
    </w:p>
    <w:p>
      <w:pPr>
        <w:pStyle w:val="26"/>
        <w:tabs>
          <w:tab w:val="left" w:pos="1623"/>
        </w:tabs>
        <w:spacing w:line="520" w:lineRule="exact"/>
        <w:ind w:firstLine="640" w:firstLineChars="200"/>
        <w:rPr>
          <w:rFonts w:hint="eastAsia"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三</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事前绩效评估一般基于项目立项之前的资料进行评估，主要包括项目的申请书、可行性研究报告、预算、计划书等。评估的时间点一般是在项目立项之前，以确保在项目实施之前对项目进行全面评估，为项目决策提供科学依据。</w:t>
      </w:r>
    </w:p>
    <w:p>
      <w:pPr>
        <w:pStyle w:val="26"/>
        <w:tabs>
          <w:tab w:val="left" w:pos="1623"/>
        </w:tabs>
        <w:spacing w:line="520" w:lineRule="exact"/>
        <w:ind w:firstLine="640" w:firstLineChars="200"/>
        <w:rPr>
          <w:rFonts w:hint="eastAsia"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四</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本次事前绩效评估报告评估时点为2023年</w:t>
      </w:r>
      <w:r>
        <w:rPr>
          <w:rFonts w:hint="eastAsia" w:ascii="Times New Roman" w:hAnsi="Times New Roman" w:eastAsia="仿宋_GB2312" w:cs="Times New Roman"/>
          <w:kern w:val="2"/>
          <w:sz w:val="32"/>
          <w:szCs w:val="32"/>
          <w:lang w:val="en-US" w:eastAsia="zh-CN" w:bidi="ar-SA"/>
        </w:rPr>
        <w:t>10</w:t>
      </w:r>
      <w:r>
        <w:rPr>
          <w:rFonts w:hint="eastAsia" w:ascii="Times New Roman" w:hAnsi="Times New Roman" w:eastAsia="仿宋_GB2312" w:cs="Times New Roman"/>
          <w:kern w:val="2"/>
          <w:sz w:val="32"/>
          <w:szCs w:val="32"/>
          <w:lang w:val="en-US" w:eastAsia="zh-Hans" w:bidi="ar-SA"/>
        </w:rPr>
        <w:t>月20日，</w:t>
      </w:r>
      <w:r>
        <w:rPr>
          <w:rFonts w:hint="eastAsia" w:ascii="Times New Roman" w:hAnsi="Times New Roman" w:eastAsia="仿宋_GB2312" w:cs="Times New Roman"/>
          <w:kern w:val="2"/>
          <w:sz w:val="32"/>
          <w:szCs w:val="32"/>
          <w:lang w:val="en-US" w:eastAsia="zh-CN" w:bidi="ar-SA"/>
        </w:rPr>
        <w:t>由于是连续性政府购买服务项目，</w:t>
      </w:r>
      <w:r>
        <w:rPr>
          <w:rFonts w:hint="eastAsia" w:ascii="Times New Roman" w:hAnsi="Times New Roman" w:eastAsia="仿宋_GB2312" w:cs="Times New Roman"/>
          <w:kern w:val="2"/>
          <w:sz w:val="32"/>
          <w:szCs w:val="32"/>
          <w:lang w:val="en-US" w:eastAsia="zh-Hans" w:bidi="ar-SA"/>
        </w:rPr>
        <w:t>截至评估日</w:t>
      </w:r>
      <w:r>
        <w:rPr>
          <w:rFonts w:hint="eastAsia" w:ascii="Times New Roman" w:hAnsi="Times New Roman" w:eastAsia="仿宋_GB2312" w:cs="Times New Roman"/>
          <w:kern w:val="2"/>
          <w:sz w:val="32"/>
          <w:szCs w:val="32"/>
          <w:lang w:val="en-US" w:eastAsia="zh-CN" w:bidi="ar-SA"/>
        </w:rPr>
        <w:t>有8个</w:t>
      </w:r>
      <w:r>
        <w:rPr>
          <w:rFonts w:hint="eastAsia" w:ascii="Times New Roman" w:hAnsi="Times New Roman" w:eastAsia="仿宋_GB2312" w:cs="Times New Roman"/>
          <w:kern w:val="2"/>
          <w:sz w:val="32"/>
          <w:szCs w:val="32"/>
          <w:lang w:val="en-US" w:eastAsia="zh-Hans" w:bidi="ar-SA"/>
        </w:rPr>
        <w:t>项目已</w:t>
      </w:r>
      <w:r>
        <w:rPr>
          <w:rFonts w:hint="eastAsia" w:ascii="Times New Roman" w:hAnsi="Times New Roman" w:eastAsia="仿宋_GB2312" w:cs="Times New Roman"/>
          <w:kern w:val="2"/>
          <w:sz w:val="32"/>
          <w:szCs w:val="32"/>
          <w:lang w:val="en-US" w:eastAsia="zh-CN" w:bidi="ar-SA"/>
        </w:rPr>
        <w:t>通过公开招标确定了服务机构并签订了合同</w:t>
      </w:r>
      <w:r>
        <w:rPr>
          <w:rFonts w:hint="eastAsia" w:ascii="Times New Roman" w:hAnsi="Times New Roman" w:eastAsia="仿宋_GB2312" w:cs="Times New Roman"/>
          <w:kern w:val="2"/>
          <w:sz w:val="32"/>
          <w:szCs w:val="32"/>
          <w:lang w:val="en-US" w:eastAsia="zh-Hans" w:bidi="ar-SA"/>
        </w:rPr>
        <w:t>。</w:t>
      </w:r>
    </w:p>
    <w:p>
      <w:pPr>
        <w:pStyle w:val="26"/>
        <w:tabs>
          <w:tab w:val="left" w:pos="1623"/>
        </w:tabs>
        <w:spacing w:line="520" w:lineRule="exact"/>
        <w:ind w:firstLine="640" w:firstLineChars="200"/>
        <w:rPr>
          <w:rFonts w:hint="eastAsia"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五</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本次事前绩效评估基于评估时点项目单位提供的资料及沟通情况开展，主要包括</w:t>
      </w:r>
      <w:r>
        <w:rPr>
          <w:rFonts w:hint="eastAsia" w:ascii="Times New Roman" w:hAnsi="Times New Roman" w:eastAsia="仿宋_GB2312" w:cs="Times New Roman"/>
          <w:kern w:val="2"/>
          <w:sz w:val="32"/>
          <w:szCs w:val="32"/>
          <w:lang w:val="en-US" w:eastAsia="zh-CN" w:bidi="ar-SA"/>
        </w:rPr>
        <w:t>项目申请报告、实施方案</w:t>
      </w:r>
      <w:r>
        <w:rPr>
          <w:rFonts w:hint="eastAsia"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CN" w:bidi="ar-SA"/>
        </w:rPr>
        <w:t>以前年度绩效评价</w:t>
      </w:r>
      <w:r>
        <w:rPr>
          <w:rFonts w:hint="eastAsia" w:ascii="Times New Roman" w:hAnsi="Times New Roman" w:eastAsia="仿宋_GB2312" w:cs="Times New Roman"/>
          <w:kern w:val="2"/>
          <w:sz w:val="32"/>
          <w:szCs w:val="32"/>
          <w:lang w:val="en-US" w:eastAsia="zh-Hans" w:bidi="ar-SA"/>
        </w:rPr>
        <w:t>等资料，资料的完整性和真实性由项目单位负责。</w:t>
      </w:r>
    </w:p>
    <w:p>
      <w:pPr>
        <w:pStyle w:val="26"/>
        <w:tabs>
          <w:tab w:val="left" w:pos="1623"/>
        </w:tabs>
        <w:spacing w:line="520" w:lineRule="exact"/>
        <w:ind w:firstLine="640" w:firstLineChars="200"/>
        <w:rPr>
          <w:rFonts w:hint="eastAsia"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六</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本次评估结果仅作为政府决策和财政预算的参考依据</w:t>
      </w:r>
      <w:r>
        <w:rPr>
          <w:rFonts w:hint="default" w:ascii="Times New Roman" w:hAnsi="Times New Roman" w:eastAsia="仿宋_GB2312" w:cs="Times New Roman"/>
          <w:kern w:val="2"/>
          <w:sz w:val="32"/>
          <w:szCs w:val="32"/>
          <w:lang w:val="en-US" w:eastAsia="zh-Hans" w:bidi="ar-SA"/>
        </w:rPr>
        <w:t>。</w:t>
      </w:r>
      <w:r>
        <w:rPr>
          <w:rFonts w:hint="eastAsia" w:ascii="Times New Roman" w:hAnsi="Times New Roman" w:eastAsia="仿宋_GB2312" w:cs="Times New Roman"/>
          <w:kern w:val="2"/>
          <w:sz w:val="32"/>
          <w:szCs w:val="32"/>
          <w:lang w:val="en-US" w:eastAsia="zh-Hans" w:bidi="ar-SA"/>
        </w:rPr>
        <w:t>非经委托方和本公司许可，不得用于其他目的。</w:t>
      </w:r>
    </w:p>
    <w:p>
      <w:pPr>
        <w:keepNext w:val="0"/>
        <w:keepLines w:val="0"/>
        <w:pageBreakBefore w:val="0"/>
        <w:widowControl w:val="0"/>
        <w:kinsoku/>
        <w:wordWrap/>
        <w:topLinePunct w:val="0"/>
        <w:autoSpaceDE/>
        <w:autoSpaceDN/>
        <w:bidi w:val="0"/>
        <w:adjustRightInd/>
        <w:spacing w:line="560" w:lineRule="exact"/>
        <w:ind w:firstLine="640" w:firstLineChars="200"/>
        <w:jc w:val="left"/>
        <w:textAlignment w:val="baseline"/>
        <w:rPr>
          <w:rFonts w:hint="eastAsia" w:ascii="仿宋_GB2312" w:hAnsi="仿宋_GB2312" w:eastAsia="仿宋_GB2312" w:cs="仿宋_GB2312"/>
          <w:color w:val="000000"/>
          <w:sz w:val="32"/>
          <w:szCs w:val="32"/>
        </w:rPr>
      </w:pPr>
    </w:p>
    <w:p>
      <w:pPr>
        <w:pStyle w:val="7"/>
        <w:rPr>
          <w:rFonts w:hint="default"/>
          <w:lang w:val="en-US" w:eastAsia="zh-CN"/>
        </w:rPr>
      </w:pPr>
      <w:bookmarkStart w:id="38" w:name="_GoBack"/>
      <w:bookmarkEnd w:id="38"/>
    </w:p>
    <w:p>
      <w:pPr>
        <w:keepNext w:val="0"/>
        <w:keepLines w:val="0"/>
        <w:pageBreakBefore w:val="0"/>
        <w:widowControl w:val="0"/>
        <w:kinsoku/>
        <w:wordWrap/>
        <w:topLinePunct w:val="0"/>
        <w:autoSpaceDE/>
        <w:autoSpaceDN/>
        <w:bidi w:val="0"/>
        <w:adjustRightInd/>
        <w:spacing w:line="560" w:lineRule="exact"/>
        <w:ind w:firstLine="640" w:firstLineChars="200"/>
        <w:jc w:val="right"/>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湖南九澧咨询服务有限公司</w:t>
      </w:r>
      <w:r>
        <w:rPr>
          <w:rFonts w:hint="eastAsia" w:ascii="仿宋_GB2312" w:hAnsi="仿宋_GB2312" w:cs="仿宋_GB2312"/>
          <w:color w:val="000000"/>
          <w:sz w:val="32"/>
          <w:szCs w:val="32"/>
          <w:lang w:val="en-US" w:eastAsia="zh-CN"/>
        </w:rPr>
        <w:t>常德分公司</w:t>
      </w:r>
    </w:p>
    <w:p>
      <w:pPr>
        <w:keepNext w:val="0"/>
        <w:keepLines w:val="0"/>
        <w:pageBreakBefore w:val="0"/>
        <w:widowControl w:val="0"/>
        <w:kinsoku/>
        <w:wordWrap/>
        <w:topLinePunct w:val="0"/>
        <w:autoSpaceDE/>
        <w:autoSpaceDN/>
        <w:bidi w:val="0"/>
        <w:adjustRightInd/>
        <w:spacing w:line="560" w:lineRule="exact"/>
        <w:ind w:firstLine="640" w:firstLineChars="200"/>
        <w:jc w:val="center"/>
        <w:textAlignment w:val="baseline"/>
        <w:rPr>
          <w:sz w:val="32"/>
          <w:szCs w:val="32"/>
        </w:rPr>
      </w:pPr>
      <w:r>
        <w:rPr>
          <w:rFonts w:hint="eastAsia" w:eastAsia="仿宋"/>
          <w:color w:val="000000"/>
          <w:sz w:val="32"/>
          <w:szCs w:val="32"/>
          <w:lang w:val="en-US" w:eastAsia="zh-CN"/>
        </w:rPr>
        <w:t xml:space="preserve">             </w:t>
      </w:r>
      <w:r>
        <w:rPr>
          <w:rFonts w:eastAsia="仿宋"/>
          <w:color w:val="000000"/>
          <w:sz w:val="32"/>
          <w:szCs w:val="32"/>
        </w:rPr>
        <w:t>202</w:t>
      </w:r>
      <w:r>
        <w:rPr>
          <w:rFonts w:hint="eastAsia" w:eastAsia="仿宋"/>
          <w:color w:val="000000"/>
          <w:sz w:val="32"/>
          <w:szCs w:val="32"/>
          <w:lang w:val="en-US" w:eastAsia="zh-CN"/>
        </w:rPr>
        <w:t>3</w:t>
      </w:r>
      <w:r>
        <w:rPr>
          <w:rFonts w:eastAsia="仿宋"/>
          <w:color w:val="000000"/>
          <w:sz w:val="32"/>
          <w:szCs w:val="32"/>
        </w:rPr>
        <w:t>年</w:t>
      </w:r>
      <w:r>
        <w:rPr>
          <w:rFonts w:hint="eastAsia" w:eastAsia="仿宋"/>
          <w:color w:val="000000"/>
          <w:sz w:val="32"/>
          <w:szCs w:val="32"/>
          <w:lang w:val="en-US" w:eastAsia="zh-CN"/>
        </w:rPr>
        <w:t>10</w:t>
      </w:r>
      <w:r>
        <w:rPr>
          <w:rFonts w:eastAsia="仿宋"/>
          <w:color w:val="000000"/>
          <w:sz w:val="32"/>
          <w:szCs w:val="32"/>
        </w:rPr>
        <w:t>月</w:t>
      </w:r>
      <w:r>
        <w:rPr>
          <w:rFonts w:hint="eastAsia" w:eastAsia="仿宋"/>
          <w:color w:val="000000"/>
          <w:sz w:val="32"/>
          <w:szCs w:val="32"/>
          <w:lang w:val="en-US" w:eastAsia="zh-CN"/>
        </w:rPr>
        <w:t>20</w:t>
      </w:r>
      <w:r>
        <w:rPr>
          <w:sz w:val="32"/>
          <w:szCs w:val="32"/>
        </w:rPr>
        <w:t>日</w:t>
      </w:r>
    </w:p>
    <w:sectPr>
      <w:footerReference r:id="rId5" w:type="default"/>
      <w:pgSz w:w="11906" w:h="16838"/>
      <w:pgMar w:top="2098" w:right="1474" w:bottom="1984" w:left="1587" w:header="851" w:footer="1587" w:gutter="0"/>
      <w:pgNumType w:fmt="numberInDash" w:start="1"/>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E4DED7-ABA0-4A7E-9340-D50417F4B8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ACB3D85-1F87-4A67-B03C-64650C230AC7}"/>
  </w:font>
  <w:font w:name="方正小标宋简体">
    <w:panose1 w:val="03000509000000000000"/>
    <w:charset w:val="86"/>
    <w:family w:val="auto"/>
    <w:pitch w:val="default"/>
    <w:sig w:usb0="00000001" w:usb1="080E0000" w:usb2="00000000" w:usb3="00000000" w:csb0="00040000" w:csb1="00000000"/>
    <w:embedRegular r:id="rId3" w:fontKey="{F0D29701-679A-4157-BC07-38B47AE322B1}"/>
  </w:font>
  <w:font w:name="仿宋">
    <w:panose1 w:val="02010609060101010101"/>
    <w:charset w:val="86"/>
    <w:family w:val="auto"/>
    <w:pitch w:val="default"/>
    <w:sig w:usb0="800002BF" w:usb1="38CF7CFA" w:usb2="00000016" w:usb3="00000000" w:csb0="00040001" w:csb1="00000000"/>
    <w:embedRegular r:id="rId4" w:fontKey="{773FAC2D-9D08-4E31-8820-CDCB100E63BC}"/>
  </w:font>
  <w:font w:name="微软雅黑">
    <w:panose1 w:val="020B0503020204020204"/>
    <w:charset w:val="86"/>
    <w:family w:val="swiss"/>
    <w:pitch w:val="default"/>
    <w:sig w:usb0="80000287" w:usb1="2ACF3C50" w:usb2="00000016" w:usb3="00000000" w:csb0="0004001F" w:csb1="00000000"/>
    <w:embedRegular r:id="rId5" w:fontKey="{948931A1-D13E-4F40-BB12-A1AF9B21B93F}"/>
  </w:font>
  <w:font w:name="楷体_GB2312">
    <w:panose1 w:val="02010609030101010101"/>
    <w:charset w:val="86"/>
    <w:family w:val="modern"/>
    <w:pitch w:val="default"/>
    <w:sig w:usb0="00000001" w:usb1="080E0000" w:usb2="00000000" w:usb3="00000000" w:csb0="00040000" w:csb1="00000000"/>
    <w:embedRegular r:id="rId6" w:fontKey="{32DE6F6B-043D-4D3A-93ED-FB722C14B29D}"/>
  </w:font>
  <w:font w:name="Times New Roman Regular">
    <w:altName w:val="Times New Roman"/>
    <w:panose1 w:val="02020603050405020304"/>
    <w:charset w:val="00"/>
    <w:family w:val="auto"/>
    <w:pitch w:val="default"/>
    <w:sig w:usb0="00000000" w:usb1="00000000" w:usb2="00000009" w:usb3="00000000" w:csb0="400001FF" w:csb1="FFFF0000"/>
    <w:embedRegular r:id="rId7" w:fontKey="{EEA53B7B-4F96-4208-94CD-3BAAC70351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- 2 -</w:t>
                    </w:r>
                    <w:r>
                      <w:rPr>
                        <w:rFonts w:hint="eastAsia" w:ascii="仿宋" w:hAnsi="仿宋" w:eastAsia="仿宋" w:cs="仿宋"/>
                        <w:sz w:val="24"/>
                        <w:szCs w:val="24"/>
                      </w:rPr>
                      <w:fldChar w:fldCharType="end"/>
                    </w:r>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300"/>
  <w:drawingGridVerticalSpacing w:val="29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NTE0YzE3NjA5NWMzMWNiNThkODZjZWVhYmE0MWEifQ=="/>
  </w:docVars>
  <w:rsids>
    <w:rsidRoot w:val="001917B4"/>
    <w:rsid w:val="000018E6"/>
    <w:rsid w:val="00001FD5"/>
    <w:rsid w:val="000029C3"/>
    <w:rsid w:val="000031E1"/>
    <w:rsid w:val="00003B4E"/>
    <w:rsid w:val="00004487"/>
    <w:rsid w:val="00004683"/>
    <w:rsid w:val="000070A7"/>
    <w:rsid w:val="00012A27"/>
    <w:rsid w:val="00015618"/>
    <w:rsid w:val="000179C1"/>
    <w:rsid w:val="00020D4E"/>
    <w:rsid w:val="000220C2"/>
    <w:rsid w:val="00022880"/>
    <w:rsid w:val="00023F35"/>
    <w:rsid w:val="000244D6"/>
    <w:rsid w:val="00024B80"/>
    <w:rsid w:val="00030242"/>
    <w:rsid w:val="0003134D"/>
    <w:rsid w:val="00031453"/>
    <w:rsid w:val="00031B04"/>
    <w:rsid w:val="00032A6D"/>
    <w:rsid w:val="000359B2"/>
    <w:rsid w:val="00036577"/>
    <w:rsid w:val="000368EF"/>
    <w:rsid w:val="00040D39"/>
    <w:rsid w:val="00041697"/>
    <w:rsid w:val="00041CB9"/>
    <w:rsid w:val="00042831"/>
    <w:rsid w:val="000430C2"/>
    <w:rsid w:val="00043AEC"/>
    <w:rsid w:val="0004488D"/>
    <w:rsid w:val="00045117"/>
    <w:rsid w:val="00047253"/>
    <w:rsid w:val="00047CB9"/>
    <w:rsid w:val="00047D76"/>
    <w:rsid w:val="00050FAB"/>
    <w:rsid w:val="000514AB"/>
    <w:rsid w:val="0005363D"/>
    <w:rsid w:val="00054191"/>
    <w:rsid w:val="00055E40"/>
    <w:rsid w:val="00060E27"/>
    <w:rsid w:val="00064A82"/>
    <w:rsid w:val="0007411F"/>
    <w:rsid w:val="00074502"/>
    <w:rsid w:val="0007487E"/>
    <w:rsid w:val="00076730"/>
    <w:rsid w:val="0007771A"/>
    <w:rsid w:val="00077D59"/>
    <w:rsid w:val="00080114"/>
    <w:rsid w:val="00080D99"/>
    <w:rsid w:val="000819FC"/>
    <w:rsid w:val="000838A9"/>
    <w:rsid w:val="00083F51"/>
    <w:rsid w:val="00084719"/>
    <w:rsid w:val="00084FAE"/>
    <w:rsid w:val="00091583"/>
    <w:rsid w:val="00093639"/>
    <w:rsid w:val="00094C8E"/>
    <w:rsid w:val="00094F86"/>
    <w:rsid w:val="00095695"/>
    <w:rsid w:val="00095800"/>
    <w:rsid w:val="000958A9"/>
    <w:rsid w:val="00096103"/>
    <w:rsid w:val="000A2932"/>
    <w:rsid w:val="000A2B13"/>
    <w:rsid w:val="000A388F"/>
    <w:rsid w:val="000A4003"/>
    <w:rsid w:val="000A4661"/>
    <w:rsid w:val="000A5B36"/>
    <w:rsid w:val="000A5C1F"/>
    <w:rsid w:val="000B149B"/>
    <w:rsid w:val="000B1AE4"/>
    <w:rsid w:val="000B3592"/>
    <w:rsid w:val="000B3665"/>
    <w:rsid w:val="000B4BBB"/>
    <w:rsid w:val="000B769B"/>
    <w:rsid w:val="000C2055"/>
    <w:rsid w:val="000C2B4F"/>
    <w:rsid w:val="000C2D3F"/>
    <w:rsid w:val="000C43AD"/>
    <w:rsid w:val="000C4F1B"/>
    <w:rsid w:val="000C5492"/>
    <w:rsid w:val="000C6C89"/>
    <w:rsid w:val="000D00A9"/>
    <w:rsid w:val="000D155C"/>
    <w:rsid w:val="000D1840"/>
    <w:rsid w:val="000D194C"/>
    <w:rsid w:val="000D2690"/>
    <w:rsid w:val="000D2903"/>
    <w:rsid w:val="000D2C1E"/>
    <w:rsid w:val="000D383B"/>
    <w:rsid w:val="000D42FB"/>
    <w:rsid w:val="000D4F92"/>
    <w:rsid w:val="000D5D04"/>
    <w:rsid w:val="000D6366"/>
    <w:rsid w:val="000E0AF1"/>
    <w:rsid w:val="000E4085"/>
    <w:rsid w:val="000E4375"/>
    <w:rsid w:val="000E5C12"/>
    <w:rsid w:val="000E7D3F"/>
    <w:rsid w:val="000F0462"/>
    <w:rsid w:val="000F5C2B"/>
    <w:rsid w:val="00100F00"/>
    <w:rsid w:val="001012E8"/>
    <w:rsid w:val="0010213F"/>
    <w:rsid w:val="0010294E"/>
    <w:rsid w:val="00104C20"/>
    <w:rsid w:val="001054F0"/>
    <w:rsid w:val="0010600B"/>
    <w:rsid w:val="0011078D"/>
    <w:rsid w:val="00111F6E"/>
    <w:rsid w:val="001121EE"/>
    <w:rsid w:val="00112B22"/>
    <w:rsid w:val="00112FA7"/>
    <w:rsid w:val="00113410"/>
    <w:rsid w:val="00114C79"/>
    <w:rsid w:val="00115FA8"/>
    <w:rsid w:val="001177D8"/>
    <w:rsid w:val="001213E8"/>
    <w:rsid w:val="00121DC2"/>
    <w:rsid w:val="001228FF"/>
    <w:rsid w:val="00123033"/>
    <w:rsid w:val="001231A0"/>
    <w:rsid w:val="00125981"/>
    <w:rsid w:val="00126D4E"/>
    <w:rsid w:val="001302FD"/>
    <w:rsid w:val="0013085F"/>
    <w:rsid w:val="00132DBC"/>
    <w:rsid w:val="00133FA8"/>
    <w:rsid w:val="0013626C"/>
    <w:rsid w:val="00136790"/>
    <w:rsid w:val="00136F6C"/>
    <w:rsid w:val="001379D2"/>
    <w:rsid w:val="00137C68"/>
    <w:rsid w:val="00137D3E"/>
    <w:rsid w:val="00137D5F"/>
    <w:rsid w:val="001419C1"/>
    <w:rsid w:val="0014448F"/>
    <w:rsid w:val="00144B62"/>
    <w:rsid w:val="00145AD1"/>
    <w:rsid w:val="00147919"/>
    <w:rsid w:val="00152475"/>
    <w:rsid w:val="00154794"/>
    <w:rsid w:val="00157FCE"/>
    <w:rsid w:val="001602FD"/>
    <w:rsid w:val="001613A1"/>
    <w:rsid w:val="001629D2"/>
    <w:rsid w:val="00162C69"/>
    <w:rsid w:val="0016314E"/>
    <w:rsid w:val="001659F7"/>
    <w:rsid w:val="00167F41"/>
    <w:rsid w:val="0017177A"/>
    <w:rsid w:val="001729EB"/>
    <w:rsid w:val="00172D05"/>
    <w:rsid w:val="001764CB"/>
    <w:rsid w:val="001766C4"/>
    <w:rsid w:val="00180A5E"/>
    <w:rsid w:val="00183248"/>
    <w:rsid w:val="0018614C"/>
    <w:rsid w:val="00187167"/>
    <w:rsid w:val="00187DD6"/>
    <w:rsid w:val="0019075C"/>
    <w:rsid w:val="001917B4"/>
    <w:rsid w:val="00192E56"/>
    <w:rsid w:val="001965AB"/>
    <w:rsid w:val="0019745B"/>
    <w:rsid w:val="001A01F7"/>
    <w:rsid w:val="001A05AC"/>
    <w:rsid w:val="001A0C8C"/>
    <w:rsid w:val="001A2867"/>
    <w:rsid w:val="001A2C6B"/>
    <w:rsid w:val="001A2F64"/>
    <w:rsid w:val="001A537B"/>
    <w:rsid w:val="001A573B"/>
    <w:rsid w:val="001A5A95"/>
    <w:rsid w:val="001A5DC7"/>
    <w:rsid w:val="001A6644"/>
    <w:rsid w:val="001A773C"/>
    <w:rsid w:val="001A7914"/>
    <w:rsid w:val="001A7C3F"/>
    <w:rsid w:val="001B1B19"/>
    <w:rsid w:val="001B4479"/>
    <w:rsid w:val="001B55B6"/>
    <w:rsid w:val="001B75CA"/>
    <w:rsid w:val="001B7D13"/>
    <w:rsid w:val="001D0272"/>
    <w:rsid w:val="001D1449"/>
    <w:rsid w:val="001D2BC4"/>
    <w:rsid w:val="001D6F12"/>
    <w:rsid w:val="001D70B1"/>
    <w:rsid w:val="001D7485"/>
    <w:rsid w:val="001D7AB9"/>
    <w:rsid w:val="001E0AFD"/>
    <w:rsid w:val="001E1CC2"/>
    <w:rsid w:val="001E55A2"/>
    <w:rsid w:val="001F2369"/>
    <w:rsid w:val="001F25AA"/>
    <w:rsid w:val="001F33D5"/>
    <w:rsid w:val="001F44AE"/>
    <w:rsid w:val="001F6EC1"/>
    <w:rsid w:val="001F773B"/>
    <w:rsid w:val="00200189"/>
    <w:rsid w:val="00200BB9"/>
    <w:rsid w:val="00201014"/>
    <w:rsid w:val="002042A0"/>
    <w:rsid w:val="00206B36"/>
    <w:rsid w:val="0021089C"/>
    <w:rsid w:val="002120D1"/>
    <w:rsid w:val="0021241F"/>
    <w:rsid w:val="0021324E"/>
    <w:rsid w:val="00215B90"/>
    <w:rsid w:val="00215F77"/>
    <w:rsid w:val="00216DB1"/>
    <w:rsid w:val="00221D6B"/>
    <w:rsid w:val="00225C93"/>
    <w:rsid w:val="0022637D"/>
    <w:rsid w:val="00227452"/>
    <w:rsid w:val="00230877"/>
    <w:rsid w:val="00231890"/>
    <w:rsid w:val="002324C4"/>
    <w:rsid w:val="002353A8"/>
    <w:rsid w:val="002361DD"/>
    <w:rsid w:val="00236A74"/>
    <w:rsid w:val="00236CB0"/>
    <w:rsid w:val="00241A81"/>
    <w:rsid w:val="00242027"/>
    <w:rsid w:val="00242CFA"/>
    <w:rsid w:val="00243395"/>
    <w:rsid w:val="00244EAB"/>
    <w:rsid w:val="00245808"/>
    <w:rsid w:val="002477B1"/>
    <w:rsid w:val="002543E4"/>
    <w:rsid w:val="00257253"/>
    <w:rsid w:val="00261B0A"/>
    <w:rsid w:val="00263860"/>
    <w:rsid w:val="0026408A"/>
    <w:rsid w:val="002650A7"/>
    <w:rsid w:val="0026569A"/>
    <w:rsid w:val="00265C95"/>
    <w:rsid w:val="002701E7"/>
    <w:rsid w:val="00271860"/>
    <w:rsid w:val="00274A09"/>
    <w:rsid w:val="00274B75"/>
    <w:rsid w:val="0027531C"/>
    <w:rsid w:val="00276341"/>
    <w:rsid w:val="002819DF"/>
    <w:rsid w:val="002821A1"/>
    <w:rsid w:val="00283679"/>
    <w:rsid w:val="00284DB8"/>
    <w:rsid w:val="0028743A"/>
    <w:rsid w:val="00287662"/>
    <w:rsid w:val="00296DC3"/>
    <w:rsid w:val="00297452"/>
    <w:rsid w:val="00297629"/>
    <w:rsid w:val="002977B1"/>
    <w:rsid w:val="00297CF7"/>
    <w:rsid w:val="00297EF5"/>
    <w:rsid w:val="002A0083"/>
    <w:rsid w:val="002A0411"/>
    <w:rsid w:val="002A1615"/>
    <w:rsid w:val="002A362F"/>
    <w:rsid w:val="002A3C9D"/>
    <w:rsid w:val="002A4DDE"/>
    <w:rsid w:val="002A6372"/>
    <w:rsid w:val="002A67C3"/>
    <w:rsid w:val="002A7CF8"/>
    <w:rsid w:val="002A7CFB"/>
    <w:rsid w:val="002B05E5"/>
    <w:rsid w:val="002B3E18"/>
    <w:rsid w:val="002B65AD"/>
    <w:rsid w:val="002B660A"/>
    <w:rsid w:val="002B66FC"/>
    <w:rsid w:val="002B6AAE"/>
    <w:rsid w:val="002C1260"/>
    <w:rsid w:val="002C17FA"/>
    <w:rsid w:val="002C23FF"/>
    <w:rsid w:val="002C431F"/>
    <w:rsid w:val="002C49ED"/>
    <w:rsid w:val="002C5AF1"/>
    <w:rsid w:val="002C5F35"/>
    <w:rsid w:val="002D23CF"/>
    <w:rsid w:val="002D54A2"/>
    <w:rsid w:val="002D6A56"/>
    <w:rsid w:val="002E2462"/>
    <w:rsid w:val="002E2AE1"/>
    <w:rsid w:val="002E2C4D"/>
    <w:rsid w:val="002E3DEE"/>
    <w:rsid w:val="002E5D2B"/>
    <w:rsid w:val="002E6D3A"/>
    <w:rsid w:val="002F1166"/>
    <w:rsid w:val="002F32B7"/>
    <w:rsid w:val="002F36ED"/>
    <w:rsid w:val="002F675D"/>
    <w:rsid w:val="002F7ED6"/>
    <w:rsid w:val="0030005A"/>
    <w:rsid w:val="003000AC"/>
    <w:rsid w:val="0030042E"/>
    <w:rsid w:val="00300744"/>
    <w:rsid w:val="00301B87"/>
    <w:rsid w:val="0030203A"/>
    <w:rsid w:val="00302BF9"/>
    <w:rsid w:val="0030366D"/>
    <w:rsid w:val="00303E0D"/>
    <w:rsid w:val="003063E8"/>
    <w:rsid w:val="00306F2B"/>
    <w:rsid w:val="003073BB"/>
    <w:rsid w:val="003101B6"/>
    <w:rsid w:val="00311ACB"/>
    <w:rsid w:val="00311D2A"/>
    <w:rsid w:val="00315921"/>
    <w:rsid w:val="00316E71"/>
    <w:rsid w:val="00321845"/>
    <w:rsid w:val="003225C3"/>
    <w:rsid w:val="003229B7"/>
    <w:rsid w:val="00323F19"/>
    <w:rsid w:val="00327224"/>
    <w:rsid w:val="00327A9C"/>
    <w:rsid w:val="0033276A"/>
    <w:rsid w:val="00333AB7"/>
    <w:rsid w:val="00333B92"/>
    <w:rsid w:val="0033490A"/>
    <w:rsid w:val="00337C93"/>
    <w:rsid w:val="00341B83"/>
    <w:rsid w:val="0034220B"/>
    <w:rsid w:val="00346F59"/>
    <w:rsid w:val="00351FFE"/>
    <w:rsid w:val="003539FC"/>
    <w:rsid w:val="00353BA8"/>
    <w:rsid w:val="00355513"/>
    <w:rsid w:val="00355984"/>
    <w:rsid w:val="0035662D"/>
    <w:rsid w:val="00357EF6"/>
    <w:rsid w:val="003606E2"/>
    <w:rsid w:val="003632FC"/>
    <w:rsid w:val="00364ABF"/>
    <w:rsid w:val="00365CC5"/>
    <w:rsid w:val="0037060B"/>
    <w:rsid w:val="00371DA4"/>
    <w:rsid w:val="00373C5E"/>
    <w:rsid w:val="00374D45"/>
    <w:rsid w:val="00380233"/>
    <w:rsid w:val="00380496"/>
    <w:rsid w:val="00385291"/>
    <w:rsid w:val="00385A1F"/>
    <w:rsid w:val="00387A6E"/>
    <w:rsid w:val="003902A3"/>
    <w:rsid w:val="00392744"/>
    <w:rsid w:val="00392DE8"/>
    <w:rsid w:val="0039373D"/>
    <w:rsid w:val="00393D5F"/>
    <w:rsid w:val="00394FA9"/>
    <w:rsid w:val="0039562F"/>
    <w:rsid w:val="003A0B5D"/>
    <w:rsid w:val="003A0E56"/>
    <w:rsid w:val="003A1D5C"/>
    <w:rsid w:val="003A2764"/>
    <w:rsid w:val="003A45C7"/>
    <w:rsid w:val="003A52F8"/>
    <w:rsid w:val="003B03A2"/>
    <w:rsid w:val="003B1CB3"/>
    <w:rsid w:val="003B20DA"/>
    <w:rsid w:val="003B293D"/>
    <w:rsid w:val="003B296C"/>
    <w:rsid w:val="003B37DC"/>
    <w:rsid w:val="003B50ED"/>
    <w:rsid w:val="003B6268"/>
    <w:rsid w:val="003B7158"/>
    <w:rsid w:val="003C144B"/>
    <w:rsid w:val="003C1618"/>
    <w:rsid w:val="003C3694"/>
    <w:rsid w:val="003C5505"/>
    <w:rsid w:val="003C5518"/>
    <w:rsid w:val="003C57FB"/>
    <w:rsid w:val="003C664F"/>
    <w:rsid w:val="003C7DD1"/>
    <w:rsid w:val="003D0193"/>
    <w:rsid w:val="003D0E73"/>
    <w:rsid w:val="003D0EF6"/>
    <w:rsid w:val="003D1962"/>
    <w:rsid w:val="003D463B"/>
    <w:rsid w:val="003D5400"/>
    <w:rsid w:val="003E14BD"/>
    <w:rsid w:val="003E28ED"/>
    <w:rsid w:val="003E2C61"/>
    <w:rsid w:val="003E3055"/>
    <w:rsid w:val="003E4D34"/>
    <w:rsid w:val="003E50CF"/>
    <w:rsid w:val="003E689C"/>
    <w:rsid w:val="003F19B3"/>
    <w:rsid w:val="003F270D"/>
    <w:rsid w:val="003F3F3A"/>
    <w:rsid w:val="003F4358"/>
    <w:rsid w:val="003F5E28"/>
    <w:rsid w:val="00400BF9"/>
    <w:rsid w:val="0040357A"/>
    <w:rsid w:val="00404A83"/>
    <w:rsid w:val="004056BF"/>
    <w:rsid w:val="00405990"/>
    <w:rsid w:val="00407991"/>
    <w:rsid w:val="00407A5C"/>
    <w:rsid w:val="00410C2B"/>
    <w:rsid w:val="00410DC9"/>
    <w:rsid w:val="004110CE"/>
    <w:rsid w:val="0041469A"/>
    <w:rsid w:val="004164A1"/>
    <w:rsid w:val="00420D95"/>
    <w:rsid w:val="0042183C"/>
    <w:rsid w:val="004259E1"/>
    <w:rsid w:val="00426A85"/>
    <w:rsid w:val="0042766C"/>
    <w:rsid w:val="00431D15"/>
    <w:rsid w:val="0043456B"/>
    <w:rsid w:val="00435E71"/>
    <w:rsid w:val="00436094"/>
    <w:rsid w:val="004372DE"/>
    <w:rsid w:val="004373A7"/>
    <w:rsid w:val="00437985"/>
    <w:rsid w:val="00442A0D"/>
    <w:rsid w:val="00443CF7"/>
    <w:rsid w:val="00444F84"/>
    <w:rsid w:val="00447269"/>
    <w:rsid w:val="00450240"/>
    <w:rsid w:val="004506F6"/>
    <w:rsid w:val="00453311"/>
    <w:rsid w:val="004540C8"/>
    <w:rsid w:val="00456395"/>
    <w:rsid w:val="00461460"/>
    <w:rsid w:val="004619A0"/>
    <w:rsid w:val="00463DFC"/>
    <w:rsid w:val="0046616A"/>
    <w:rsid w:val="00466356"/>
    <w:rsid w:val="00466496"/>
    <w:rsid w:val="00467881"/>
    <w:rsid w:val="00467FA6"/>
    <w:rsid w:val="00470977"/>
    <w:rsid w:val="004712D3"/>
    <w:rsid w:val="00473963"/>
    <w:rsid w:val="00475E5D"/>
    <w:rsid w:val="004767A4"/>
    <w:rsid w:val="0047732C"/>
    <w:rsid w:val="00477CD3"/>
    <w:rsid w:val="00480330"/>
    <w:rsid w:val="0048190E"/>
    <w:rsid w:val="00482406"/>
    <w:rsid w:val="00484C57"/>
    <w:rsid w:val="00491A97"/>
    <w:rsid w:val="00491CD7"/>
    <w:rsid w:val="0049332C"/>
    <w:rsid w:val="00493493"/>
    <w:rsid w:val="00495A67"/>
    <w:rsid w:val="00495C83"/>
    <w:rsid w:val="00496055"/>
    <w:rsid w:val="00496489"/>
    <w:rsid w:val="0049718D"/>
    <w:rsid w:val="0049719E"/>
    <w:rsid w:val="00497F2D"/>
    <w:rsid w:val="004A0F11"/>
    <w:rsid w:val="004A0FB7"/>
    <w:rsid w:val="004A352F"/>
    <w:rsid w:val="004A48DA"/>
    <w:rsid w:val="004A4977"/>
    <w:rsid w:val="004A5907"/>
    <w:rsid w:val="004A60BE"/>
    <w:rsid w:val="004A60DD"/>
    <w:rsid w:val="004A6A79"/>
    <w:rsid w:val="004B0D2F"/>
    <w:rsid w:val="004B0E1A"/>
    <w:rsid w:val="004B2EFC"/>
    <w:rsid w:val="004B690D"/>
    <w:rsid w:val="004C211A"/>
    <w:rsid w:val="004C3874"/>
    <w:rsid w:val="004C3DE4"/>
    <w:rsid w:val="004C5887"/>
    <w:rsid w:val="004C5F34"/>
    <w:rsid w:val="004C660C"/>
    <w:rsid w:val="004C6D8F"/>
    <w:rsid w:val="004D04B6"/>
    <w:rsid w:val="004D0E48"/>
    <w:rsid w:val="004D335E"/>
    <w:rsid w:val="004D4F56"/>
    <w:rsid w:val="004D590F"/>
    <w:rsid w:val="004D6D5F"/>
    <w:rsid w:val="004D731D"/>
    <w:rsid w:val="004D7337"/>
    <w:rsid w:val="004E0EC6"/>
    <w:rsid w:val="004E1775"/>
    <w:rsid w:val="004E33FD"/>
    <w:rsid w:val="004E5A0B"/>
    <w:rsid w:val="004E65CD"/>
    <w:rsid w:val="004E7A1F"/>
    <w:rsid w:val="004F0188"/>
    <w:rsid w:val="004F0B27"/>
    <w:rsid w:val="004F0F8B"/>
    <w:rsid w:val="004F2303"/>
    <w:rsid w:val="004F4695"/>
    <w:rsid w:val="005006B6"/>
    <w:rsid w:val="005049BC"/>
    <w:rsid w:val="00511510"/>
    <w:rsid w:val="005131AD"/>
    <w:rsid w:val="00514FC7"/>
    <w:rsid w:val="00517DDA"/>
    <w:rsid w:val="0052225A"/>
    <w:rsid w:val="0052284F"/>
    <w:rsid w:val="00523E9D"/>
    <w:rsid w:val="00524B99"/>
    <w:rsid w:val="00525856"/>
    <w:rsid w:val="00526AB9"/>
    <w:rsid w:val="00527D6C"/>
    <w:rsid w:val="00531A79"/>
    <w:rsid w:val="00531D3A"/>
    <w:rsid w:val="00531EDE"/>
    <w:rsid w:val="00532A6E"/>
    <w:rsid w:val="00532C6B"/>
    <w:rsid w:val="00533DD9"/>
    <w:rsid w:val="00535318"/>
    <w:rsid w:val="00537438"/>
    <w:rsid w:val="005413E2"/>
    <w:rsid w:val="00541EE2"/>
    <w:rsid w:val="005434D8"/>
    <w:rsid w:val="0054469A"/>
    <w:rsid w:val="00547030"/>
    <w:rsid w:val="00547388"/>
    <w:rsid w:val="00547B0C"/>
    <w:rsid w:val="00551745"/>
    <w:rsid w:val="0055316D"/>
    <w:rsid w:val="00554659"/>
    <w:rsid w:val="0055767C"/>
    <w:rsid w:val="00560979"/>
    <w:rsid w:val="0056138F"/>
    <w:rsid w:val="005626DA"/>
    <w:rsid w:val="00563C9D"/>
    <w:rsid w:val="005648A8"/>
    <w:rsid w:val="00566D7D"/>
    <w:rsid w:val="00567667"/>
    <w:rsid w:val="00570765"/>
    <w:rsid w:val="0057770B"/>
    <w:rsid w:val="00580365"/>
    <w:rsid w:val="005809F9"/>
    <w:rsid w:val="005817C8"/>
    <w:rsid w:val="00582622"/>
    <w:rsid w:val="00582E76"/>
    <w:rsid w:val="00584136"/>
    <w:rsid w:val="005851CE"/>
    <w:rsid w:val="005871B5"/>
    <w:rsid w:val="00591519"/>
    <w:rsid w:val="005928D6"/>
    <w:rsid w:val="0059337A"/>
    <w:rsid w:val="00593C95"/>
    <w:rsid w:val="00596A41"/>
    <w:rsid w:val="005A1552"/>
    <w:rsid w:val="005A159D"/>
    <w:rsid w:val="005A1969"/>
    <w:rsid w:val="005A1F4D"/>
    <w:rsid w:val="005A36E8"/>
    <w:rsid w:val="005A380F"/>
    <w:rsid w:val="005A4B7A"/>
    <w:rsid w:val="005A6622"/>
    <w:rsid w:val="005A7724"/>
    <w:rsid w:val="005B1759"/>
    <w:rsid w:val="005B4383"/>
    <w:rsid w:val="005B4889"/>
    <w:rsid w:val="005B52DB"/>
    <w:rsid w:val="005B5FDC"/>
    <w:rsid w:val="005B61AC"/>
    <w:rsid w:val="005B6B42"/>
    <w:rsid w:val="005B6D8A"/>
    <w:rsid w:val="005B798E"/>
    <w:rsid w:val="005C026C"/>
    <w:rsid w:val="005C2475"/>
    <w:rsid w:val="005C535F"/>
    <w:rsid w:val="005C5B6E"/>
    <w:rsid w:val="005C6315"/>
    <w:rsid w:val="005D04CF"/>
    <w:rsid w:val="005D12EF"/>
    <w:rsid w:val="005D296F"/>
    <w:rsid w:val="005D4020"/>
    <w:rsid w:val="005D50D1"/>
    <w:rsid w:val="005E005A"/>
    <w:rsid w:val="005E0591"/>
    <w:rsid w:val="005E1D2B"/>
    <w:rsid w:val="005E35B2"/>
    <w:rsid w:val="005E3A96"/>
    <w:rsid w:val="005E5906"/>
    <w:rsid w:val="005F4072"/>
    <w:rsid w:val="005F4179"/>
    <w:rsid w:val="005F42D4"/>
    <w:rsid w:val="005F592E"/>
    <w:rsid w:val="005F5FCF"/>
    <w:rsid w:val="005F684F"/>
    <w:rsid w:val="005F74A6"/>
    <w:rsid w:val="006024D1"/>
    <w:rsid w:val="00602FF2"/>
    <w:rsid w:val="00603804"/>
    <w:rsid w:val="00603B7F"/>
    <w:rsid w:val="00604427"/>
    <w:rsid w:val="006056EB"/>
    <w:rsid w:val="006063BA"/>
    <w:rsid w:val="006105DE"/>
    <w:rsid w:val="0061386D"/>
    <w:rsid w:val="00614879"/>
    <w:rsid w:val="006154AE"/>
    <w:rsid w:val="006159B6"/>
    <w:rsid w:val="0062504D"/>
    <w:rsid w:val="00632394"/>
    <w:rsid w:val="00633B1E"/>
    <w:rsid w:val="00636576"/>
    <w:rsid w:val="0063768E"/>
    <w:rsid w:val="00640EAB"/>
    <w:rsid w:val="0064109C"/>
    <w:rsid w:val="00644AB5"/>
    <w:rsid w:val="006463AF"/>
    <w:rsid w:val="0064720E"/>
    <w:rsid w:val="0065012E"/>
    <w:rsid w:val="00652F48"/>
    <w:rsid w:val="0065465D"/>
    <w:rsid w:val="00656B06"/>
    <w:rsid w:val="00660418"/>
    <w:rsid w:val="00660B2A"/>
    <w:rsid w:val="0066159D"/>
    <w:rsid w:val="00665110"/>
    <w:rsid w:val="00667332"/>
    <w:rsid w:val="00670B81"/>
    <w:rsid w:val="00672DF2"/>
    <w:rsid w:val="0067661D"/>
    <w:rsid w:val="006808F0"/>
    <w:rsid w:val="00682017"/>
    <w:rsid w:val="006838F3"/>
    <w:rsid w:val="00684195"/>
    <w:rsid w:val="00685657"/>
    <w:rsid w:val="00685DF2"/>
    <w:rsid w:val="0068769F"/>
    <w:rsid w:val="0069069B"/>
    <w:rsid w:val="006910C6"/>
    <w:rsid w:val="0069118F"/>
    <w:rsid w:val="00693186"/>
    <w:rsid w:val="00694A4B"/>
    <w:rsid w:val="00695755"/>
    <w:rsid w:val="00696617"/>
    <w:rsid w:val="006A0565"/>
    <w:rsid w:val="006A05D0"/>
    <w:rsid w:val="006A1829"/>
    <w:rsid w:val="006A2C28"/>
    <w:rsid w:val="006A4722"/>
    <w:rsid w:val="006B2155"/>
    <w:rsid w:val="006B325E"/>
    <w:rsid w:val="006B710C"/>
    <w:rsid w:val="006B7529"/>
    <w:rsid w:val="006B7770"/>
    <w:rsid w:val="006C00FF"/>
    <w:rsid w:val="006C0B6E"/>
    <w:rsid w:val="006C0C74"/>
    <w:rsid w:val="006C1087"/>
    <w:rsid w:val="006C1A20"/>
    <w:rsid w:val="006C289A"/>
    <w:rsid w:val="006C4070"/>
    <w:rsid w:val="006C42E8"/>
    <w:rsid w:val="006C65DE"/>
    <w:rsid w:val="006C73B6"/>
    <w:rsid w:val="006C7C65"/>
    <w:rsid w:val="006D1D89"/>
    <w:rsid w:val="006D2227"/>
    <w:rsid w:val="006D29C4"/>
    <w:rsid w:val="006D30E0"/>
    <w:rsid w:val="006D34DB"/>
    <w:rsid w:val="006E07AD"/>
    <w:rsid w:val="006E07CC"/>
    <w:rsid w:val="006E1189"/>
    <w:rsid w:val="006E12CC"/>
    <w:rsid w:val="006E3133"/>
    <w:rsid w:val="006E381C"/>
    <w:rsid w:val="006E38C7"/>
    <w:rsid w:val="006E3E70"/>
    <w:rsid w:val="006E4DBD"/>
    <w:rsid w:val="006E6A9B"/>
    <w:rsid w:val="006E6CB0"/>
    <w:rsid w:val="006E7391"/>
    <w:rsid w:val="006F1538"/>
    <w:rsid w:val="006F48BC"/>
    <w:rsid w:val="006F511A"/>
    <w:rsid w:val="006F5326"/>
    <w:rsid w:val="006F7A3B"/>
    <w:rsid w:val="00701340"/>
    <w:rsid w:val="007014D5"/>
    <w:rsid w:val="0070374D"/>
    <w:rsid w:val="0070409B"/>
    <w:rsid w:val="007050F3"/>
    <w:rsid w:val="00707275"/>
    <w:rsid w:val="00711FD7"/>
    <w:rsid w:val="00712EA8"/>
    <w:rsid w:val="007135E0"/>
    <w:rsid w:val="007139B2"/>
    <w:rsid w:val="007163BF"/>
    <w:rsid w:val="0071744A"/>
    <w:rsid w:val="00717670"/>
    <w:rsid w:val="00717E4C"/>
    <w:rsid w:val="007207C6"/>
    <w:rsid w:val="007222D4"/>
    <w:rsid w:val="0072335D"/>
    <w:rsid w:val="007256AA"/>
    <w:rsid w:val="007348A2"/>
    <w:rsid w:val="00735882"/>
    <w:rsid w:val="007358FE"/>
    <w:rsid w:val="00735BDA"/>
    <w:rsid w:val="007371D8"/>
    <w:rsid w:val="007427A3"/>
    <w:rsid w:val="00744158"/>
    <w:rsid w:val="00747056"/>
    <w:rsid w:val="0074748E"/>
    <w:rsid w:val="00747C47"/>
    <w:rsid w:val="0075063C"/>
    <w:rsid w:val="007506F2"/>
    <w:rsid w:val="0075176D"/>
    <w:rsid w:val="00754759"/>
    <w:rsid w:val="00754E82"/>
    <w:rsid w:val="00755AC4"/>
    <w:rsid w:val="007563DA"/>
    <w:rsid w:val="00760801"/>
    <w:rsid w:val="00761709"/>
    <w:rsid w:val="00761FB8"/>
    <w:rsid w:val="0076400A"/>
    <w:rsid w:val="00764BD8"/>
    <w:rsid w:val="00767622"/>
    <w:rsid w:val="00770E83"/>
    <w:rsid w:val="007716DA"/>
    <w:rsid w:val="00773498"/>
    <w:rsid w:val="007779E9"/>
    <w:rsid w:val="007815CC"/>
    <w:rsid w:val="00782CAA"/>
    <w:rsid w:val="007838EB"/>
    <w:rsid w:val="00784F6F"/>
    <w:rsid w:val="00785244"/>
    <w:rsid w:val="007857A1"/>
    <w:rsid w:val="00786D63"/>
    <w:rsid w:val="00787AE1"/>
    <w:rsid w:val="00791EEE"/>
    <w:rsid w:val="00792276"/>
    <w:rsid w:val="00795351"/>
    <w:rsid w:val="00795AB4"/>
    <w:rsid w:val="00797A69"/>
    <w:rsid w:val="00797FBC"/>
    <w:rsid w:val="007A1DB5"/>
    <w:rsid w:val="007A1F51"/>
    <w:rsid w:val="007A29C8"/>
    <w:rsid w:val="007A2C4F"/>
    <w:rsid w:val="007A2C99"/>
    <w:rsid w:val="007A3CEC"/>
    <w:rsid w:val="007A4D20"/>
    <w:rsid w:val="007A730E"/>
    <w:rsid w:val="007B0252"/>
    <w:rsid w:val="007B16A7"/>
    <w:rsid w:val="007B23EE"/>
    <w:rsid w:val="007B3258"/>
    <w:rsid w:val="007B43A5"/>
    <w:rsid w:val="007B6A2E"/>
    <w:rsid w:val="007B7DA1"/>
    <w:rsid w:val="007C0396"/>
    <w:rsid w:val="007C1F50"/>
    <w:rsid w:val="007C38DC"/>
    <w:rsid w:val="007C3F91"/>
    <w:rsid w:val="007C414A"/>
    <w:rsid w:val="007C4EFC"/>
    <w:rsid w:val="007C55B5"/>
    <w:rsid w:val="007C63C2"/>
    <w:rsid w:val="007D0A35"/>
    <w:rsid w:val="007D16BD"/>
    <w:rsid w:val="007D1BDC"/>
    <w:rsid w:val="007D367C"/>
    <w:rsid w:val="007D4A68"/>
    <w:rsid w:val="007D4C78"/>
    <w:rsid w:val="007D53EC"/>
    <w:rsid w:val="007D5831"/>
    <w:rsid w:val="007D5F0C"/>
    <w:rsid w:val="007D6853"/>
    <w:rsid w:val="007D6E94"/>
    <w:rsid w:val="007E0245"/>
    <w:rsid w:val="007E0265"/>
    <w:rsid w:val="007E085B"/>
    <w:rsid w:val="007E0A0A"/>
    <w:rsid w:val="007E1ED6"/>
    <w:rsid w:val="007E351B"/>
    <w:rsid w:val="007E3B9C"/>
    <w:rsid w:val="007E562A"/>
    <w:rsid w:val="007E589E"/>
    <w:rsid w:val="007E72BE"/>
    <w:rsid w:val="007F0946"/>
    <w:rsid w:val="007F0D30"/>
    <w:rsid w:val="007F2853"/>
    <w:rsid w:val="007F6992"/>
    <w:rsid w:val="007F6F0D"/>
    <w:rsid w:val="007F6FF5"/>
    <w:rsid w:val="0080068F"/>
    <w:rsid w:val="00802A62"/>
    <w:rsid w:val="00802D07"/>
    <w:rsid w:val="0080324E"/>
    <w:rsid w:val="00803442"/>
    <w:rsid w:val="00803A13"/>
    <w:rsid w:val="00811091"/>
    <w:rsid w:val="00811173"/>
    <w:rsid w:val="008170BC"/>
    <w:rsid w:val="00817D02"/>
    <w:rsid w:val="00820211"/>
    <w:rsid w:val="0082049A"/>
    <w:rsid w:val="00824030"/>
    <w:rsid w:val="008240F9"/>
    <w:rsid w:val="00824286"/>
    <w:rsid w:val="008276BC"/>
    <w:rsid w:val="008313E3"/>
    <w:rsid w:val="00832F6E"/>
    <w:rsid w:val="008334C1"/>
    <w:rsid w:val="00833908"/>
    <w:rsid w:val="00833AA2"/>
    <w:rsid w:val="00833FF7"/>
    <w:rsid w:val="008404F0"/>
    <w:rsid w:val="0084086A"/>
    <w:rsid w:val="00842280"/>
    <w:rsid w:val="00842D13"/>
    <w:rsid w:val="00843A3B"/>
    <w:rsid w:val="00843F7E"/>
    <w:rsid w:val="00845044"/>
    <w:rsid w:val="0084667F"/>
    <w:rsid w:val="008502EC"/>
    <w:rsid w:val="008524BA"/>
    <w:rsid w:val="0085438F"/>
    <w:rsid w:val="00854936"/>
    <w:rsid w:val="0085523E"/>
    <w:rsid w:val="0085524A"/>
    <w:rsid w:val="008556C4"/>
    <w:rsid w:val="00855C14"/>
    <w:rsid w:val="00855C93"/>
    <w:rsid w:val="0085636C"/>
    <w:rsid w:val="008565E0"/>
    <w:rsid w:val="008568B1"/>
    <w:rsid w:val="00860ED9"/>
    <w:rsid w:val="0086185B"/>
    <w:rsid w:val="008646CE"/>
    <w:rsid w:val="00865624"/>
    <w:rsid w:val="00866255"/>
    <w:rsid w:val="0086765A"/>
    <w:rsid w:val="00870055"/>
    <w:rsid w:val="0087421E"/>
    <w:rsid w:val="00874A2C"/>
    <w:rsid w:val="00874EF2"/>
    <w:rsid w:val="00875DF7"/>
    <w:rsid w:val="00875FE8"/>
    <w:rsid w:val="0087651A"/>
    <w:rsid w:val="008768FD"/>
    <w:rsid w:val="00876C16"/>
    <w:rsid w:val="0087716E"/>
    <w:rsid w:val="00877909"/>
    <w:rsid w:val="0088059B"/>
    <w:rsid w:val="00882417"/>
    <w:rsid w:val="00883643"/>
    <w:rsid w:val="0088471E"/>
    <w:rsid w:val="008848E5"/>
    <w:rsid w:val="00887E7E"/>
    <w:rsid w:val="00890020"/>
    <w:rsid w:val="00892701"/>
    <w:rsid w:val="00893C24"/>
    <w:rsid w:val="00893CEC"/>
    <w:rsid w:val="00894173"/>
    <w:rsid w:val="0089581F"/>
    <w:rsid w:val="008978E0"/>
    <w:rsid w:val="008A1C2D"/>
    <w:rsid w:val="008A1C54"/>
    <w:rsid w:val="008A28AA"/>
    <w:rsid w:val="008A29F3"/>
    <w:rsid w:val="008A5874"/>
    <w:rsid w:val="008A5F61"/>
    <w:rsid w:val="008A6AC6"/>
    <w:rsid w:val="008A7751"/>
    <w:rsid w:val="008B1D11"/>
    <w:rsid w:val="008B40C8"/>
    <w:rsid w:val="008B5D42"/>
    <w:rsid w:val="008B660C"/>
    <w:rsid w:val="008B74B8"/>
    <w:rsid w:val="008B7D6D"/>
    <w:rsid w:val="008C1223"/>
    <w:rsid w:val="008C127D"/>
    <w:rsid w:val="008C2630"/>
    <w:rsid w:val="008C2AEA"/>
    <w:rsid w:val="008C2EFD"/>
    <w:rsid w:val="008C5887"/>
    <w:rsid w:val="008C6438"/>
    <w:rsid w:val="008C7D4F"/>
    <w:rsid w:val="008D364E"/>
    <w:rsid w:val="008D6F6F"/>
    <w:rsid w:val="008E11A9"/>
    <w:rsid w:val="008E1C1C"/>
    <w:rsid w:val="008E2501"/>
    <w:rsid w:val="008E2794"/>
    <w:rsid w:val="008E2C18"/>
    <w:rsid w:val="008E3040"/>
    <w:rsid w:val="008F205E"/>
    <w:rsid w:val="008F7A0B"/>
    <w:rsid w:val="00904949"/>
    <w:rsid w:val="00904FA5"/>
    <w:rsid w:val="0091201B"/>
    <w:rsid w:val="0091471E"/>
    <w:rsid w:val="0091519B"/>
    <w:rsid w:val="0091641D"/>
    <w:rsid w:val="0092158B"/>
    <w:rsid w:val="00922A3C"/>
    <w:rsid w:val="00923873"/>
    <w:rsid w:val="00924F4B"/>
    <w:rsid w:val="00926BB3"/>
    <w:rsid w:val="00930B56"/>
    <w:rsid w:val="00930FEE"/>
    <w:rsid w:val="00931CEB"/>
    <w:rsid w:val="00933D8C"/>
    <w:rsid w:val="009350F9"/>
    <w:rsid w:val="009378E5"/>
    <w:rsid w:val="00940C35"/>
    <w:rsid w:val="00940CAD"/>
    <w:rsid w:val="00942B00"/>
    <w:rsid w:val="00943F2A"/>
    <w:rsid w:val="0095062C"/>
    <w:rsid w:val="00952F8A"/>
    <w:rsid w:val="00955A65"/>
    <w:rsid w:val="009624B6"/>
    <w:rsid w:val="0096423B"/>
    <w:rsid w:val="00966EF5"/>
    <w:rsid w:val="00972210"/>
    <w:rsid w:val="00973164"/>
    <w:rsid w:val="00975CF1"/>
    <w:rsid w:val="009832FA"/>
    <w:rsid w:val="009851E3"/>
    <w:rsid w:val="0098656B"/>
    <w:rsid w:val="00986B9E"/>
    <w:rsid w:val="0099098B"/>
    <w:rsid w:val="00990C96"/>
    <w:rsid w:val="00991A90"/>
    <w:rsid w:val="00991F41"/>
    <w:rsid w:val="00992201"/>
    <w:rsid w:val="00992305"/>
    <w:rsid w:val="00992DA3"/>
    <w:rsid w:val="009948AC"/>
    <w:rsid w:val="009966C6"/>
    <w:rsid w:val="00997B82"/>
    <w:rsid w:val="009A18DD"/>
    <w:rsid w:val="009A1D78"/>
    <w:rsid w:val="009A2334"/>
    <w:rsid w:val="009A4C0C"/>
    <w:rsid w:val="009A54DF"/>
    <w:rsid w:val="009A715F"/>
    <w:rsid w:val="009A7F71"/>
    <w:rsid w:val="009B12D3"/>
    <w:rsid w:val="009B15F8"/>
    <w:rsid w:val="009B37A9"/>
    <w:rsid w:val="009B37D0"/>
    <w:rsid w:val="009B3BC3"/>
    <w:rsid w:val="009B43F0"/>
    <w:rsid w:val="009B7144"/>
    <w:rsid w:val="009B75ED"/>
    <w:rsid w:val="009C2CA0"/>
    <w:rsid w:val="009C3031"/>
    <w:rsid w:val="009C549D"/>
    <w:rsid w:val="009C5A41"/>
    <w:rsid w:val="009C765F"/>
    <w:rsid w:val="009D0EA2"/>
    <w:rsid w:val="009D3C5C"/>
    <w:rsid w:val="009D439D"/>
    <w:rsid w:val="009D7822"/>
    <w:rsid w:val="009E0491"/>
    <w:rsid w:val="009E0992"/>
    <w:rsid w:val="009E11A2"/>
    <w:rsid w:val="009E27F5"/>
    <w:rsid w:val="009E2ADC"/>
    <w:rsid w:val="009E324C"/>
    <w:rsid w:val="009E51CD"/>
    <w:rsid w:val="009E5919"/>
    <w:rsid w:val="009E6B36"/>
    <w:rsid w:val="009E6C17"/>
    <w:rsid w:val="009E6E0C"/>
    <w:rsid w:val="009E783E"/>
    <w:rsid w:val="009F3774"/>
    <w:rsid w:val="009F6FF9"/>
    <w:rsid w:val="009F7864"/>
    <w:rsid w:val="009F7FC3"/>
    <w:rsid w:val="00A00892"/>
    <w:rsid w:val="00A01149"/>
    <w:rsid w:val="00A01E29"/>
    <w:rsid w:val="00A024AE"/>
    <w:rsid w:val="00A03EB3"/>
    <w:rsid w:val="00A05722"/>
    <w:rsid w:val="00A1216A"/>
    <w:rsid w:val="00A12850"/>
    <w:rsid w:val="00A1311A"/>
    <w:rsid w:val="00A131CB"/>
    <w:rsid w:val="00A16791"/>
    <w:rsid w:val="00A21080"/>
    <w:rsid w:val="00A22424"/>
    <w:rsid w:val="00A230F3"/>
    <w:rsid w:val="00A2583B"/>
    <w:rsid w:val="00A2587B"/>
    <w:rsid w:val="00A277BB"/>
    <w:rsid w:val="00A27867"/>
    <w:rsid w:val="00A27BA8"/>
    <w:rsid w:val="00A30724"/>
    <w:rsid w:val="00A31E9E"/>
    <w:rsid w:val="00A33854"/>
    <w:rsid w:val="00A341C4"/>
    <w:rsid w:val="00A34350"/>
    <w:rsid w:val="00A373C5"/>
    <w:rsid w:val="00A4059B"/>
    <w:rsid w:val="00A474D1"/>
    <w:rsid w:val="00A50275"/>
    <w:rsid w:val="00A503F9"/>
    <w:rsid w:val="00A5095D"/>
    <w:rsid w:val="00A536F5"/>
    <w:rsid w:val="00A545F6"/>
    <w:rsid w:val="00A55A1E"/>
    <w:rsid w:val="00A5658C"/>
    <w:rsid w:val="00A56BA6"/>
    <w:rsid w:val="00A572C7"/>
    <w:rsid w:val="00A61289"/>
    <w:rsid w:val="00A6432F"/>
    <w:rsid w:val="00A646F6"/>
    <w:rsid w:val="00A651D0"/>
    <w:rsid w:val="00A65A92"/>
    <w:rsid w:val="00A66451"/>
    <w:rsid w:val="00A67787"/>
    <w:rsid w:val="00A7078E"/>
    <w:rsid w:val="00A73FCC"/>
    <w:rsid w:val="00A76C07"/>
    <w:rsid w:val="00A77FEA"/>
    <w:rsid w:val="00A82DA8"/>
    <w:rsid w:val="00A9135F"/>
    <w:rsid w:val="00A93AB6"/>
    <w:rsid w:val="00A947E8"/>
    <w:rsid w:val="00A952B7"/>
    <w:rsid w:val="00A95947"/>
    <w:rsid w:val="00AA0769"/>
    <w:rsid w:val="00AA1834"/>
    <w:rsid w:val="00AA3348"/>
    <w:rsid w:val="00AA36E2"/>
    <w:rsid w:val="00AA4996"/>
    <w:rsid w:val="00AA4B97"/>
    <w:rsid w:val="00AA6711"/>
    <w:rsid w:val="00AA6929"/>
    <w:rsid w:val="00AB0DA0"/>
    <w:rsid w:val="00AB37AD"/>
    <w:rsid w:val="00AB3BCF"/>
    <w:rsid w:val="00AB3C40"/>
    <w:rsid w:val="00AB3D43"/>
    <w:rsid w:val="00AB76A8"/>
    <w:rsid w:val="00AB7F8C"/>
    <w:rsid w:val="00AC026C"/>
    <w:rsid w:val="00AC0C9F"/>
    <w:rsid w:val="00AC0D94"/>
    <w:rsid w:val="00AC1BBE"/>
    <w:rsid w:val="00AC2647"/>
    <w:rsid w:val="00AC3DB5"/>
    <w:rsid w:val="00AC4990"/>
    <w:rsid w:val="00AC61F5"/>
    <w:rsid w:val="00AC66BA"/>
    <w:rsid w:val="00AC7635"/>
    <w:rsid w:val="00AD1C05"/>
    <w:rsid w:val="00AD4508"/>
    <w:rsid w:val="00AD46B7"/>
    <w:rsid w:val="00AD6627"/>
    <w:rsid w:val="00AE30B0"/>
    <w:rsid w:val="00AE4262"/>
    <w:rsid w:val="00AE621A"/>
    <w:rsid w:val="00AE6B3F"/>
    <w:rsid w:val="00AF07B0"/>
    <w:rsid w:val="00AF0C4A"/>
    <w:rsid w:val="00AF1F49"/>
    <w:rsid w:val="00AF2B6E"/>
    <w:rsid w:val="00AF56A7"/>
    <w:rsid w:val="00AF6050"/>
    <w:rsid w:val="00AF65FD"/>
    <w:rsid w:val="00AF6E83"/>
    <w:rsid w:val="00AF79D5"/>
    <w:rsid w:val="00AF7F78"/>
    <w:rsid w:val="00B00523"/>
    <w:rsid w:val="00B00EB4"/>
    <w:rsid w:val="00B03109"/>
    <w:rsid w:val="00B0528E"/>
    <w:rsid w:val="00B07FC3"/>
    <w:rsid w:val="00B1033C"/>
    <w:rsid w:val="00B11B6C"/>
    <w:rsid w:val="00B143B3"/>
    <w:rsid w:val="00B165F6"/>
    <w:rsid w:val="00B17D03"/>
    <w:rsid w:val="00B17F9F"/>
    <w:rsid w:val="00B22F04"/>
    <w:rsid w:val="00B23676"/>
    <w:rsid w:val="00B25A48"/>
    <w:rsid w:val="00B25C02"/>
    <w:rsid w:val="00B2687E"/>
    <w:rsid w:val="00B3020F"/>
    <w:rsid w:val="00B30D79"/>
    <w:rsid w:val="00B310FC"/>
    <w:rsid w:val="00B3546F"/>
    <w:rsid w:val="00B37345"/>
    <w:rsid w:val="00B40773"/>
    <w:rsid w:val="00B40C7E"/>
    <w:rsid w:val="00B4129F"/>
    <w:rsid w:val="00B423C8"/>
    <w:rsid w:val="00B45020"/>
    <w:rsid w:val="00B46F26"/>
    <w:rsid w:val="00B51733"/>
    <w:rsid w:val="00B52233"/>
    <w:rsid w:val="00B53AAC"/>
    <w:rsid w:val="00B55ED4"/>
    <w:rsid w:val="00B567E6"/>
    <w:rsid w:val="00B57289"/>
    <w:rsid w:val="00B572FF"/>
    <w:rsid w:val="00B57CD0"/>
    <w:rsid w:val="00B61604"/>
    <w:rsid w:val="00B641DC"/>
    <w:rsid w:val="00B7373B"/>
    <w:rsid w:val="00B80687"/>
    <w:rsid w:val="00B816EA"/>
    <w:rsid w:val="00B849C1"/>
    <w:rsid w:val="00B858FA"/>
    <w:rsid w:val="00B85B84"/>
    <w:rsid w:val="00B905E2"/>
    <w:rsid w:val="00B92495"/>
    <w:rsid w:val="00B925A5"/>
    <w:rsid w:val="00B9362F"/>
    <w:rsid w:val="00B94CBB"/>
    <w:rsid w:val="00B95A36"/>
    <w:rsid w:val="00B9773D"/>
    <w:rsid w:val="00BA0D15"/>
    <w:rsid w:val="00BA28C1"/>
    <w:rsid w:val="00BA2DCF"/>
    <w:rsid w:val="00BA59DF"/>
    <w:rsid w:val="00BA662A"/>
    <w:rsid w:val="00BB130B"/>
    <w:rsid w:val="00BB25D3"/>
    <w:rsid w:val="00BB4639"/>
    <w:rsid w:val="00BB4A34"/>
    <w:rsid w:val="00BB5443"/>
    <w:rsid w:val="00BB6A5C"/>
    <w:rsid w:val="00BB6D26"/>
    <w:rsid w:val="00BC017D"/>
    <w:rsid w:val="00BC0E04"/>
    <w:rsid w:val="00BC2CF4"/>
    <w:rsid w:val="00BC32D7"/>
    <w:rsid w:val="00BC5A7C"/>
    <w:rsid w:val="00BC6F08"/>
    <w:rsid w:val="00BC7A0A"/>
    <w:rsid w:val="00BD0D05"/>
    <w:rsid w:val="00BD0E14"/>
    <w:rsid w:val="00BD3947"/>
    <w:rsid w:val="00BD4276"/>
    <w:rsid w:val="00BD659E"/>
    <w:rsid w:val="00BE1938"/>
    <w:rsid w:val="00BE281D"/>
    <w:rsid w:val="00BE436F"/>
    <w:rsid w:val="00BE4796"/>
    <w:rsid w:val="00BE5B32"/>
    <w:rsid w:val="00BE7A5C"/>
    <w:rsid w:val="00BF2236"/>
    <w:rsid w:val="00BF5352"/>
    <w:rsid w:val="00BF5394"/>
    <w:rsid w:val="00BF6F1D"/>
    <w:rsid w:val="00C03416"/>
    <w:rsid w:val="00C03D84"/>
    <w:rsid w:val="00C04CDE"/>
    <w:rsid w:val="00C05865"/>
    <w:rsid w:val="00C05976"/>
    <w:rsid w:val="00C069D2"/>
    <w:rsid w:val="00C07A28"/>
    <w:rsid w:val="00C102BC"/>
    <w:rsid w:val="00C102E1"/>
    <w:rsid w:val="00C1220D"/>
    <w:rsid w:val="00C12B27"/>
    <w:rsid w:val="00C1359B"/>
    <w:rsid w:val="00C149C8"/>
    <w:rsid w:val="00C14A56"/>
    <w:rsid w:val="00C15024"/>
    <w:rsid w:val="00C20EC6"/>
    <w:rsid w:val="00C228A9"/>
    <w:rsid w:val="00C23E0A"/>
    <w:rsid w:val="00C23E49"/>
    <w:rsid w:val="00C2490B"/>
    <w:rsid w:val="00C24AB2"/>
    <w:rsid w:val="00C25B10"/>
    <w:rsid w:val="00C27B69"/>
    <w:rsid w:val="00C3049D"/>
    <w:rsid w:val="00C3089E"/>
    <w:rsid w:val="00C31721"/>
    <w:rsid w:val="00C3187A"/>
    <w:rsid w:val="00C32038"/>
    <w:rsid w:val="00C33F9C"/>
    <w:rsid w:val="00C349CF"/>
    <w:rsid w:val="00C3512C"/>
    <w:rsid w:val="00C3534B"/>
    <w:rsid w:val="00C37326"/>
    <w:rsid w:val="00C4004C"/>
    <w:rsid w:val="00C4006E"/>
    <w:rsid w:val="00C40274"/>
    <w:rsid w:val="00C41DC1"/>
    <w:rsid w:val="00C42167"/>
    <w:rsid w:val="00C433B6"/>
    <w:rsid w:val="00C466A6"/>
    <w:rsid w:val="00C47121"/>
    <w:rsid w:val="00C4769F"/>
    <w:rsid w:val="00C50EB6"/>
    <w:rsid w:val="00C512E4"/>
    <w:rsid w:val="00C5477F"/>
    <w:rsid w:val="00C54918"/>
    <w:rsid w:val="00C56193"/>
    <w:rsid w:val="00C57002"/>
    <w:rsid w:val="00C578ED"/>
    <w:rsid w:val="00C62117"/>
    <w:rsid w:val="00C62369"/>
    <w:rsid w:val="00C62F14"/>
    <w:rsid w:val="00C64131"/>
    <w:rsid w:val="00C65004"/>
    <w:rsid w:val="00C65E2B"/>
    <w:rsid w:val="00C65E44"/>
    <w:rsid w:val="00C66760"/>
    <w:rsid w:val="00C66B81"/>
    <w:rsid w:val="00C67BD9"/>
    <w:rsid w:val="00C70373"/>
    <w:rsid w:val="00C71078"/>
    <w:rsid w:val="00C724A4"/>
    <w:rsid w:val="00C72D49"/>
    <w:rsid w:val="00C7432F"/>
    <w:rsid w:val="00C748B6"/>
    <w:rsid w:val="00C82B14"/>
    <w:rsid w:val="00C83481"/>
    <w:rsid w:val="00C837FA"/>
    <w:rsid w:val="00C85061"/>
    <w:rsid w:val="00C85B4F"/>
    <w:rsid w:val="00C85D20"/>
    <w:rsid w:val="00C85F01"/>
    <w:rsid w:val="00C864BC"/>
    <w:rsid w:val="00C87D2B"/>
    <w:rsid w:val="00C87D5D"/>
    <w:rsid w:val="00C90223"/>
    <w:rsid w:val="00C91F16"/>
    <w:rsid w:val="00C9609F"/>
    <w:rsid w:val="00C96546"/>
    <w:rsid w:val="00CA0EBB"/>
    <w:rsid w:val="00CA0F6B"/>
    <w:rsid w:val="00CA4058"/>
    <w:rsid w:val="00CA464F"/>
    <w:rsid w:val="00CB0D86"/>
    <w:rsid w:val="00CB16C8"/>
    <w:rsid w:val="00CB3589"/>
    <w:rsid w:val="00CB35C8"/>
    <w:rsid w:val="00CB3629"/>
    <w:rsid w:val="00CB4E58"/>
    <w:rsid w:val="00CB5457"/>
    <w:rsid w:val="00CB63A4"/>
    <w:rsid w:val="00CB6D7F"/>
    <w:rsid w:val="00CC0F48"/>
    <w:rsid w:val="00CC163C"/>
    <w:rsid w:val="00CC1B0A"/>
    <w:rsid w:val="00CC3337"/>
    <w:rsid w:val="00CC34EB"/>
    <w:rsid w:val="00CC62E8"/>
    <w:rsid w:val="00CC6DAD"/>
    <w:rsid w:val="00CD16B5"/>
    <w:rsid w:val="00CD4964"/>
    <w:rsid w:val="00CE0416"/>
    <w:rsid w:val="00CE2166"/>
    <w:rsid w:val="00CE324E"/>
    <w:rsid w:val="00CE4A2B"/>
    <w:rsid w:val="00CE532B"/>
    <w:rsid w:val="00CE6B60"/>
    <w:rsid w:val="00CE7423"/>
    <w:rsid w:val="00CE7E39"/>
    <w:rsid w:val="00CF103A"/>
    <w:rsid w:val="00CF2EFE"/>
    <w:rsid w:val="00CF40ED"/>
    <w:rsid w:val="00CF4805"/>
    <w:rsid w:val="00CF5130"/>
    <w:rsid w:val="00D003D1"/>
    <w:rsid w:val="00D022AC"/>
    <w:rsid w:val="00D04F24"/>
    <w:rsid w:val="00D06816"/>
    <w:rsid w:val="00D11B4C"/>
    <w:rsid w:val="00D127A6"/>
    <w:rsid w:val="00D14C38"/>
    <w:rsid w:val="00D15276"/>
    <w:rsid w:val="00D20FB2"/>
    <w:rsid w:val="00D22095"/>
    <w:rsid w:val="00D23606"/>
    <w:rsid w:val="00D2364D"/>
    <w:rsid w:val="00D23B66"/>
    <w:rsid w:val="00D2419A"/>
    <w:rsid w:val="00D31E0B"/>
    <w:rsid w:val="00D326A5"/>
    <w:rsid w:val="00D32748"/>
    <w:rsid w:val="00D336C8"/>
    <w:rsid w:val="00D34D6B"/>
    <w:rsid w:val="00D35676"/>
    <w:rsid w:val="00D35733"/>
    <w:rsid w:val="00D40A83"/>
    <w:rsid w:val="00D40EB8"/>
    <w:rsid w:val="00D41EE1"/>
    <w:rsid w:val="00D42679"/>
    <w:rsid w:val="00D43368"/>
    <w:rsid w:val="00D43555"/>
    <w:rsid w:val="00D45C26"/>
    <w:rsid w:val="00D45D11"/>
    <w:rsid w:val="00D475D4"/>
    <w:rsid w:val="00D51DB5"/>
    <w:rsid w:val="00D53270"/>
    <w:rsid w:val="00D56803"/>
    <w:rsid w:val="00D572BD"/>
    <w:rsid w:val="00D57EF2"/>
    <w:rsid w:val="00D6091F"/>
    <w:rsid w:val="00D60BCF"/>
    <w:rsid w:val="00D60BD3"/>
    <w:rsid w:val="00D62CCC"/>
    <w:rsid w:val="00D63015"/>
    <w:rsid w:val="00D6439B"/>
    <w:rsid w:val="00D64D56"/>
    <w:rsid w:val="00D70EE3"/>
    <w:rsid w:val="00D70F59"/>
    <w:rsid w:val="00D721BB"/>
    <w:rsid w:val="00D72F99"/>
    <w:rsid w:val="00D7525A"/>
    <w:rsid w:val="00D75E88"/>
    <w:rsid w:val="00D76C75"/>
    <w:rsid w:val="00D7724F"/>
    <w:rsid w:val="00D8017C"/>
    <w:rsid w:val="00D818C2"/>
    <w:rsid w:val="00D81907"/>
    <w:rsid w:val="00D821F1"/>
    <w:rsid w:val="00D84EA1"/>
    <w:rsid w:val="00D85402"/>
    <w:rsid w:val="00D87962"/>
    <w:rsid w:val="00D91975"/>
    <w:rsid w:val="00D924BD"/>
    <w:rsid w:val="00D92751"/>
    <w:rsid w:val="00D93DF3"/>
    <w:rsid w:val="00D94055"/>
    <w:rsid w:val="00D947B7"/>
    <w:rsid w:val="00D97BB1"/>
    <w:rsid w:val="00DA0A00"/>
    <w:rsid w:val="00DA2185"/>
    <w:rsid w:val="00DA2E5B"/>
    <w:rsid w:val="00DA3491"/>
    <w:rsid w:val="00DB237A"/>
    <w:rsid w:val="00DB36CA"/>
    <w:rsid w:val="00DB37D3"/>
    <w:rsid w:val="00DB44DA"/>
    <w:rsid w:val="00DB45C4"/>
    <w:rsid w:val="00DB5724"/>
    <w:rsid w:val="00DC02C9"/>
    <w:rsid w:val="00DC264E"/>
    <w:rsid w:val="00DC4400"/>
    <w:rsid w:val="00DC4AE5"/>
    <w:rsid w:val="00DC5845"/>
    <w:rsid w:val="00DC5EF8"/>
    <w:rsid w:val="00DC6116"/>
    <w:rsid w:val="00DD15D6"/>
    <w:rsid w:val="00DD1819"/>
    <w:rsid w:val="00DD1E62"/>
    <w:rsid w:val="00DD372E"/>
    <w:rsid w:val="00DD4A5A"/>
    <w:rsid w:val="00DD53D0"/>
    <w:rsid w:val="00DE0559"/>
    <w:rsid w:val="00DE1133"/>
    <w:rsid w:val="00DE3E3E"/>
    <w:rsid w:val="00DE453D"/>
    <w:rsid w:val="00DE4CDF"/>
    <w:rsid w:val="00DE55C9"/>
    <w:rsid w:val="00DE7A2D"/>
    <w:rsid w:val="00DE7D42"/>
    <w:rsid w:val="00DF0A25"/>
    <w:rsid w:val="00DF2F3C"/>
    <w:rsid w:val="00DF40EB"/>
    <w:rsid w:val="00DF4306"/>
    <w:rsid w:val="00DF4E13"/>
    <w:rsid w:val="00DF5F5C"/>
    <w:rsid w:val="00DF6C02"/>
    <w:rsid w:val="00DF7252"/>
    <w:rsid w:val="00DF754B"/>
    <w:rsid w:val="00E001C9"/>
    <w:rsid w:val="00E01D4E"/>
    <w:rsid w:val="00E0286C"/>
    <w:rsid w:val="00E0288F"/>
    <w:rsid w:val="00E02FB4"/>
    <w:rsid w:val="00E035BC"/>
    <w:rsid w:val="00E05FCB"/>
    <w:rsid w:val="00E05FD4"/>
    <w:rsid w:val="00E066E4"/>
    <w:rsid w:val="00E12225"/>
    <w:rsid w:val="00E12EBD"/>
    <w:rsid w:val="00E163C1"/>
    <w:rsid w:val="00E16923"/>
    <w:rsid w:val="00E20679"/>
    <w:rsid w:val="00E2260E"/>
    <w:rsid w:val="00E24AE8"/>
    <w:rsid w:val="00E250C5"/>
    <w:rsid w:val="00E25762"/>
    <w:rsid w:val="00E257F8"/>
    <w:rsid w:val="00E25F6D"/>
    <w:rsid w:val="00E2650A"/>
    <w:rsid w:val="00E27595"/>
    <w:rsid w:val="00E30FF8"/>
    <w:rsid w:val="00E31059"/>
    <w:rsid w:val="00E31ED3"/>
    <w:rsid w:val="00E348CB"/>
    <w:rsid w:val="00E34A52"/>
    <w:rsid w:val="00E3703C"/>
    <w:rsid w:val="00E371EB"/>
    <w:rsid w:val="00E4221C"/>
    <w:rsid w:val="00E43B6C"/>
    <w:rsid w:val="00E43F72"/>
    <w:rsid w:val="00E4417C"/>
    <w:rsid w:val="00E451DD"/>
    <w:rsid w:val="00E4554C"/>
    <w:rsid w:val="00E45B7C"/>
    <w:rsid w:val="00E475B0"/>
    <w:rsid w:val="00E567E5"/>
    <w:rsid w:val="00E57345"/>
    <w:rsid w:val="00E63DD7"/>
    <w:rsid w:val="00E64AE3"/>
    <w:rsid w:val="00E66140"/>
    <w:rsid w:val="00E674DF"/>
    <w:rsid w:val="00E70925"/>
    <w:rsid w:val="00E7258C"/>
    <w:rsid w:val="00E73738"/>
    <w:rsid w:val="00E77FF9"/>
    <w:rsid w:val="00E807EB"/>
    <w:rsid w:val="00E823ED"/>
    <w:rsid w:val="00E84C12"/>
    <w:rsid w:val="00E91AD0"/>
    <w:rsid w:val="00E97A21"/>
    <w:rsid w:val="00EA2C1C"/>
    <w:rsid w:val="00EA3EE1"/>
    <w:rsid w:val="00EA40E8"/>
    <w:rsid w:val="00EB13B2"/>
    <w:rsid w:val="00EB16A6"/>
    <w:rsid w:val="00EB26A1"/>
    <w:rsid w:val="00EB395F"/>
    <w:rsid w:val="00EB5030"/>
    <w:rsid w:val="00EB7D2F"/>
    <w:rsid w:val="00EC088A"/>
    <w:rsid w:val="00EC12A2"/>
    <w:rsid w:val="00EC1CDD"/>
    <w:rsid w:val="00EC4310"/>
    <w:rsid w:val="00EC6F57"/>
    <w:rsid w:val="00ED0060"/>
    <w:rsid w:val="00ED195E"/>
    <w:rsid w:val="00ED29AD"/>
    <w:rsid w:val="00ED3D94"/>
    <w:rsid w:val="00ED41E5"/>
    <w:rsid w:val="00ED6713"/>
    <w:rsid w:val="00EE0494"/>
    <w:rsid w:val="00EE09B4"/>
    <w:rsid w:val="00EE0F84"/>
    <w:rsid w:val="00EE10D1"/>
    <w:rsid w:val="00EE1537"/>
    <w:rsid w:val="00EE3515"/>
    <w:rsid w:val="00EE4170"/>
    <w:rsid w:val="00EE43FD"/>
    <w:rsid w:val="00EE5FC4"/>
    <w:rsid w:val="00EF0006"/>
    <w:rsid w:val="00EF0915"/>
    <w:rsid w:val="00EF1DFC"/>
    <w:rsid w:val="00EF2A16"/>
    <w:rsid w:val="00EF522C"/>
    <w:rsid w:val="00EF54B4"/>
    <w:rsid w:val="00EF5F44"/>
    <w:rsid w:val="00EF7B39"/>
    <w:rsid w:val="00EF7C24"/>
    <w:rsid w:val="00F0085C"/>
    <w:rsid w:val="00F00F25"/>
    <w:rsid w:val="00F043ED"/>
    <w:rsid w:val="00F04D8A"/>
    <w:rsid w:val="00F1234F"/>
    <w:rsid w:val="00F12A19"/>
    <w:rsid w:val="00F12A47"/>
    <w:rsid w:val="00F1330D"/>
    <w:rsid w:val="00F204E1"/>
    <w:rsid w:val="00F25169"/>
    <w:rsid w:val="00F26145"/>
    <w:rsid w:val="00F30A6F"/>
    <w:rsid w:val="00F31E4A"/>
    <w:rsid w:val="00F32973"/>
    <w:rsid w:val="00F32CD9"/>
    <w:rsid w:val="00F40CC8"/>
    <w:rsid w:val="00F41BCF"/>
    <w:rsid w:val="00F422E4"/>
    <w:rsid w:val="00F433AD"/>
    <w:rsid w:val="00F4450A"/>
    <w:rsid w:val="00F5003E"/>
    <w:rsid w:val="00F50093"/>
    <w:rsid w:val="00F50D3F"/>
    <w:rsid w:val="00F51687"/>
    <w:rsid w:val="00F52127"/>
    <w:rsid w:val="00F53C34"/>
    <w:rsid w:val="00F55563"/>
    <w:rsid w:val="00F56228"/>
    <w:rsid w:val="00F5729C"/>
    <w:rsid w:val="00F603ED"/>
    <w:rsid w:val="00F60452"/>
    <w:rsid w:val="00F6050D"/>
    <w:rsid w:val="00F60D5A"/>
    <w:rsid w:val="00F60DA1"/>
    <w:rsid w:val="00F6247F"/>
    <w:rsid w:val="00F663C0"/>
    <w:rsid w:val="00F676BF"/>
    <w:rsid w:val="00F70487"/>
    <w:rsid w:val="00F72AC4"/>
    <w:rsid w:val="00F730FF"/>
    <w:rsid w:val="00F73252"/>
    <w:rsid w:val="00F73CA6"/>
    <w:rsid w:val="00F749D3"/>
    <w:rsid w:val="00F752B9"/>
    <w:rsid w:val="00F75C11"/>
    <w:rsid w:val="00F82CE9"/>
    <w:rsid w:val="00F837FD"/>
    <w:rsid w:val="00F84DB5"/>
    <w:rsid w:val="00F8603E"/>
    <w:rsid w:val="00F86211"/>
    <w:rsid w:val="00F86494"/>
    <w:rsid w:val="00F86F9F"/>
    <w:rsid w:val="00F87B64"/>
    <w:rsid w:val="00F87C6C"/>
    <w:rsid w:val="00F918C3"/>
    <w:rsid w:val="00F91D13"/>
    <w:rsid w:val="00F91E34"/>
    <w:rsid w:val="00F95DB5"/>
    <w:rsid w:val="00F966B4"/>
    <w:rsid w:val="00F975F8"/>
    <w:rsid w:val="00FA27FD"/>
    <w:rsid w:val="00FA4F02"/>
    <w:rsid w:val="00FA5916"/>
    <w:rsid w:val="00FA5B12"/>
    <w:rsid w:val="00FA5DBD"/>
    <w:rsid w:val="00FA600A"/>
    <w:rsid w:val="00FB1AF4"/>
    <w:rsid w:val="00FB4B35"/>
    <w:rsid w:val="00FB4E9D"/>
    <w:rsid w:val="00FB7FBC"/>
    <w:rsid w:val="00FC250F"/>
    <w:rsid w:val="00FC5DFA"/>
    <w:rsid w:val="00FC691A"/>
    <w:rsid w:val="00FD0182"/>
    <w:rsid w:val="00FD0253"/>
    <w:rsid w:val="00FD1DC6"/>
    <w:rsid w:val="00FD2119"/>
    <w:rsid w:val="00FD7E41"/>
    <w:rsid w:val="00FE0A1C"/>
    <w:rsid w:val="00FE19C3"/>
    <w:rsid w:val="00FE20EB"/>
    <w:rsid w:val="00FE4A6F"/>
    <w:rsid w:val="00FE6655"/>
    <w:rsid w:val="00FE69C5"/>
    <w:rsid w:val="00FF29EA"/>
    <w:rsid w:val="00FF4A22"/>
    <w:rsid w:val="00FF6E71"/>
    <w:rsid w:val="00FF7A0F"/>
    <w:rsid w:val="012658DE"/>
    <w:rsid w:val="015330F2"/>
    <w:rsid w:val="01986128"/>
    <w:rsid w:val="025C5D21"/>
    <w:rsid w:val="029C7664"/>
    <w:rsid w:val="03065B89"/>
    <w:rsid w:val="03E72B61"/>
    <w:rsid w:val="03EE3926"/>
    <w:rsid w:val="0405533F"/>
    <w:rsid w:val="041300AE"/>
    <w:rsid w:val="041B0A5C"/>
    <w:rsid w:val="0438671F"/>
    <w:rsid w:val="04397599"/>
    <w:rsid w:val="04695C6C"/>
    <w:rsid w:val="049525BD"/>
    <w:rsid w:val="05812B41"/>
    <w:rsid w:val="05DF796B"/>
    <w:rsid w:val="072C03D9"/>
    <w:rsid w:val="082D6AB5"/>
    <w:rsid w:val="087F7CA5"/>
    <w:rsid w:val="08940DDD"/>
    <w:rsid w:val="089813CD"/>
    <w:rsid w:val="08F42FA2"/>
    <w:rsid w:val="08F60DA2"/>
    <w:rsid w:val="09B11C05"/>
    <w:rsid w:val="09DE6D79"/>
    <w:rsid w:val="0A037FC9"/>
    <w:rsid w:val="0A0E13BB"/>
    <w:rsid w:val="0A187F18"/>
    <w:rsid w:val="0A1E4178"/>
    <w:rsid w:val="0A314A2F"/>
    <w:rsid w:val="0A604B29"/>
    <w:rsid w:val="0B5F4B9C"/>
    <w:rsid w:val="0B696551"/>
    <w:rsid w:val="0C5878C8"/>
    <w:rsid w:val="0C8B6FEA"/>
    <w:rsid w:val="0C8C21A1"/>
    <w:rsid w:val="0C9F11BA"/>
    <w:rsid w:val="0CBC362D"/>
    <w:rsid w:val="0CFC77E1"/>
    <w:rsid w:val="0D300BD4"/>
    <w:rsid w:val="0DF851E4"/>
    <w:rsid w:val="0E9E42A7"/>
    <w:rsid w:val="0EE505E5"/>
    <w:rsid w:val="0EF40ED5"/>
    <w:rsid w:val="0F9D10C6"/>
    <w:rsid w:val="10473FE8"/>
    <w:rsid w:val="10E44F3C"/>
    <w:rsid w:val="111654C1"/>
    <w:rsid w:val="11711794"/>
    <w:rsid w:val="11EC6A3B"/>
    <w:rsid w:val="12237839"/>
    <w:rsid w:val="128F0200"/>
    <w:rsid w:val="13706BF0"/>
    <w:rsid w:val="137E00AB"/>
    <w:rsid w:val="13EB6674"/>
    <w:rsid w:val="13EF4F6E"/>
    <w:rsid w:val="14B95A72"/>
    <w:rsid w:val="15284D87"/>
    <w:rsid w:val="16087F4C"/>
    <w:rsid w:val="169A3A63"/>
    <w:rsid w:val="16D82896"/>
    <w:rsid w:val="17237EFC"/>
    <w:rsid w:val="1783099B"/>
    <w:rsid w:val="18465415"/>
    <w:rsid w:val="184D138E"/>
    <w:rsid w:val="18D771F0"/>
    <w:rsid w:val="193F0A98"/>
    <w:rsid w:val="195B7EBF"/>
    <w:rsid w:val="196B2ACF"/>
    <w:rsid w:val="197467ED"/>
    <w:rsid w:val="1A32180E"/>
    <w:rsid w:val="1ABD1E28"/>
    <w:rsid w:val="1AD25EC1"/>
    <w:rsid w:val="1B0E67CD"/>
    <w:rsid w:val="1BF81957"/>
    <w:rsid w:val="1C280758"/>
    <w:rsid w:val="1C840654"/>
    <w:rsid w:val="1D1248C6"/>
    <w:rsid w:val="1D613A00"/>
    <w:rsid w:val="1DD9494E"/>
    <w:rsid w:val="1E234C86"/>
    <w:rsid w:val="1E434C67"/>
    <w:rsid w:val="1E50483C"/>
    <w:rsid w:val="1E560BB7"/>
    <w:rsid w:val="1EDB74D8"/>
    <w:rsid w:val="1F0D221D"/>
    <w:rsid w:val="1F85443C"/>
    <w:rsid w:val="20253A35"/>
    <w:rsid w:val="20F862BD"/>
    <w:rsid w:val="21E96E3C"/>
    <w:rsid w:val="2209417C"/>
    <w:rsid w:val="22124DF5"/>
    <w:rsid w:val="228E7AF9"/>
    <w:rsid w:val="23CD0459"/>
    <w:rsid w:val="23E940CE"/>
    <w:rsid w:val="255A28F4"/>
    <w:rsid w:val="25981AB5"/>
    <w:rsid w:val="25AC3115"/>
    <w:rsid w:val="25DE4329"/>
    <w:rsid w:val="2630381F"/>
    <w:rsid w:val="265C2AE3"/>
    <w:rsid w:val="2679798B"/>
    <w:rsid w:val="270076E5"/>
    <w:rsid w:val="27CB5FB7"/>
    <w:rsid w:val="283047CD"/>
    <w:rsid w:val="28606244"/>
    <w:rsid w:val="2890116A"/>
    <w:rsid w:val="29331B90"/>
    <w:rsid w:val="297B2371"/>
    <w:rsid w:val="29813E53"/>
    <w:rsid w:val="29F51284"/>
    <w:rsid w:val="29FD3A69"/>
    <w:rsid w:val="2A273408"/>
    <w:rsid w:val="2A281FC1"/>
    <w:rsid w:val="2A3D38E0"/>
    <w:rsid w:val="2A4A7573"/>
    <w:rsid w:val="2AB949A8"/>
    <w:rsid w:val="2BC35972"/>
    <w:rsid w:val="2BCF3D57"/>
    <w:rsid w:val="2C940BCC"/>
    <w:rsid w:val="2D9C536D"/>
    <w:rsid w:val="2EBC12E0"/>
    <w:rsid w:val="30055F99"/>
    <w:rsid w:val="30442130"/>
    <w:rsid w:val="30B6708F"/>
    <w:rsid w:val="30C54F18"/>
    <w:rsid w:val="31B0105A"/>
    <w:rsid w:val="32242987"/>
    <w:rsid w:val="324C711F"/>
    <w:rsid w:val="32692989"/>
    <w:rsid w:val="326A4F13"/>
    <w:rsid w:val="33551CE8"/>
    <w:rsid w:val="3392223A"/>
    <w:rsid w:val="33AE3B47"/>
    <w:rsid w:val="33CC5BF5"/>
    <w:rsid w:val="343D5E00"/>
    <w:rsid w:val="34754069"/>
    <w:rsid w:val="34CA4F44"/>
    <w:rsid w:val="34D56635"/>
    <w:rsid w:val="354237EC"/>
    <w:rsid w:val="3583008C"/>
    <w:rsid w:val="35904557"/>
    <w:rsid w:val="35B34724"/>
    <w:rsid w:val="362B5020"/>
    <w:rsid w:val="36511F38"/>
    <w:rsid w:val="3670429B"/>
    <w:rsid w:val="367125DA"/>
    <w:rsid w:val="367F5432"/>
    <w:rsid w:val="36A55DE0"/>
    <w:rsid w:val="36F03746"/>
    <w:rsid w:val="370C40B1"/>
    <w:rsid w:val="37384EAB"/>
    <w:rsid w:val="37C56B6C"/>
    <w:rsid w:val="38DA3A53"/>
    <w:rsid w:val="3935087C"/>
    <w:rsid w:val="39586514"/>
    <w:rsid w:val="39D16FC5"/>
    <w:rsid w:val="39DC5BB6"/>
    <w:rsid w:val="3A2F2590"/>
    <w:rsid w:val="3A52002D"/>
    <w:rsid w:val="3B5E0630"/>
    <w:rsid w:val="3B8B6283"/>
    <w:rsid w:val="3B9F3746"/>
    <w:rsid w:val="3BD864DE"/>
    <w:rsid w:val="3C574020"/>
    <w:rsid w:val="3C8E5AD8"/>
    <w:rsid w:val="3DB5782E"/>
    <w:rsid w:val="3DEF013E"/>
    <w:rsid w:val="3E952BDE"/>
    <w:rsid w:val="40852E38"/>
    <w:rsid w:val="40BF552B"/>
    <w:rsid w:val="40C94DC1"/>
    <w:rsid w:val="41503DA4"/>
    <w:rsid w:val="41BA5FF4"/>
    <w:rsid w:val="42467E78"/>
    <w:rsid w:val="42AF7B4C"/>
    <w:rsid w:val="42D812EB"/>
    <w:rsid w:val="42D948AF"/>
    <w:rsid w:val="43A362A0"/>
    <w:rsid w:val="44E93C84"/>
    <w:rsid w:val="44EB6AC4"/>
    <w:rsid w:val="452B7DF8"/>
    <w:rsid w:val="455455A1"/>
    <w:rsid w:val="45724207"/>
    <w:rsid w:val="45E77DBB"/>
    <w:rsid w:val="46733805"/>
    <w:rsid w:val="47012012"/>
    <w:rsid w:val="47301771"/>
    <w:rsid w:val="478D6F91"/>
    <w:rsid w:val="48153B1E"/>
    <w:rsid w:val="482B46BB"/>
    <w:rsid w:val="48AC6612"/>
    <w:rsid w:val="48D52E6D"/>
    <w:rsid w:val="491270E4"/>
    <w:rsid w:val="49F015EF"/>
    <w:rsid w:val="4A501080"/>
    <w:rsid w:val="4AB443EC"/>
    <w:rsid w:val="4ABC5DFB"/>
    <w:rsid w:val="4AC5484B"/>
    <w:rsid w:val="4B0B1170"/>
    <w:rsid w:val="4B3F3ECF"/>
    <w:rsid w:val="4B431506"/>
    <w:rsid w:val="4B7E3B21"/>
    <w:rsid w:val="4BA32DDE"/>
    <w:rsid w:val="4C4776B4"/>
    <w:rsid w:val="4C6A074A"/>
    <w:rsid w:val="4D8A326C"/>
    <w:rsid w:val="4E45017D"/>
    <w:rsid w:val="4EB250E6"/>
    <w:rsid w:val="4F710AFD"/>
    <w:rsid w:val="4FE63299"/>
    <w:rsid w:val="517A288C"/>
    <w:rsid w:val="51E778F0"/>
    <w:rsid w:val="521D0799"/>
    <w:rsid w:val="52512223"/>
    <w:rsid w:val="5265416F"/>
    <w:rsid w:val="529C40E3"/>
    <w:rsid w:val="52AD405F"/>
    <w:rsid w:val="52C321A1"/>
    <w:rsid w:val="5343652A"/>
    <w:rsid w:val="53F37618"/>
    <w:rsid w:val="54113073"/>
    <w:rsid w:val="546E0F30"/>
    <w:rsid w:val="54B4582E"/>
    <w:rsid w:val="54D6501D"/>
    <w:rsid w:val="54E3338B"/>
    <w:rsid w:val="55243733"/>
    <w:rsid w:val="55934876"/>
    <w:rsid w:val="55A63D14"/>
    <w:rsid w:val="55BA0733"/>
    <w:rsid w:val="561A5A4B"/>
    <w:rsid w:val="56C105BC"/>
    <w:rsid w:val="57255781"/>
    <w:rsid w:val="574C432A"/>
    <w:rsid w:val="57722D62"/>
    <w:rsid w:val="577708FE"/>
    <w:rsid w:val="579205C7"/>
    <w:rsid w:val="581A2A44"/>
    <w:rsid w:val="588457FC"/>
    <w:rsid w:val="58973900"/>
    <w:rsid w:val="58DA44BD"/>
    <w:rsid w:val="595A2602"/>
    <w:rsid w:val="5A435626"/>
    <w:rsid w:val="5B301722"/>
    <w:rsid w:val="5B4041A6"/>
    <w:rsid w:val="5B727555"/>
    <w:rsid w:val="5C7B3125"/>
    <w:rsid w:val="5DE2505B"/>
    <w:rsid w:val="5E1E0C2F"/>
    <w:rsid w:val="5E970136"/>
    <w:rsid w:val="5F3A67B5"/>
    <w:rsid w:val="5F743453"/>
    <w:rsid w:val="5FF358A6"/>
    <w:rsid w:val="5FF91718"/>
    <w:rsid w:val="600A3958"/>
    <w:rsid w:val="604665C9"/>
    <w:rsid w:val="60542B56"/>
    <w:rsid w:val="60736049"/>
    <w:rsid w:val="615C33BC"/>
    <w:rsid w:val="61B054B5"/>
    <w:rsid w:val="621E2D67"/>
    <w:rsid w:val="621F1AD0"/>
    <w:rsid w:val="622F0AD0"/>
    <w:rsid w:val="626B4B48"/>
    <w:rsid w:val="62A9148F"/>
    <w:rsid w:val="632579ED"/>
    <w:rsid w:val="63A461D4"/>
    <w:rsid w:val="6483767E"/>
    <w:rsid w:val="64E61D55"/>
    <w:rsid w:val="65776900"/>
    <w:rsid w:val="65B302F4"/>
    <w:rsid w:val="661B2EB2"/>
    <w:rsid w:val="662A47D3"/>
    <w:rsid w:val="66546D57"/>
    <w:rsid w:val="669058B5"/>
    <w:rsid w:val="67C225DD"/>
    <w:rsid w:val="67CC6DC1"/>
    <w:rsid w:val="67E820FC"/>
    <w:rsid w:val="68EB3277"/>
    <w:rsid w:val="695A6B75"/>
    <w:rsid w:val="69B0084D"/>
    <w:rsid w:val="6A3A6264"/>
    <w:rsid w:val="6A451887"/>
    <w:rsid w:val="6A694D9B"/>
    <w:rsid w:val="6A8B6E4A"/>
    <w:rsid w:val="6AB7486A"/>
    <w:rsid w:val="6ACC0869"/>
    <w:rsid w:val="6B375F95"/>
    <w:rsid w:val="6B463B67"/>
    <w:rsid w:val="6BEA55F0"/>
    <w:rsid w:val="6C07486C"/>
    <w:rsid w:val="6C22436E"/>
    <w:rsid w:val="6C2C368D"/>
    <w:rsid w:val="6C3D3118"/>
    <w:rsid w:val="6C78592B"/>
    <w:rsid w:val="6C874034"/>
    <w:rsid w:val="6CA346C2"/>
    <w:rsid w:val="6D360E1C"/>
    <w:rsid w:val="6D80085F"/>
    <w:rsid w:val="6D9322E5"/>
    <w:rsid w:val="6DE152E3"/>
    <w:rsid w:val="6EE80984"/>
    <w:rsid w:val="6F1F44BB"/>
    <w:rsid w:val="6F2620D4"/>
    <w:rsid w:val="6F88721F"/>
    <w:rsid w:val="7000585A"/>
    <w:rsid w:val="70051724"/>
    <w:rsid w:val="7090389B"/>
    <w:rsid w:val="709E455E"/>
    <w:rsid w:val="70ED4A5D"/>
    <w:rsid w:val="713E5390"/>
    <w:rsid w:val="717E58D5"/>
    <w:rsid w:val="71864D87"/>
    <w:rsid w:val="72B76E22"/>
    <w:rsid w:val="735C15A0"/>
    <w:rsid w:val="738629CE"/>
    <w:rsid w:val="74224B99"/>
    <w:rsid w:val="74275AAB"/>
    <w:rsid w:val="74281823"/>
    <w:rsid w:val="74E120FE"/>
    <w:rsid w:val="7572236F"/>
    <w:rsid w:val="758319A8"/>
    <w:rsid w:val="75D532E5"/>
    <w:rsid w:val="75F5155B"/>
    <w:rsid w:val="763164AC"/>
    <w:rsid w:val="763B583E"/>
    <w:rsid w:val="76D637B8"/>
    <w:rsid w:val="775C13BB"/>
    <w:rsid w:val="779455FA"/>
    <w:rsid w:val="779F608B"/>
    <w:rsid w:val="78CD346B"/>
    <w:rsid w:val="78FB37C0"/>
    <w:rsid w:val="79496D07"/>
    <w:rsid w:val="79651977"/>
    <w:rsid w:val="79951A24"/>
    <w:rsid w:val="79D24516"/>
    <w:rsid w:val="79D95BF8"/>
    <w:rsid w:val="79DB5E7B"/>
    <w:rsid w:val="7A1563A6"/>
    <w:rsid w:val="7A290518"/>
    <w:rsid w:val="7A3249E0"/>
    <w:rsid w:val="7A6D4434"/>
    <w:rsid w:val="7A785601"/>
    <w:rsid w:val="7AA65D2E"/>
    <w:rsid w:val="7B631D8D"/>
    <w:rsid w:val="7B984F24"/>
    <w:rsid w:val="7C1219E4"/>
    <w:rsid w:val="7C54768B"/>
    <w:rsid w:val="7C8415C1"/>
    <w:rsid w:val="7C950435"/>
    <w:rsid w:val="7CE87C29"/>
    <w:rsid w:val="7D341239"/>
    <w:rsid w:val="7D3538EC"/>
    <w:rsid w:val="7D690EE2"/>
    <w:rsid w:val="7D883F06"/>
    <w:rsid w:val="7DC76B7E"/>
    <w:rsid w:val="7E01111B"/>
    <w:rsid w:val="7EB51F05"/>
    <w:rsid w:val="7EDB7BBE"/>
    <w:rsid w:val="7EFA7D4D"/>
    <w:rsid w:val="7F02598A"/>
    <w:rsid w:val="7F1777C8"/>
    <w:rsid w:val="7F693877"/>
    <w:rsid w:val="7FDA1E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210"/>
    </w:pPr>
    <w:rPr>
      <w:sz w:val="21"/>
    </w:rPr>
  </w:style>
  <w:style w:type="paragraph" w:styleId="3">
    <w:name w:val="Body Text Indent"/>
    <w:basedOn w:val="1"/>
    <w:next w:val="4"/>
    <w:qFormat/>
    <w:uiPriority w:val="0"/>
    <w:pPr>
      <w:spacing w:after="120"/>
      <w:ind w:left="420" w:leftChars="200"/>
    </w:pPr>
  </w:style>
  <w:style w:type="paragraph" w:styleId="4">
    <w:name w:val="annotation subject"/>
    <w:basedOn w:val="5"/>
    <w:next w:val="1"/>
    <w:link w:val="24"/>
    <w:semiHidden/>
    <w:unhideWhenUsed/>
    <w:qFormat/>
    <w:uiPriority w:val="99"/>
    <w:rPr>
      <w:b/>
      <w:bCs/>
    </w:rPr>
  </w:style>
  <w:style w:type="paragraph" w:styleId="5">
    <w:name w:val="annotation text"/>
    <w:basedOn w:val="1"/>
    <w:link w:val="23"/>
    <w:semiHidden/>
    <w:unhideWhenUsed/>
    <w:qFormat/>
    <w:uiPriority w:val="99"/>
    <w:pPr>
      <w:jc w:val="left"/>
    </w:pPr>
  </w:style>
  <w:style w:type="paragraph" w:customStyle="1" w:styleId="6">
    <w:name w:val="正文1"/>
    <w:basedOn w:val="1"/>
    <w:qFormat/>
    <w:uiPriority w:val="0"/>
    <w:pPr>
      <w:spacing w:line="360" w:lineRule="auto"/>
      <w:ind w:firstLine="480"/>
    </w:pPr>
    <w:rPr>
      <w:sz w:val="24"/>
    </w:rPr>
  </w:style>
  <w:style w:type="paragraph" w:styleId="7">
    <w:name w:val="Body Text"/>
    <w:basedOn w:val="1"/>
    <w:next w:val="8"/>
    <w:qFormat/>
    <w:uiPriority w:val="99"/>
    <w:pPr>
      <w:spacing w:after="120"/>
    </w:pPr>
  </w:style>
  <w:style w:type="paragraph" w:customStyle="1" w:styleId="8">
    <w:name w:val="正文首行缩进1"/>
    <w:basedOn w:val="1"/>
    <w:qFormat/>
    <w:uiPriority w:val="0"/>
    <w:pPr>
      <w:spacing w:after="120"/>
      <w:ind w:firstLine="420" w:firstLineChars="100"/>
    </w:pPr>
    <w:rPr>
      <w:rFonts w:hint="eastAsia"/>
      <w:szCs w:val="20"/>
    </w:rPr>
  </w:style>
  <w:style w:type="paragraph" w:styleId="9">
    <w:name w:val="Date"/>
    <w:basedOn w:val="1"/>
    <w:next w:val="1"/>
    <w:link w:val="25"/>
    <w:semiHidden/>
    <w:unhideWhenUsed/>
    <w:qFormat/>
    <w:uiPriority w:val="99"/>
    <w:pPr>
      <w:ind w:left="100" w:leftChars="2500"/>
    </w:pPr>
  </w:style>
  <w:style w:type="paragraph" w:styleId="10">
    <w:name w:val="Balloon Text"/>
    <w:basedOn w:val="1"/>
    <w:link w:val="22"/>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99"/>
    <w:rPr>
      <w:rFonts w:cs="Times New Roman"/>
    </w:rPr>
  </w:style>
  <w:style w:type="character" w:styleId="17">
    <w:name w:val="annotation reference"/>
    <w:basedOn w:val="15"/>
    <w:semiHidden/>
    <w:unhideWhenUsed/>
    <w:qFormat/>
    <w:uiPriority w:val="99"/>
    <w:rPr>
      <w:sz w:val="21"/>
      <w:szCs w:val="21"/>
    </w:rPr>
  </w:style>
  <w:style w:type="paragraph" w:customStyle="1" w:styleId="18">
    <w:name w:val="正文（缩进）"/>
    <w:basedOn w:val="1"/>
    <w:qFormat/>
    <w:uiPriority w:val="0"/>
    <w:pPr>
      <w:spacing w:before="156" w:after="156"/>
    </w:pPr>
  </w:style>
  <w:style w:type="character" w:customStyle="1" w:styleId="19">
    <w:name w:val="页眉 字符"/>
    <w:basedOn w:val="15"/>
    <w:link w:val="12"/>
    <w:qFormat/>
    <w:uiPriority w:val="99"/>
    <w:rPr>
      <w:sz w:val="18"/>
      <w:szCs w:val="18"/>
    </w:rPr>
  </w:style>
  <w:style w:type="character" w:customStyle="1" w:styleId="20">
    <w:name w:val="页脚 字符"/>
    <w:basedOn w:val="15"/>
    <w:link w:val="11"/>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15"/>
    <w:link w:val="10"/>
    <w:semiHidden/>
    <w:qFormat/>
    <w:uiPriority w:val="99"/>
    <w:rPr>
      <w:rFonts w:ascii="Times New Roman" w:hAnsi="Times New Roman" w:eastAsia="仿宋_GB2312" w:cs="Times New Roman"/>
      <w:sz w:val="18"/>
      <w:szCs w:val="18"/>
    </w:rPr>
  </w:style>
  <w:style w:type="character" w:customStyle="1" w:styleId="23">
    <w:name w:val="批注文字 字符"/>
    <w:basedOn w:val="15"/>
    <w:link w:val="5"/>
    <w:semiHidden/>
    <w:qFormat/>
    <w:uiPriority w:val="99"/>
    <w:rPr>
      <w:rFonts w:ascii="Times New Roman" w:hAnsi="Times New Roman" w:eastAsia="仿宋_GB2312" w:cs="Times New Roman"/>
      <w:sz w:val="30"/>
      <w:szCs w:val="24"/>
    </w:rPr>
  </w:style>
  <w:style w:type="character" w:customStyle="1" w:styleId="24">
    <w:name w:val="批注主题 字符"/>
    <w:basedOn w:val="23"/>
    <w:link w:val="4"/>
    <w:semiHidden/>
    <w:qFormat/>
    <w:uiPriority w:val="99"/>
    <w:rPr>
      <w:rFonts w:ascii="Times New Roman" w:hAnsi="Times New Roman" w:eastAsia="仿宋_GB2312" w:cs="Times New Roman"/>
      <w:b/>
      <w:bCs/>
      <w:sz w:val="30"/>
      <w:szCs w:val="24"/>
    </w:rPr>
  </w:style>
  <w:style w:type="character" w:customStyle="1" w:styleId="25">
    <w:name w:val="日期 字符"/>
    <w:basedOn w:val="15"/>
    <w:link w:val="9"/>
    <w:semiHidden/>
    <w:qFormat/>
    <w:uiPriority w:val="99"/>
    <w:rPr>
      <w:rFonts w:eastAsia="仿宋_GB2312"/>
      <w:kern w:val="2"/>
      <w:sz w:val="30"/>
      <w:szCs w:val="24"/>
    </w:rPr>
  </w:style>
  <w:style w:type="paragraph" w:customStyle="1" w:styleId="26">
    <w:name w:val="Body text|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27">
    <w:name w:val="立信附注正文 [1级]"/>
    <w:qFormat/>
    <w:uiPriority w:val="0"/>
    <w:pPr>
      <w:widowControl w:val="0"/>
      <w:tabs>
        <w:tab w:val="left" w:pos="0"/>
      </w:tabs>
      <w:adjustRightInd w:val="0"/>
      <w:snapToGrid w:val="0"/>
      <w:spacing w:line="400" w:lineRule="atLeast"/>
      <w:ind w:firstLine="567"/>
      <w:jc w:val="both"/>
    </w:pPr>
    <w:rPr>
      <w:rFonts w:ascii="Times New Roman" w:hAnsi="Times New Roman" w:eastAsia="宋体" w:cs="Times New Roman"/>
      <w:color w:val="000000"/>
      <w:kern w:val="2"/>
      <w:sz w:val="28"/>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2754A-CFC3-4B37-A1F2-DB164CD849D3}">
  <ds:schemaRefs/>
</ds:datastoreItem>
</file>

<file path=docProps/app.xml><?xml version="1.0" encoding="utf-8"?>
<Properties xmlns="http://schemas.openxmlformats.org/officeDocument/2006/extended-properties" xmlns:vt="http://schemas.openxmlformats.org/officeDocument/2006/docPropsVTypes">
  <Template>Normal</Template>
  <Pages>8</Pages>
  <Words>2747</Words>
  <Characters>2937</Characters>
  <Lines>32</Lines>
  <Paragraphs>9</Paragraphs>
  <TotalTime>0</TotalTime>
  <ScaleCrop>false</ScaleCrop>
  <LinksUpToDate>false</LinksUpToDate>
  <CharactersWithSpaces>3101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2021-12-28T03:05:00Z</dcterms:created>
  <dc:creator>张霞</dc:creator>
  <cp:lastModifiedBy>Administrator</cp:lastModifiedBy>
  <cp:lastPrinted>2022-01-10T02:18:00Z</cp:lastPrinted>
  <dcterms:modified xsi:type="dcterms:W3CDTF">2023-12-11T09:16:53Z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929C1FB57BE545C183DB5A01F7027435</vt:lpwstr>
  </property>
</Properties>
</file>