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0" w:lineRule="auto"/>
        <w:ind w:left="0" w:leftChars="0" w:firstLine="0" w:firstLineChars="0"/>
        <w:jc w:val="center"/>
        <w:rPr>
          <w:rFonts w:hint="eastAsia" w:ascii="Times New Roman" w:hAnsi="Times New Roman"/>
          <w:color w:val="auto"/>
          <w:sz w:val="44"/>
          <w:szCs w:val="44"/>
          <w:highlight w:val="none"/>
          <w:u w:val="none" w:color="auto"/>
          <w:lang w:val="en-US" w:eastAsia="zh-CN"/>
        </w:rPr>
      </w:pPr>
    </w:p>
    <w:p>
      <w:pPr>
        <w:pStyle w:val="4"/>
        <w:spacing w:line="240" w:lineRule="auto"/>
        <w:ind w:left="0" w:leftChars="0" w:firstLine="0" w:firstLineChars="0"/>
        <w:jc w:val="center"/>
        <w:rPr>
          <w:rFonts w:hint="eastAsia" w:ascii="Times New Roman" w:hAnsi="Times New Roman"/>
          <w:color w:val="auto"/>
          <w:sz w:val="44"/>
          <w:szCs w:val="44"/>
          <w:highlight w:val="none"/>
          <w:u w:val="none" w:color="auto"/>
          <w:lang w:val="en-US" w:eastAsia="zh-CN"/>
        </w:rPr>
      </w:pP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color w:val="auto"/>
          <w:sz w:val="44"/>
          <w:szCs w:val="44"/>
          <w:highlight w:val="none"/>
          <w:u w:val="none" w:color="auto"/>
          <w:lang w:val="en-US" w:eastAsia="zh-CN"/>
        </w:rPr>
      </w:pPr>
      <w:r>
        <w:rPr>
          <w:rFonts w:hint="eastAsia" w:ascii="Times New Roman" w:hAnsi="Times New Roman"/>
          <w:color w:val="auto"/>
          <w:sz w:val="44"/>
          <w:szCs w:val="44"/>
          <w:highlight w:val="none"/>
          <w:u w:val="none" w:color="auto"/>
          <w:lang w:val="en-US" w:eastAsia="zh-CN"/>
        </w:rPr>
        <w:t xml:space="preserve">                        </w:t>
      </w:r>
      <w:r>
        <w:rPr>
          <w:rFonts w:hint="eastAsia" w:ascii="仿宋_GB2312" w:eastAsia="仿宋_GB2312"/>
          <w:color w:val="auto"/>
          <w:sz w:val="32"/>
          <w:szCs w:val="32"/>
          <w:highlight w:val="none"/>
          <w:lang w:val="en-US" w:eastAsia="zh-CN"/>
        </w:rPr>
        <w:t>常</w:t>
      </w:r>
      <w:r>
        <w:rPr>
          <w:rFonts w:hint="eastAsia" w:ascii="仿宋_GB2312" w:eastAsia="仿宋_GB2312"/>
          <w:color w:val="auto"/>
          <w:sz w:val="32"/>
          <w:szCs w:val="32"/>
          <w:highlight w:val="none"/>
        </w:rPr>
        <w:t>环</w:t>
      </w:r>
      <w:r>
        <w:rPr>
          <w:rFonts w:hint="eastAsia" w:ascii="仿宋_GB2312" w:eastAsia="仿宋_GB2312"/>
          <w:color w:val="auto"/>
          <w:sz w:val="32"/>
          <w:szCs w:val="32"/>
          <w:highlight w:val="none"/>
          <w:lang w:eastAsia="zh-CN"/>
        </w:rPr>
        <w:t>经</w:t>
      </w:r>
      <w:r>
        <w:rPr>
          <w:rFonts w:hint="eastAsia" w:ascii="仿宋_GB2312" w:eastAsia="仿宋_GB2312"/>
          <w:color w:val="auto"/>
          <w:sz w:val="32"/>
          <w:szCs w:val="32"/>
          <w:highlight w:val="none"/>
        </w:rPr>
        <w:t>建</w:t>
      </w:r>
      <w:r>
        <w:rPr>
          <w:rFonts w:hint="eastAsia" w:ascii="仿宋_GB2312" w:hAnsi="Times New Roman" w:eastAsia="仿宋_GB2312" w:cs="仿宋_GB2312"/>
          <w:color w:val="auto"/>
          <w:sz w:val="32"/>
          <w:szCs w:val="32"/>
          <w:highlight w:val="none"/>
        </w:rPr>
        <w:t>〔</w:t>
      </w:r>
      <w:r>
        <w:rPr>
          <w:rFonts w:ascii="仿宋_GB2312" w:hAnsi="Times New Roman" w:eastAsia="仿宋_GB2312" w:cs="仿宋_GB2312"/>
          <w:color w:val="auto"/>
          <w:sz w:val="32"/>
          <w:szCs w:val="32"/>
          <w:highlight w:val="none"/>
        </w:rPr>
        <w:t>202</w:t>
      </w:r>
      <w:r>
        <w:rPr>
          <w:rFonts w:hint="eastAsia" w:ascii="仿宋_GB2312" w:hAnsi="Times New Roman" w:eastAsia="仿宋_GB2312" w:cs="仿宋_GB2312"/>
          <w:color w:val="auto"/>
          <w:sz w:val="32"/>
          <w:szCs w:val="32"/>
          <w:highlight w:val="none"/>
          <w:lang w:val="en-US" w:eastAsia="zh-CN"/>
        </w:rPr>
        <w:t>4</w:t>
      </w:r>
      <w:r>
        <w:rPr>
          <w:rFonts w:hint="eastAsia" w:ascii="仿宋_GB2312" w:hAnsi="Times New Roman" w:eastAsia="仿宋_GB2312" w:cs="仿宋_GB2312"/>
          <w:color w:val="auto"/>
          <w:sz w:val="32"/>
          <w:szCs w:val="32"/>
          <w:highlight w:val="none"/>
        </w:rPr>
        <w:t>〕</w:t>
      </w:r>
      <w:r>
        <w:rPr>
          <w:rFonts w:hint="eastAsia" w:ascii="仿宋_GB2312" w:hAnsi="Times New Roman" w:eastAsia="仿宋_GB2312" w:cs="仿宋_GB2312"/>
          <w:color w:val="auto"/>
          <w:sz w:val="32"/>
          <w:szCs w:val="32"/>
          <w:highlight w:val="none"/>
          <w:lang w:val="en-US" w:eastAsia="zh-CN"/>
        </w:rPr>
        <w:t>6</w:t>
      </w:r>
      <w:r>
        <w:rPr>
          <w:rFonts w:hint="eastAsia" w:ascii="仿宋_GB2312" w:eastAsia="仿宋_GB2312"/>
          <w:color w:val="auto"/>
          <w:sz w:val="32"/>
          <w:szCs w:val="32"/>
          <w:highlight w:val="none"/>
        </w:rPr>
        <w:t>号</w:t>
      </w:r>
    </w:p>
    <w:p>
      <w:pPr>
        <w:pStyle w:val="4"/>
        <w:spacing w:line="240" w:lineRule="auto"/>
        <w:ind w:left="0" w:leftChars="0" w:firstLine="0" w:firstLineChars="0"/>
        <w:jc w:val="center"/>
        <w:rPr>
          <w:rFonts w:hint="eastAsia" w:ascii="Times New Roman" w:hAnsi="Times New Roman"/>
          <w:color w:val="auto"/>
          <w:sz w:val="44"/>
          <w:szCs w:val="44"/>
          <w:highlight w:val="none"/>
          <w:u w:val="none" w:color="auto"/>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u w:val="none" w:color="auto"/>
          <w:lang w:val="en-US" w:eastAsia="zh-CN"/>
        </w:rPr>
      </w:pPr>
      <w:r>
        <w:rPr>
          <w:rFonts w:hint="eastAsia" w:ascii="方正小标宋简体" w:hAnsi="方正小标宋简体" w:eastAsia="方正小标宋简体" w:cs="方正小标宋简体"/>
          <w:color w:val="auto"/>
          <w:sz w:val="44"/>
          <w:szCs w:val="44"/>
          <w:highlight w:val="none"/>
          <w:u w:val="none" w:color="auto"/>
          <w:lang w:val="en-US" w:eastAsia="zh-CN"/>
        </w:rPr>
        <w:t>常德市生态环境局</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440" w:firstLineChars="100"/>
        <w:jc w:val="both"/>
        <w:textAlignment w:val="auto"/>
        <w:rPr>
          <w:rFonts w:hint="eastAsia" w:ascii="方正小标宋简体" w:hAnsi="方正小标宋简体" w:eastAsia="方正小标宋简体" w:cs="方正小标宋简体"/>
          <w:color w:val="auto"/>
          <w:sz w:val="44"/>
          <w:szCs w:val="44"/>
          <w:highlight w:val="none"/>
          <w:u w:val="none" w:color="auto"/>
        </w:rPr>
      </w:pPr>
      <w:r>
        <w:rPr>
          <w:rFonts w:hint="eastAsia" w:ascii="方正小标宋简体" w:hAnsi="方正小标宋简体" w:eastAsia="方正小标宋简体" w:cs="方正小标宋简体"/>
          <w:color w:val="auto"/>
          <w:sz w:val="44"/>
          <w:szCs w:val="44"/>
          <w:highlight w:val="none"/>
          <w:u w:val="none" w:color="auto"/>
          <w:lang w:val="en-US" w:eastAsia="zh-CN"/>
        </w:rPr>
        <w:t>关于</w:t>
      </w:r>
      <w:bookmarkStart w:id="0" w:name="_GoBack"/>
      <w:r>
        <w:rPr>
          <w:rFonts w:hint="eastAsia" w:ascii="方正小标宋简体" w:hAnsi="方正小标宋简体" w:eastAsia="方正小标宋简体" w:cs="方正小标宋简体"/>
          <w:color w:val="auto"/>
          <w:sz w:val="44"/>
          <w:szCs w:val="44"/>
          <w:highlight w:val="none"/>
          <w:u w:val="none" w:color="auto"/>
        </w:rPr>
        <w:t>湖南凯瑞合诚生物科技有限公司</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小标宋简体" w:hAnsi="方正小标宋简体" w:eastAsia="方正小标宋简体" w:cs="方正小标宋简体"/>
          <w:color w:val="auto"/>
          <w:sz w:val="44"/>
          <w:szCs w:val="44"/>
          <w:highlight w:val="none"/>
          <w:u w:val="none" w:color="auto"/>
          <w:lang w:val="en-US" w:eastAsia="zh-CN"/>
        </w:rPr>
      </w:pPr>
      <w:r>
        <w:rPr>
          <w:rFonts w:hint="eastAsia" w:ascii="方正小标宋简体" w:hAnsi="方正小标宋简体" w:eastAsia="方正小标宋简体" w:cs="方正小标宋简体"/>
          <w:color w:val="auto"/>
          <w:spacing w:val="-17"/>
          <w:sz w:val="44"/>
          <w:szCs w:val="44"/>
          <w:highlight w:val="none"/>
          <w:u w:val="none" w:color="auto"/>
          <w:lang w:val="en-US" w:eastAsia="zh-CN"/>
        </w:rPr>
        <w:t>年产1000吨生物酶及生物制品生产(合成生物)</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both"/>
        <w:textAlignment w:val="auto"/>
        <w:rPr>
          <w:rFonts w:hint="eastAsia" w:ascii="方正小标宋简体" w:hAnsi="方正小标宋简体" w:eastAsia="方正小标宋简体" w:cs="方正小标宋简体"/>
          <w:color w:val="auto"/>
          <w:sz w:val="44"/>
          <w:szCs w:val="44"/>
          <w:highlight w:val="none"/>
          <w:u w:val="none" w:color="auto"/>
          <w:lang w:val="en-US" w:eastAsia="zh-CN"/>
        </w:rPr>
      </w:pPr>
      <w:r>
        <w:rPr>
          <w:rFonts w:hint="eastAsia" w:ascii="方正小标宋简体" w:hAnsi="方正小标宋简体" w:eastAsia="方正小标宋简体" w:cs="方正小标宋简体"/>
          <w:color w:val="auto"/>
          <w:sz w:val="44"/>
          <w:szCs w:val="44"/>
          <w:highlight w:val="none"/>
          <w:u w:val="none" w:color="auto"/>
          <w:lang w:val="en-US" w:eastAsia="zh-CN"/>
        </w:rPr>
        <w:t>基地项目环境影响报告书的批复</w:t>
      </w:r>
      <w:bookmarkEnd w:id="0"/>
    </w:p>
    <w:p>
      <w:pPr>
        <w:pStyle w:val="4"/>
        <w:spacing w:line="240" w:lineRule="auto"/>
        <w:ind w:left="0" w:leftChars="0" w:firstLine="0" w:firstLineChars="0"/>
        <w:jc w:val="center"/>
        <w:rPr>
          <w:rFonts w:hint="eastAsia" w:ascii="Times New Roman" w:hAnsi="Times New Roman"/>
          <w:color w:val="auto"/>
          <w:sz w:val="44"/>
          <w:szCs w:val="44"/>
          <w:highlight w:val="none"/>
          <w:u w:val="none" w:color="auto"/>
          <w:lang w:val="en-US" w:eastAsia="zh-CN"/>
        </w:rPr>
      </w:pPr>
    </w:p>
    <w:p>
      <w:pPr>
        <w:pStyle w:val="4"/>
        <w:spacing w:line="240" w:lineRule="auto"/>
        <w:ind w:left="0" w:leftChars="0" w:firstLine="0" w:firstLineChars="0"/>
        <w:jc w:val="center"/>
        <w:rPr>
          <w:rFonts w:hint="eastAsia" w:ascii="Times New Roman" w:hAnsi="Times New Roman"/>
          <w:color w:val="auto"/>
          <w:sz w:val="44"/>
          <w:szCs w:val="44"/>
          <w:highlight w:val="none"/>
          <w:u w:val="none" w:color="auto"/>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rPr>
        <w:t>湖南凯瑞合诚生物科技有限公司</w:t>
      </w:r>
      <w:r>
        <w:rPr>
          <w:rFonts w:hint="eastAsia" w:ascii="仿宋_GB2312" w:hAnsi="宋体" w:eastAsia="仿宋_GB2312" w:cs="Times New Roman"/>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你单位《湖南凯瑞合诚生物科技有限公司年产1000吨生物酶及生物制品生产(合成生物)基地项目环境影响报告书》及相关附件收悉。报告书公示期间，未收到反馈意见。经研究，批复如下：</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sz w:val="32"/>
          <w:szCs w:val="32"/>
          <w:lang w:val="en-US" w:eastAsia="zh-CN"/>
        </w:rPr>
      </w:pPr>
      <w:r>
        <w:rPr>
          <w:rFonts w:hint="eastAsia" w:ascii="仿宋_GB2312" w:hAnsi="宋体" w:eastAsia="仿宋_GB2312" w:cs="Times New Roman"/>
          <w:kern w:val="2"/>
          <w:sz w:val="32"/>
          <w:szCs w:val="32"/>
          <w:lang w:val="en-US" w:eastAsia="zh-CN" w:bidi="ar-SA"/>
        </w:rPr>
        <w:t>一、</w:t>
      </w:r>
      <w:r>
        <w:rPr>
          <w:rFonts w:hint="eastAsia" w:ascii="仿宋_GB2312" w:hAnsi="宋体" w:eastAsia="仿宋_GB2312"/>
          <w:sz w:val="32"/>
          <w:szCs w:val="32"/>
        </w:rPr>
        <w:t>湖南凯瑞合诚生物科技有限公司年产1000吨生物酶及生物制品生产(合成生物)基地项目位于常德经开区南区合成生物学产业园内</w:t>
      </w:r>
      <w:r>
        <w:rPr>
          <w:rFonts w:hint="eastAsia" w:ascii="仿宋_GB2312" w:eastAsia="仿宋_GB2312"/>
          <w:sz w:val="32"/>
          <w:szCs w:val="32"/>
          <w:lang w:eastAsia="zh-CN"/>
        </w:rPr>
        <w:t>，莲子塘路以东、同德路以北</w:t>
      </w:r>
      <w:r>
        <w:rPr>
          <w:rFonts w:hint="eastAsia" w:ascii="仿宋_GB2312" w:hAnsi="宋体" w:eastAsia="仿宋_GB2312"/>
          <w:sz w:val="32"/>
          <w:szCs w:val="32"/>
          <w:lang w:eastAsia="zh-CN"/>
        </w:rPr>
        <w:t>地块。</w:t>
      </w:r>
      <w:r>
        <w:rPr>
          <w:rFonts w:hint="eastAsia" w:ascii="仿宋_GB2312" w:hAnsi="宋体" w:eastAsia="仿宋_GB2312"/>
          <w:sz w:val="32"/>
          <w:szCs w:val="32"/>
        </w:rPr>
        <w:t>项目总占地面积为</w:t>
      </w:r>
      <w:r>
        <w:rPr>
          <w:rFonts w:hint="eastAsia" w:ascii="仿宋_GB2312" w:eastAsia="仿宋_GB2312"/>
          <w:sz w:val="32"/>
          <w:szCs w:val="32"/>
          <w:lang w:val="en-US" w:eastAsia="zh-CN"/>
        </w:rPr>
        <w:t>35</w:t>
      </w:r>
      <w:r>
        <w:rPr>
          <w:rFonts w:hint="eastAsia" w:ascii="仿宋_GB2312" w:hAnsi="宋体" w:eastAsia="仿宋_GB2312"/>
          <w:sz w:val="32"/>
          <w:szCs w:val="32"/>
        </w:rPr>
        <w:t>亩，总建筑面积</w:t>
      </w:r>
      <w:r>
        <w:rPr>
          <w:rFonts w:hint="eastAsia" w:ascii="仿宋_GB2312" w:eastAsia="仿宋_GB2312"/>
          <w:sz w:val="32"/>
          <w:szCs w:val="32"/>
          <w:lang w:val="en-US" w:eastAsia="zh-CN"/>
        </w:rPr>
        <w:t>14576.94</w:t>
      </w:r>
      <w:r>
        <w:rPr>
          <w:rFonts w:hint="eastAsia" w:ascii="仿宋_GB2312" w:hAnsi="宋体" w:eastAsia="仿宋_GB2312"/>
          <w:sz w:val="32"/>
          <w:szCs w:val="32"/>
        </w:rPr>
        <w:t>m</w:t>
      </w:r>
      <w:r>
        <w:rPr>
          <w:rFonts w:hint="eastAsia" w:ascii="仿宋_GB2312" w:hAnsi="宋体" w:eastAsia="仿宋_GB2312"/>
          <w:sz w:val="32"/>
          <w:szCs w:val="32"/>
          <w:vertAlign w:val="superscript"/>
        </w:rPr>
        <w:t>2</w:t>
      </w:r>
      <w:r>
        <w:rPr>
          <w:rFonts w:hint="eastAsia" w:ascii="仿宋_GB2312" w:hAnsi="宋体" w:eastAsia="仿宋_GB2312"/>
          <w:sz w:val="32"/>
          <w:szCs w:val="32"/>
        </w:rPr>
        <w:t>，主要建设</w:t>
      </w:r>
      <w:r>
        <w:rPr>
          <w:rFonts w:hint="eastAsia" w:ascii="仿宋_GB2312" w:eastAsia="仿宋_GB2312"/>
          <w:sz w:val="32"/>
          <w:szCs w:val="32"/>
          <w:lang w:val="en-US" w:eastAsia="zh-CN"/>
        </w:rPr>
        <w:t>1#</w:t>
      </w:r>
      <w:r>
        <w:rPr>
          <w:rFonts w:hint="eastAsia" w:ascii="仿宋_GB2312" w:hAnsi="宋体" w:eastAsia="仿宋_GB2312"/>
          <w:sz w:val="32"/>
          <w:szCs w:val="32"/>
        </w:rPr>
        <w:t>综合楼、</w:t>
      </w:r>
      <w:r>
        <w:rPr>
          <w:rFonts w:hint="eastAsia" w:ascii="仿宋_GB2312" w:eastAsia="仿宋_GB2312"/>
          <w:sz w:val="32"/>
          <w:szCs w:val="32"/>
          <w:lang w:val="en-US" w:eastAsia="zh-CN"/>
        </w:rPr>
        <w:t>2#</w:t>
      </w:r>
      <w:r>
        <w:rPr>
          <w:rFonts w:hint="eastAsia" w:ascii="仿宋_GB2312" w:hAnsi="宋体" w:eastAsia="仿宋_GB2312"/>
          <w:sz w:val="32"/>
          <w:szCs w:val="32"/>
        </w:rPr>
        <w:t>仓库</w:t>
      </w:r>
      <w:r>
        <w:rPr>
          <w:rFonts w:hint="eastAsia" w:ascii="仿宋_GB2312" w:eastAsia="仿宋_GB2312"/>
          <w:sz w:val="32"/>
          <w:szCs w:val="32"/>
          <w:lang w:eastAsia="zh-CN"/>
        </w:rPr>
        <w:t>（</w:t>
      </w:r>
      <w:r>
        <w:rPr>
          <w:rFonts w:hint="eastAsia" w:ascii="仿宋_GB2312" w:eastAsia="仿宋_GB2312"/>
          <w:sz w:val="32"/>
          <w:szCs w:val="32"/>
          <w:lang w:val="en-US" w:eastAsia="zh-CN"/>
        </w:rPr>
        <w:t>丙</w:t>
      </w:r>
      <w:r>
        <w:rPr>
          <w:rFonts w:hint="eastAsia" w:ascii="仿宋_GB2312" w:eastAsia="仿宋_GB2312"/>
          <w:sz w:val="32"/>
          <w:szCs w:val="32"/>
          <w:lang w:eastAsia="zh-CN"/>
        </w:rPr>
        <w:t>）</w:t>
      </w:r>
      <w:r>
        <w:rPr>
          <w:rFonts w:hint="eastAsia" w:ascii="仿宋_GB2312" w:hAnsi="宋体" w:eastAsia="仿宋_GB2312"/>
          <w:sz w:val="32"/>
          <w:szCs w:val="32"/>
        </w:rPr>
        <w:t>、</w:t>
      </w:r>
      <w:r>
        <w:rPr>
          <w:rFonts w:hint="eastAsia" w:ascii="仿宋_GB2312" w:eastAsia="仿宋_GB2312"/>
          <w:sz w:val="32"/>
          <w:szCs w:val="32"/>
          <w:lang w:val="en-US" w:eastAsia="zh-CN"/>
        </w:rPr>
        <w:t>3#仓库（甲）、4#仓房、5#提取车间</w:t>
      </w:r>
      <w:r>
        <w:rPr>
          <w:rFonts w:hint="eastAsia" w:ascii="仿宋_GB2312" w:hAnsi="宋体" w:eastAsia="仿宋_GB2312"/>
          <w:sz w:val="32"/>
          <w:szCs w:val="32"/>
        </w:rPr>
        <w:t>、</w:t>
      </w:r>
      <w:r>
        <w:rPr>
          <w:rFonts w:hint="eastAsia" w:ascii="仿宋_GB2312" w:eastAsia="仿宋_GB2312"/>
          <w:sz w:val="32"/>
          <w:szCs w:val="32"/>
          <w:lang w:val="en-US" w:eastAsia="zh-CN"/>
        </w:rPr>
        <w:t>6#提取车间、7#提取车间、污水处理站</w:t>
      </w:r>
      <w:r>
        <w:rPr>
          <w:rFonts w:hint="eastAsia" w:ascii="仿宋_GB2312" w:hAnsi="宋体" w:eastAsia="仿宋_GB2312"/>
          <w:sz w:val="32"/>
          <w:szCs w:val="32"/>
        </w:rPr>
        <w:t>及用电，给水，消防等设施设备。</w:t>
      </w:r>
      <w:r>
        <w:rPr>
          <w:rFonts w:hint="eastAsia" w:ascii="仿宋_GB2312" w:eastAsia="仿宋_GB2312"/>
          <w:sz w:val="32"/>
          <w:szCs w:val="32"/>
          <w:lang w:val="en-US" w:eastAsia="zh-CN"/>
        </w:rPr>
        <w:t>项目建成后形成年产1000吨生物酶及生物制品的生产能力</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常德市双赢环境</w:t>
      </w:r>
      <w:r>
        <w:rPr>
          <w:rFonts w:hint="eastAsia" w:ascii="仿宋_GB2312" w:hAnsi="仿宋_GB2312" w:eastAsia="仿宋_GB2312" w:cs="仿宋_GB2312"/>
          <w:sz w:val="32"/>
          <w:szCs w:val="32"/>
        </w:rPr>
        <w:t>咨询服务有限公司编制的环境影响报告书分析结论及专家评审意见，项目符合国家和地方产业政策。在建设单位按照环境影响报告书中所列规模、地点、生产工艺进行建设、运营，严格落实报告书和本批复提出的各项污染治理措施，并确保各类污染物稳定达标排放且符合总量控制要求的前提下，我局原则同意该项目建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二、建设单位在项目建设和运营管理过程中，必须全面落实专家及环境影响报告书中提出的各项污染防治措施，并着重注意以下工作：</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（一）项目应严格按照报告书所列原辅材料种类及数量、产品规模进行生产，不得擅自变更或扩大规模。</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sz w:val="32"/>
          <w:szCs w:val="32"/>
        </w:rPr>
      </w:pPr>
      <w:r>
        <w:rPr>
          <w:rFonts w:hint="eastAsia" w:ascii="仿宋_GB2312" w:hAnsi="仿宋_GB2312" w:eastAsia="仿宋_GB2312" w:cs="仿宋_GB2312"/>
          <w:sz w:val="32"/>
          <w:szCs w:val="32"/>
        </w:rPr>
        <w:t>（二）落实废水污染防治工作。项目厂内采用雨污分流、污污分流的排水</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，厂区内分别布设雨水管网、生活污水管网、生产废水管网。其中初期雨水经收集后进入厂区污水处理站</w:t>
      </w:r>
      <w:r>
        <w:rPr>
          <w:rFonts w:ascii="Times New Roman" w:hAnsi="Times New Roman" w:eastAsia="仿宋_GB2312"/>
          <w:sz w:val="32"/>
          <w:szCs w:val="32"/>
        </w:rPr>
        <w:t>；生活废水经化粪池处理后</w:t>
      </w:r>
      <w:r>
        <w:rPr>
          <w:rFonts w:hint="eastAsia" w:ascii="Times New Roman" w:hAnsi="Times New Roman" w:eastAsia="仿宋_GB2312"/>
          <w:sz w:val="32"/>
          <w:szCs w:val="32"/>
        </w:rPr>
        <w:t>进</w:t>
      </w:r>
      <w:r>
        <w:rPr>
          <w:rFonts w:ascii="Times New Roman" w:hAnsi="Times New Roman" w:eastAsia="仿宋_GB2312"/>
          <w:sz w:val="32"/>
          <w:szCs w:val="32"/>
        </w:rPr>
        <w:t>入厂区污水处理站</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生产废水在污水处理系统中分质处理，</w:t>
      </w:r>
      <w:r>
        <w:rPr>
          <w:rFonts w:hint="eastAsia" w:ascii="Times New Roman" w:hAnsi="Times New Roman" w:eastAsia="仿宋_GB2312"/>
          <w:sz w:val="32"/>
          <w:szCs w:val="32"/>
        </w:rPr>
        <w:t>低浓度废水通过管道直接排入调节池</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高浓度废水通过收集池收集后进行三效蒸发处理，冷凝水进入污水站，蒸发出的物料做固废处置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含溶剂废水进入高级氧化系统预处理，经预处理后进入生化系统处理。厂区内</w:t>
      </w:r>
      <w:r>
        <w:rPr>
          <w:rFonts w:hint="eastAsia" w:ascii="Times New Roman" w:hAnsi="Times New Roman" w:eastAsia="仿宋_GB2312"/>
          <w:sz w:val="32"/>
          <w:szCs w:val="32"/>
          <w:lang w:val="en-US" w:eastAsia="zh-CN"/>
        </w:rPr>
        <w:t>生产废水</w:t>
      </w:r>
      <w:r>
        <w:rPr>
          <w:rFonts w:hint="eastAsia" w:ascii="Times New Roman" w:hAnsi="Times New Roman" w:eastAsia="仿宋_GB2312"/>
          <w:sz w:val="32"/>
          <w:szCs w:val="32"/>
        </w:rPr>
        <w:t>均采用架空明管收集输送，各废水管线标明生产废水名称及管路走向，</w:t>
      </w:r>
      <w:r>
        <w:rPr>
          <w:rFonts w:ascii="Times New Roman" w:hAnsi="Times New Roman" w:eastAsia="仿宋_GB2312"/>
          <w:sz w:val="32"/>
          <w:szCs w:val="32"/>
        </w:rPr>
        <w:t>全厂对外设置1个污水总排口</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废水污染物COD</w:t>
      </w:r>
      <w:r>
        <w:rPr>
          <w:rFonts w:ascii="Times New Roman" w:hAnsi="Times New Roman" w:eastAsia="仿宋_GB2312"/>
          <w:spacing w:val="-6"/>
          <w:sz w:val="32"/>
          <w:szCs w:val="32"/>
          <w:vertAlign w:val="subscript"/>
        </w:rPr>
        <w:t>Cr</w:t>
      </w:r>
      <w:r>
        <w:rPr>
          <w:rFonts w:ascii="Times New Roman" w:hAnsi="Times New Roman" w:eastAsia="仿宋_GB2312"/>
          <w:spacing w:val="-6"/>
          <w:sz w:val="32"/>
          <w:szCs w:val="32"/>
        </w:rPr>
        <w:t>、氨</w:t>
      </w:r>
      <w:r>
        <w:rPr>
          <w:rFonts w:ascii="Times New Roman" w:hAnsi="Times New Roman" w:eastAsia="仿宋_GB2312"/>
          <w:sz w:val="32"/>
          <w:szCs w:val="32"/>
        </w:rPr>
        <w:t>氮、</w:t>
      </w:r>
      <w:r>
        <w:rPr>
          <w:rFonts w:ascii="Times New Roman" w:hAnsi="Times New Roman" w:eastAsia="仿宋_GB2312"/>
          <w:spacing w:val="-6"/>
          <w:sz w:val="32"/>
          <w:szCs w:val="32"/>
        </w:rPr>
        <w:t>总氮、</w:t>
      </w:r>
      <w:r>
        <w:rPr>
          <w:rFonts w:ascii="Times New Roman" w:hAnsi="Times New Roman" w:eastAsia="仿宋_GB2312"/>
          <w:sz w:val="32"/>
          <w:szCs w:val="32"/>
        </w:rPr>
        <w:t>总磷</w:t>
      </w:r>
      <w:r>
        <w:rPr>
          <w:rFonts w:hint="eastAsia" w:ascii="Times New Roman" w:hAnsi="Times New Roman" w:eastAsia="仿宋_GB2312"/>
          <w:sz w:val="32"/>
          <w:szCs w:val="32"/>
          <w:lang w:eastAsia="zh-CN"/>
        </w:rPr>
        <w:t>、</w:t>
      </w:r>
      <w:r>
        <w:rPr>
          <w:rFonts w:hint="eastAsia" w:ascii="仿宋_GB2312" w:hAnsi="仿宋_GB2312" w:eastAsia="仿宋_GB2312" w:cs="仿宋_GB2312"/>
          <w:color w:val="auto"/>
          <w:sz w:val="32"/>
          <w:szCs w:val="32"/>
          <w:u w:val="none"/>
          <w:lang w:eastAsia="zh-CN"/>
        </w:rPr>
        <w:t>SS</w:t>
      </w:r>
      <w:r>
        <w:rPr>
          <w:rFonts w:ascii="Times New Roman" w:hAnsi="Times New Roman" w:eastAsia="仿宋_GB2312"/>
          <w:sz w:val="32"/>
          <w:szCs w:val="32"/>
        </w:rPr>
        <w:t>满足</w:t>
      </w:r>
      <w:r>
        <w:rPr>
          <w:rFonts w:hint="eastAsia" w:ascii="仿宋_GB2312" w:hAnsi="仿宋_GB2312" w:eastAsia="仿宋_GB2312" w:cs="仿宋_GB2312"/>
          <w:color w:val="auto"/>
          <w:sz w:val="32"/>
          <w:szCs w:val="32"/>
          <w:u w:val="none"/>
          <w:lang w:val="en-US" w:eastAsia="zh-CN"/>
        </w:rPr>
        <w:t>德山污水处理厂的进水水质要求，</w:t>
      </w:r>
      <w:r>
        <w:rPr>
          <w:rFonts w:hint="eastAsia" w:ascii="Times New Roman" w:hAnsi="Times New Roman" w:eastAsia="仿宋_GB2312"/>
          <w:sz w:val="32"/>
          <w:szCs w:val="32"/>
        </w:rPr>
        <w:t>其余因子满足《发酵类制药工业水污染物排放标准》（GB21903-2008）和《化学合成类制药工业水污染物排放标准》（GB21904-2008）间接排放限值</w:t>
      </w:r>
      <w:r>
        <w:rPr>
          <w:rFonts w:hint="eastAsia" w:ascii="Times New Roman" w:hAnsi="Times New Roman" w:eastAsia="仿宋_GB2312"/>
          <w:sz w:val="32"/>
          <w:szCs w:val="32"/>
          <w:lang w:val="en-US" w:eastAsia="zh-CN"/>
        </w:rPr>
        <w:t>的较严值</w:t>
      </w:r>
      <w:r>
        <w:rPr>
          <w:rFonts w:hint="eastAsia" w:ascii="Times New Roman" w:hAnsi="Times New Roman" w:eastAsia="仿宋_GB2312"/>
          <w:sz w:val="32"/>
          <w:szCs w:val="32"/>
          <w:lang w:eastAsia="zh-CN"/>
        </w:rPr>
        <w:t>。</w:t>
      </w:r>
      <w:r>
        <w:rPr>
          <w:rFonts w:ascii="Times New Roman" w:hAnsi="Times New Roman" w:eastAsia="仿宋_GB2312"/>
          <w:sz w:val="32"/>
          <w:szCs w:val="32"/>
        </w:rPr>
        <w:t>污水处理站出水通过厂区污水总排口专管排入园区污水管网，废水入德山污水处理厂处理达标后，排入东风河</w:t>
      </w:r>
      <w:r>
        <w:rPr>
          <w:rFonts w:hint="eastAsia" w:ascii="Times New Roman" w:hAnsi="Times New Roman" w:eastAsia="仿宋_GB2312"/>
          <w:sz w:val="32"/>
          <w:szCs w:val="32"/>
          <w:lang w:eastAsia="zh-CN"/>
        </w:rPr>
        <w:t>。</w:t>
      </w:r>
      <w:r>
        <w:rPr>
          <w:rFonts w:ascii="Times New Roman" w:hAnsi="Times New Roman" w:eastAsia="仿宋_GB2312"/>
          <w:sz w:val="32"/>
          <w:szCs w:val="32"/>
        </w:rPr>
        <w:t>厂区设置有事故应急池。按照便于采样、监测的要求，规范化建设污水排放口。</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（三）加强工艺废气污染防治工作。</w:t>
      </w:r>
      <w:r>
        <w:rPr>
          <w:rFonts w:hint="eastAsia" w:ascii="仿宋_GB2312" w:hAnsi="仿宋_GB2312" w:eastAsia="仿宋_GB2312" w:cs="仿宋_GB2312"/>
          <w:sz w:val="32"/>
          <w:szCs w:val="32"/>
          <w:lang w:val="en-US" w:eastAsia="zh-CN"/>
        </w:rPr>
        <w:t>发酵车间的发酵废气收集后经“二级AB剂雾化塔+碱喷淋塔+水洗塔”</w:t>
      </w:r>
      <w:r>
        <w:rPr>
          <w:rFonts w:hint="eastAsia" w:ascii="仿宋_GB2312" w:hAnsi="仿宋_GB2312" w:eastAsia="仿宋_GB2312" w:cs="仿宋_GB2312"/>
          <w:sz w:val="32"/>
          <w:szCs w:val="32"/>
        </w:rPr>
        <w:t>处理后通过1根</w:t>
      </w:r>
      <w:r>
        <w:rPr>
          <w:rFonts w:hint="eastAsia" w:ascii="仿宋_GB2312" w:hAnsi="仿宋_GB2312" w:eastAsia="仿宋_GB2312" w:cs="仿宋_GB2312"/>
          <w:sz w:val="32"/>
          <w:szCs w:val="32"/>
          <w:lang w:eastAsia="zh-CN"/>
        </w:rPr>
        <w:t>不低于</w:t>
      </w:r>
      <w:r>
        <w:rPr>
          <w:rFonts w:hint="eastAsia" w:ascii="仿宋_GB2312" w:hAnsi="仿宋_GB2312" w:eastAsia="仿宋_GB2312" w:cs="仿宋_GB2312"/>
          <w:sz w:val="32"/>
          <w:szCs w:val="32"/>
        </w:rPr>
        <w:t>15m排气筒达标排放。</w:t>
      </w:r>
      <w:r>
        <w:rPr>
          <w:rFonts w:hint="eastAsia" w:ascii="仿宋_GB2312" w:hAnsi="仿宋_GB2312" w:eastAsia="仿宋_GB2312" w:cs="仿宋_GB2312"/>
          <w:sz w:val="32"/>
          <w:szCs w:val="32"/>
          <w:lang w:val="en-US" w:eastAsia="zh-CN"/>
        </w:rPr>
        <w:t>生产车间的有机废气经“三级冷凝+二级活性炭吸附+二级碱洗+水洗”进行吸收处理，然后经</w:t>
      </w:r>
      <w:r>
        <w:rPr>
          <w:rFonts w:hint="eastAsia" w:ascii="仿宋_GB2312" w:hAnsi="仿宋_GB2312" w:eastAsia="仿宋_GB2312" w:cs="仿宋_GB2312"/>
          <w:sz w:val="32"/>
          <w:szCs w:val="32"/>
        </w:rPr>
        <w:t>1根</w:t>
      </w:r>
      <w:r>
        <w:rPr>
          <w:rFonts w:hint="eastAsia" w:ascii="仿宋_GB2312" w:hAnsi="仿宋_GB2312" w:eastAsia="仿宋_GB2312" w:cs="仿宋_GB2312"/>
          <w:sz w:val="32"/>
          <w:szCs w:val="32"/>
          <w:lang w:eastAsia="zh-CN"/>
        </w:rPr>
        <w:t>不低于</w:t>
      </w:r>
      <w:r>
        <w:rPr>
          <w:rFonts w:hint="eastAsia" w:ascii="仿宋_GB2312" w:hAnsi="仿宋_GB2312" w:eastAsia="仿宋_GB2312" w:cs="仿宋_GB2312"/>
          <w:sz w:val="32"/>
          <w:szCs w:val="32"/>
        </w:rPr>
        <w:t>15m高的排气筒</w:t>
      </w:r>
      <w:r>
        <w:rPr>
          <w:rFonts w:hint="eastAsia" w:ascii="仿宋_GB2312" w:hAnsi="仿宋_GB2312" w:eastAsia="仿宋_GB2312" w:cs="仿宋_GB2312"/>
          <w:sz w:val="32"/>
          <w:szCs w:val="32"/>
          <w:lang w:val="en-US" w:eastAsia="zh-CN"/>
        </w:rPr>
        <w:t>排放；干燥废气并入有机废气处理系统后段“碱洗+水洗”设施，然后经有机废气排气筒高空排放。污水站、危废暂存间废气经“密闭+碱液喷淋+高效生物滤池”处理</w:t>
      </w:r>
      <w:r>
        <w:rPr>
          <w:rFonts w:hint="eastAsia" w:ascii="仿宋_GB2312" w:hAnsi="仿宋_GB2312" w:eastAsia="仿宋_GB2312" w:cs="仿宋_GB2312"/>
          <w:sz w:val="32"/>
          <w:szCs w:val="32"/>
        </w:rPr>
        <w:t>后通过1根</w:t>
      </w:r>
      <w:r>
        <w:rPr>
          <w:rFonts w:hint="eastAsia" w:ascii="仿宋_GB2312" w:hAnsi="仿宋_GB2312" w:eastAsia="仿宋_GB2312" w:cs="仿宋_GB2312"/>
          <w:sz w:val="32"/>
          <w:szCs w:val="32"/>
          <w:lang w:eastAsia="zh-CN"/>
        </w:rPr>
        <w:t>不低于</w:t>
      </w:r>
      <w:r>
        <w:rPr>
          <w:rFonts w:hint="eastAsia" w:ascii="仿宋_GB2312" w:hAnsi="仿宋_GB2312" w:eastAsia="仿宋_GB2312" w:cs="仿宋_GB2312"/>
          <w:sz w:val="32"/>
          <w:szCs w:val="32"/>
        </w:rPr>
        <w:t>15m排气筒达标排放。</w:t>
      </w:r>
      <w:r>
        <w:rPr>
          <w:rFonts w:hint="eastAsia" w:ascii="仿宋_GB2312" w:hAnsi="仿宋_GB2312" w:eastAsia="仿宋_GB2312" w:cs="仿宋_GB2312"/>
          <w:sz w:val="32"/>
          <w:szCs w:val="32"/>
          <w:lang w:val="en-US" w:eastAsia="zh-CN"/>
        </w:rPr>
        <w:t>有组织废气中TVOC、NMHC、颗粒物、硫化氢、氨气满足《制药工业大气污染物排放标准》（GB 37823—2019）表1中排放限值，有组织排放的臭气浓度满足《恶臭污染物综合排放标准》（GB 14554-1993）表2标准限值要求。厂区内挥发性有机物无组织排放满足《制药工业大气污染物排放标准》（GB37823-2019）附录C要求；厂界无组织排放的氨、硫化氢、臭气浓度满足《恶臭污染物排放标准》（GB14554-93）中相关标准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（四）加强噪声污染控制。优先选用低噪型设备，设备基础隔振、减振，车间封闭，门窗隔声、合理布置高噪设备位置等措施，确保厂区南侧厂界噪声</w:t>
      </w:r>
      <w:r>
        <w:rPr>
          <w:rFonts w:hint="eastAsia" w:ascii="仿宋_GB2312" w:hAnsi="仿宋_GB2312" w:eastAsia="仿宋_GB2312" w:cs="仿宋_GB2312"/>
          <w:sz w:val="32"/>
          <w:szCs w:val="32"/>
          <w:lang w:val="en-US" w:eastAsia="zh-CN"/>
        </w:rPr>
        <w:t>满足</w:t>
      </w:r>
      <w:r>
        <w:rPr>
          <w:rFonts w:hint="eastAsia" w:ascii="仿宋_GB2312" w:hAnsi="仿宋_GB2312" w:eastAsia="仿宋_GB2312" w:cs="仿宋_GB2312"/>
          <w:sz w:val="32"/>
          <w:szCs w:val="32"/>
        </w:rPr>
        <w:t>《工业企业厂界环境噪声排放标准》（GB12348-2008）表1中4类标准，东侧、西侧、北侧厂界噪声</w:t>
      </w:r>
      <w:r>
        <w:rPr>
          <w:rFonts w:hint="eastAsia" w:ascii="仿宋_GB2312" w:hAnsi="仿宋_GB2312" w:eastAsia="仿宋_GB2312" w:cs="仿宋_GB2312"/>
          <w:sz w:val="32"/>
          <w:szCs w:val="32"/>
          <w:lang w:val="en-US" w:eastAsia="zh-CN"/>
        </w:rPr>
        <w:t>满足</w:t>
      </w:r>
      <w:r>
        <w:rPr>
          <w:rFonts w:hint="eastAsia" w:ascii="仿宋_GB2312" w:hAnsi="仿宋_GB2312" w:eastAsia="仿宋_GB2312" w:cs="仿宋_GB2312"/>
          <w:sz w:val="32"/>
          <w:szCs w:val="32"/>
        </w:rPr>
        <w:t>《工业企业厂界环境噪声排放标准》（GB12348-2008）表1中3类标准，防止噪声扰民。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规范落实工业固废管理措施。根据国家和地方有关规定，按照“减量化、资源化、无害化”原则，对固体废物进行分类收集、处理和处置，并确保不造成二次污染。项目危险废物主要包括雄烯二酮生产过程产生的板框过滤滤渣</w:t>
      </w:r>
      <w:r>
        <w:rPr>
          <w:rFonts w:hint="eastAsia" w:ascii="仿宋_GB2312" w:hAnsi="仿宋_GB2312" w:eastAsia="仿宋_GB2312" w:cs="仿宋_GB2312"/>
          <w:sz w:val="32"/>
          <w:szCs w:val="32"/>
          <w:lang w:eastAsia="zh-CN"/>
        </w:rPr>
        <w:t>、离心浓缩浓液</w:t>
      </w:r>
      <w:r>
        <w:rPr>
          <w:rFonts w:hint="eastAsia" w:ascii="仿宋_GB2312" w:hAnsi="仿宋_GB2312" w:eastAsia="仿宋_GB2312" w:cs="仿宋_GB2312"/>
          <w:sz w:val="32"/>
          <w:szCs w:val="32"/>
          <w:lang w:val="en-US" w:eastAsia="zh-CN"/>
        </w:rPr>
        <w:t>以及冷凝残液</w:t>
      </w:r>
      <w:r>
        <w:rPr>
          <w:rFonts w:hint="eastAsia" w:ascii="仿宋_GB2312" w:hAnsi="仿宋_GB2312" w:eastAsia="仿宋_GB2312" w:cs="仿宋_GB2312"/>
          <w:sz w:val="32"/>
          <w:szCs w:val="32"/>
          <w:lang w:eastAsia="zh-CN"/>
        </w:rPr>
        <w:t>、高浓度废水蒸发固废、沾染</w:t>
      </w:r>
      <w:r>
        <w:rPr>
          <w:rFonts w:hint="eastAsia" w:ascii="仿宋_GB2312" w:hAnsi="仿宋_GB2312" w:eastAsia="仿宋_GB2312" w:cs="仿宋_GB2312"/>
          <w:sz w:val="32"/>
          <w:szCs w:val="32"/>
          <w:lang w:val="en-US" w:eastAsia="zh-CN"/>
        </w:rPr>
        <w:t>危险化学品的</w:t>
      </w:r>
      <w:r>
        <w:rPr>
          <w:rFonts w:hint="eastAsia" w:ascii="仿宋_GB2312" w:hAnsi="仿宋_GB2312" w:eastAsia="仿宋_GB2312" w:cs="仿宋_GB2312"/>
          <w:sz w:val="32"/>
          <w:szCs w:val="32"/>
          <w:lang w:eastAsia="zh-CN"/>
        </w:rPr>
        <w:t>废包装袋/桶、废矿物油和含油废抹布、废活性炭。</w:t>
      </w:r>
      <w:r>
        <w:rPr>
          <w:rFonts w:hint="eastAsia" w:ascii="仿宋_GB2312" w:hAnsi="仿宋_GB2312" w:eastAsia="仿宋_GB2312" w:cs="仿宋_GB2312"/>
          <w:sz w:val="32"/>
          <w:szCs w:val="32"/>
        </w:rPr>
        <w:t>危险废物收集后在危废间暂存，定期交有资质的单位处置；危险废物贮存执行《危险废物贮存污染控制标准》（GB18597-2023）。危险废物的转移应严格执行转移联单制度。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污水处理站污泥</w:t>
      </w:r>
      <w:r>
        <w:rPr>
          <w:rFonts w:hint="eastAsia" w:ascii="仿宋_GB2312" w:hAnsi="仿宋_GB2312" w:eastAsia="仿宋_GB2312" w:cs="仿宋_GB2312"/>
          <w:sz w:val="32"/>
          <w:szCs w:val="32"/>
          <w:lang w:eastAsia="zh-CN"/>
        </w:rPr>
        <w:t>在不明确其</w:t>
      </w:r>
      <w:r>
        <w:rPr>
          <w:rFonts w:hint="eastAsia" w:ascii="仿宋_GB2312" w:hAnsi="仿宋_GB2312" w:eastAsia="仿宋_GB2312" w:cs="仿宋_GB2312"/>
          <w:sz w:val="32"/>
          <w:szCs w:val="32"/>
        </w:rPr>
        <w:t>物质特性</w:t>
      </w:r>
      <w:r>
        <w:rPr>
          <w:rFonts w:hint="eastAsia" w:ascii="仿宋_GB2312" w:hAnsi="仿宋_GB2312" w:eastAsia="仿宋_GB2312" w:cs="仿宋_GB2312"/>
          <w:sz w:val="32"/>
          <w:szCs w:val="32"/>
          <w:lang w:eastAsia="zh-CN"/>
        </w:rPr>
        <w:t>的情况下</w:t>
      </w:r>
      <w:r>
        <w:rPr>
          <w:rFonts w:hint="eastAsia" w:ascii="仿宋_GB2312" w:hAnsi="仿宋_GB2312" w:eastAsia="仿宋_GB2312" w:cs="仿宋_GB2312"/>
          <w:sz w:val="32"/>
          <w:szCs w:val="32"/>
        </w:rPr>
        <w:t>，建设单位根据国家规定的危险废物鉴别标准和方法进行危险废物特性鉴别，若属于危险废物，</w:t>
      </w:r>
      <w:r>
        <w:rPr>
          <w:rFonts w:hint="eastAsia" w:ascii="仿宋_GB2312" w:hAnsi="仿宋_GB2312" w:eastAsia="仿宋_GB2312" w:cs="仿宋_GB2312"/>
          <w:sz w:val="32"/>
          <w:szCs w:val="32"/>
          <w:lang w:eastAsia="zh-CN"/>
        </w:rPr>
        <w:t>则按危险废物处置</w:t>
      </w:r>
      <w:r>
        <w:rPr>
          <w:rFonts w:hint="eastAsia" w:ascii="仿宋_GB2312" w:hAnsi="仿宋_GB2312" w:eastAsia="仿宋_GB2312" w:cs="仿宋_GB2312"/>
          <w:sz w:val="32"/>
          <w:szCs w:val="32"/>
        </w:rPr>
        <w:t>；若属于一般固体废物，则</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一般固废</w:t>
      </w:r>
      <w:r>
        <w:rPr>
          <w:rFonts w:hint="eastAsia" w:ascii="仿宋_GB2312" w:hAnsi="仿宋_GB2312" w:eastAsia="仿宋_GB2312" w:cs="仿宋_GB2312"/>
          <w:sz w:val="32"/>
          <w:szCs w:val="32"/>
          <w:lang w:eastAsia="zh-CN"/>
        </w:rPr>
        <w:t>处理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一般固废主要有葡萄糖淀粉酶</w:t>
      </w:r>
      <w:r>
        <w:rPr>
          <w:rFonts w:hint="eastAsia" w:ascii="仿宋_GB2312" w:hAnsi="仿宋_GB2312" w:eastAsia="仿宋_GB2312" w:cs="仿宋_GB2312"/>
          <w:sz w:val="32"/>
          <w:szCs w:val="32"/>
          <w:lang w:eastAsia="zh-CN"/>
        </w:rPr>
        <w:t>、固定化转氨酶</w:t>
      </w:r>
      <w:r>
        <w:rPr>
          <w:rFonts w:hint="eastAsia" w:ascii="仿宋_GB2312" w:hAnsi="仿宋_GB2312" w:eastAsia="仿宋_GB2312" w:cs="仿宋_GB2312"/>
          <w:sz w:val="32"/>
          <w:szCs w:val="32"/>
          <w:lang w:val="en-US" w:eastAsia="zh-CN"/>
        </w:rPr>
        <w:t>生产过程中的菌渣、吸附气流干燥固废，盛装一般原料的废包装袋/桶、无菌空气制备设备废膜以及生活垃圾。其中葡萄糖淀粉酶、固定化转氨酶生产过程中的菌渣、吸附气流干燥固废作为有机肥和饲料的生产原料进行综合利用，做无害化处理；其他一般工业固废集中收集后外运处置；</w:t>
      </w:r>
      <w:r>
        <w:rPr>
          <w:rFonts w:hint="eastAsia" w:ascii="仿宋_GB2312" w:hAnsi="仿宋_GB2312" w:eastAsia="仿宋_GB2312" w:cs="仿宋_GB2312"/>
          <w:sz w:val="32"/>
          <w:szCs w:val="32"/>
        </w:rPr>
        <w:t>生活垃圾收集后及时外运常德垃圾焚烧发电厂，处置执行《生活垃圾焚烧污染控制标准》（GB 18485-2014）。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w:t>
      </w:r>
      <w:r>
        <w:rPr>
          <w:rFonts w:hint="eastAsia" w:ascii="宋体" w:hAnsi="宋体" w:cs="宋体"/>
          <w:bCs/>
          <w:sz w:val="32"/>
          <w:szCs w:val="32"/>
        </w:rPr>
        <w:t>六</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加强环境风险防范管控措施。建立健全风险防控体系和事故排放污染收集系统，按国家《危险化学品安全管理条例》、《危险废物收集贮存运输技术规范》等的规定，加强对运输、储存、使用等各环节所涉及的危险化学品、危险废物的安全管理。强化风险管理和事故的预防，做好环境风险的巡查、监控等管理，杜绝环境风险事故发生。厂区设置事故应急池、建立三级防控体系、制定突发环境事件应急预案，配备相应的应急物资，确保环境风险得到有效控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（七）加强环境管理。建立健全污染防治设施运行管理台帐，设立专门的环保机构及环保人员，确保各项污染防治设施的正常运行，各类污染物达标排放。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（八）根据报告书结论，该项目主要污染物排放总量控制指标：化学需氧量为</w:t>
      </w:r>
      <w:r>
        <w:rPr>
          <w:rFonts w:hint="eastAsia" w:ascii="仿宋_GB2312" w:hAnsi="仿宋_GB2312" w:eastAsia="仿宋_GB2312" w:cs="仿宋_GB2312"/>
          <w:bCs/>
          <w:sz w:val="32"/>
          <w:szCs w:val="32"/>
          <w:lang w:val="en-US" w:eastAsia="zh-CN"/>
        </w:rPr>
        <w:t>2.06</w:t>
      </w:r>
      <w:r>
        <w:rPr>
          <w:rFonts w:hint="eastAsia" w:ascii="仿宋_GB2312" w:hAnsi="仿宋_GB2312" w:eastAsia="仿宋_GB2312" w:cs="仿宋_GB2312"/>
          <w:bCs/>
          <w:sz w:val="32"/>
          <w:szCs w:val="32"/>
        </w:rPr>
        <w:t>t/a、氨氮为</w:t>
      </w:r>
      <w:r>
        <w:rPr>
          <w:rFonts w:hint="eastAsia" w:ascii="仿宋_GB2312" w:hAnsi="仿宋_GB2312" w:eastAsia="仿宋_GB2312" w:cs="仿宋_GB2312"/>
          <w:bCs/>
          <w:sz w:val="32"/>
          <w:szCs w:val="32"/>
          <w:lang w:val="en-US" w:eastAsia="zh-CN"/>
        </w:rPr>
        <w:t>0.33</w:t>
      </w:r>
      <w:r>
        <w:rPr>
          <w:rFonts w:hint="eastAsia" w:ascii="仿宋_GB2312" w:hAnsi="仿宋_GB2312" w:eastAsia="仿宋_GB2312" w:cs="仿宋_GB2312"/>
          <w:bCs/>
          <w:sz w:val="32"/>
          <w:szCs w:val="32"/>
        </w:rPr>
        <w:t>t/a。总量指标在取得排污许可证之前</w:t>
      </w:r>
      <w:r>
        <w:rPr>
          <w:rFonts w:hint="eastAsia" w:ascii="仿宋_GB2312" w:hAnsi="仿宋_GB2312" w:eastAsia="仿宋_GB2312" w:cs="仿宋_GB2312"/>
          <w:bCs/>
          <w:sz w:val="32"/>
          <w:szCs w:val="32"/>
          <w:lang w:eastAsia="zh-CN"/>
        </w:rPr>
        <w:t>通过常德市排污权交易中心购买</w:t>
      </w:r>
      <w:r>
        <w:rPr>
          <w:rFonts w:hint="eastAsia" w:ascii="仿宋_GB2312" w:hAnsi="仿宋_GB2312" w:eastAsia="仿宋_GB2312" w:cs="仿宋_GB2312"/>
          <w:bCs/>
          <w:sz w:val="32"/>
          <w:szCs w:val="32"/>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环境影响报告书经批准后，建设项目的性质、规模、地点、采用的生产工艺或者防治污染、防止生态破坏的措施发生重大变动的，建设单位应当重新报批建设项目环境影响评价文件。项目投产前应及时做好排污许可证的申领工作。同时建设单位按</w:t>
      </w:r>
      <w:r>
        <w:rPr>
          <w:rFonts w:hint="eastAsia" w:ascii="仿宋_GB2312" w:hAnsi="仿宋_GB2312" w:eastAsia="仿宋_GB2312" w:cs="仿宋_GB2312"/>
          <w:bCs/>
          <w:sz w:val="32"/>
          <w:szCs w:val="32"/>
          <w:lang w:eastAsia="zh-CN"/>
        </w:rPr>
        <w:t>照</w:t>
      </w:r>
      <w:r>
        <w:rPr>
          <w:rFonts w:hint="eastAsia" w:ascii="仿宋_GB2312" w:hAnsi="仿宋_GB2312" w:eastAsia="仿宋_GB2312" w:cs="仿宋_GB2312"/>
          <w:bCs/>
          <w:sz w:val="32"/>
          <w:szCs w:val="32"/>
        </w:rPr>
        <w:t>规定程序进行环保“三同时”验收，相关信息按规定自行发布。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eastAsia="仿宋_GB2312"/>
          <w:spacing w:val="0"/>
          <w:sz w:val="32"/>
          <w:szCs w:val="32"/>
        </w:rPr>
      </w:pPr>
      <w:r>
        <w:rPr>
          <w:rFonts w:hint="eastAsia" w:eastAsia="仿宋_GB2312"/>
          <w:spacing w:val="0"/>
          <w:sz w:val="32"/>
          <w:szCs w:val="32"/>
        </w:rPr>
        <w:t>常德市生态环境局</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B6740"/>
    <w:rsid w:val="278B6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1"/>
    <w:qFormat/>
    <w:uiPriority w:val="0"/>
    <w:pPr>
      <w:widowControl w:val="0"/>
      <w:tabs>
        <w:tab w:val="left" w:pos="22680"/>
      </w:tabs>
      <w:spacing w:line="360" w:lineRule="auto"/>
      <w:ind w:firstLine="602" w:firstLineChars="200"/>
    </w:pPr>
    <w:rPr>
      <w:rFonts w:ascii="宋体" w:hAnsi="宋体"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2024-12-19T09:01:00Z</dcterms:created>
  <dc:creator>快乐无忧</dc:creator>
  <cp:lastModifiedBy>快乐无忧</cp:lastModifiedBy>
  <dcterms:modified xsi:type="dcterms:W3CDTF">2024-12-19T09:02:31Z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