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hint="eastAsia" w:ascii="方正小标宋_GBK" w:eastAsia="方正小标宋_GBK"/>
          <w:bCs/>
          <w:color w:val="auto"/>
          <w:sz w:val="72"/>
          <w:szCs w:val="72"/>
          <w:lang w:eastAsia="zh-CN"/>
        </w:rPr>
      </w:pPr>
      <w:bookmarkStart w:id="0" w:name="_Toc27950"/>
      <w:bookmarkStart w:id="14" w:name="_GoBack"/>
      <w:bookmarkEnd w:id="14"/>
    </w:p>
    <w:p>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bookmarkEnd w:id="0"/>
    </w:p>
    <w:p>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pPr>
        <w:adjustRightInd w:val="0"/>
        <w:snapToGrid w:val="0"/>
        <w:spacing w:before="192" w:beforeLines="80"/>
        <w:jc w:val="center"/>
        <w:rPr>
          <w:rFonts w:hint="eastAsia" w:ascii="楷体_GB2312" w:hAnsi="Times New Roman" w:eastAsia="楷体_GB2312" w:cs="Times New Roman"/>
          <w:bCs/>
          <w:color w:val="auto"/>
          <w:sz w:val="48"/>
          <w:szCs w:val="48"/>
          <w:lang w:eastAsia="zh-CN"/>
        </w:rPr>
      </w:pPr>
    </w:p>
    <w:p>
      <w:pPr>
        <w:adjustRightInd w:val="0"/>
        <w:snapToGrid w:val="0"/>
        <w:spacing w:before="192" w:beforeLines="80"/>
        <w:jc w:val="center"/>
        <w:rPr>
          <w:rFonts w:hint="eastAsia" w:ascii="楷体_GB2312" w:hAnsi="Times New Roman" w:eastAsia="楷体_GB2312" w:cs="Times New Roman"/>
          <w:bCs/>
          <w:color w:val="auto"/>
          <w:sz w:val="48"/>
          <w:szCs w:val="48"/>
        </w:rPr>
      </w:pPr>
    </w:p>
    <w:p>
      <w:pPr>
        <w:bidi w:val="0"/>
        <w:rPr>
          <w:color w:val="auto"/>
        </w:rPr>
      </w:pPr>
    </w:p>
    <w:p>
      <w:pPr>
        <w:bidi w:val="0"/>
        <w:rPr>
          <w:color w:val="auto"/>
        </w:rPr>
      </w:pPr>
    </w:p>
    <w:p>
      <w:pPr>
        <w:rPr>
          <w:rFonts w:eastAsia="仿宋"/>
          <w:color w:val="auto"/>
          <w:sz w:val="44"/>
          <w:szCs w:val="44"/>
        </w:rPr>
      </w:pPr>
    </w:p>
    <w:p>
      <w:pPr>
        <w:pStyle w:val="16"/>
      </w:pPr>
    </w:p>
    <w:p>
      <w:pPr>
        <w:adjustRightInd w:val="0"/>
        <w:snapToGrid w:val="0"/>
        <w:spacing w:line="288" w:lineRule="auto"/>
        <w:ind w:firstLine="1040"/>
        <w:rPr>
          <w:rFonts w:hint="eastAsia" w:ascii="仿宋_GB2312" w:eastAsia="仿宋_GB2312"/>
          <w:color w:val="auto"/>
          <w:sz w:val="36"/>
          <w:szCs w:val="36"/>
          <w:u w:val="single"/>
        </w:rPr>
      </w:pPr>
      <w:r>
        <w:rPr>
          <w:rFonts w:hint="eastAsia" w:ascii="仿宋_GB2312" w:eastAsia="仿宋_GB2312"/>
          <w:color w:val="auto"/>
          <w:sz w:val="36"/>
          <w:szCs w:val="36"/>
        </w:rPr>
        <w:t>项目名称：</w:t>
      </w:r>
      <w:r>
        <w:rPr>
          <w:rFonts w:hint="eastAsia" w:ascii="仿宋_GB2312" w:eastAsia="仿宋_GB2312"/>
          <w:color w:val="auto"/>
          <w:sz w:val="36"/>
          <w:szCs w:val="36"/>
          <w:u w:val="single"/>
          <w:lang w:val="en-US" w:eastAsia="zh-CN"/>
        </w:rPr>
        <w:t xml:space="preserve"> 长常药业生产制造基地建设项目   </w:t>
      </w:r>
      <w:r>
        <w:rPr>
          <w:rFonts w:hint="eastAsia" w:ascii="仿宋_GB2312" w:eastAsia="仿宋_GB2312"/>
          <w:color w:val="auto"/>
          <w:sz w:val="32"/>
          <w:szCs w:val="32"/>
          <w:u w:val="single"/>
          <w:lang w:val="en-US" w:eastAsia="zh-CN"/>
        </w:rPr>
        <w:t xml:space="preserve"> </w:t>
      </w:r>
      <w:r>
        <w:rPr>
          <w:rFonts w:hint="eastAsia" w:ascii="仿宋_GB2312" w:eastAsia="仿宋_GB2312"/>
          <w:color w:val="auto"/>
          <w:sz w:val="36"/>
          <w:szCs w:val="36"/>
          <w:u w:val="single"/>
        </w:rPr>
        <w:t xml:space="preserve"> </w:t>
      </w:r>
    </w:p>
    <w:p>
      <w:pPr>
        <w:adjustRightInd w:val="0"/>
        <w:snapToGrid w:val="0"/>
        <w:spacing w:line="288" w:lineRule="auto"/>
        <w:ind w:firstLine="1040"/>
        <w:rPr>
          <w:rFonts w:ascii="仿宋_GB2312" w:eastAsia="仿宋_GB2312"/>
          <w:color w:val="auto"/>
          <w:sz w:val="36"/>
          <w:szCs w:val="36"/>
          <w:u w:val="single"/>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湖南长常药业有限公司  </w:t>
      </w:r>
      <w:r>
        <w:rPr>
          <w:rFonts w:hint="eastAsia" w:ascii="仿宋_GB2312" w:eastAsia="仿宋_GB2312"/>
          <w:color w:val="auto"/>
          <w:sz w:val="32"/>
          <w:szCs w:val="32"/>
          <w:u w:val="single"/>
          <w:lang w:val="en-US" w:eastAsia="zh-CN"/>
        </w:rPr>
        <w:t xml:space="preserve">    </w:t>
      </w:r>
      <w:r>
        <w:rPr>
          <w:rFonts w:hint="eastAsia" w:ascii="仿宋_GB2312" w:eastAsia="仿宋_GB2312"/>
          <w:color w:val="auto"/>
          <w:sz w:val="36"/>
          <w:szCs w:val="36"/>
          <w:u w:val="single"/>
        </w:rPr>
        <w:t xml:space="preserve"> </w:t>
      </w:r>
    </w:p>
    <w:p>
      <w:pPr>
        <w:adjustRightInd w:val="0"/>
        <w:snapToGrid w:val="0"/>
        <w:spacing w:line="288" w:lineRule="auto"/>
        <w:ind w:firstLine="1040"/>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202</w:t>
      </w:r>
      <w:r>
        <w:rPr>
          <w:rFonts w:hint="eastAsia" w:eastAsia="仿宋_GB2312" w:cs="Times New Roman"/>
          <w:color w:val="auto"/>
          <w:sz w:val="32"/>
          <w:szCs w:val="32"/>
          <w:u w:val="single"/>
          <w:lang w:val="en-US" w:eastAsia="zh-CN"/>
        </w:rPr>
        <w:t>5</w:t>
      </w:r>
      <w:r>
        <w:rPr>
          <w:rFonts w:hint="default" w:ascii="Times New Roman" w:hAnsi="Times New Roman" w:eastAsia="仿宋_GB2312" w:cs="Times New Roman"/>
          <w:color w:val="auto"/>
          <w:sz w:val="32"/>
          <w:szCs w:val="32"/>
          <w:u w:val="single"/>
          <w:lang w:val="en-US" w:eastAsia="zh-CN"/>
        </w:rPr>
        <w:t>年</w:t>
      </w:r>
      <w:r>
        <w:rPr>
          <w:rFonts w:hint="eastAsia" w:eastAsia="仿宋_GB2312" w:cs="Times New Roman"/>
          <w:color w:val="auto"/>
          <w:sz w:val="32"/>
          <w:szCs w:val="32"/>
          <w:u w:val="single"/>
          <w:lang w:val="en-US" w:eastAsia="zh-CN"/>
        </w:rPr>
        <w:t>7</w:t>
      </w:r>
      <w:r>
        <w:rPr>
          <w:rFonts w:hint="default" w:ascii="Times New Roman" w:hAnsi="Times New Roman" w:eastAsia="仿宋_GB2312" w:cs="Times New Roman"/>
          <w:color w:val="auto"/>
          <w:sz w:val="32"/>
          <w:szCs w:val="32"/>
          <w:u w:val="single"/>
          <w:lang w:val="en-US" w:eastAsia="zh-CN"/>
        </w:rPr>
        <w:t>月</w:t>
      </w:r>
      <w:r>
        <w:rPr>
          <w:rFonts w:hint="default" w:ascii="Times New Roman" w:hAnsi="Times New Roman" w:eastAsia="仿宋_GB2312" w:cs="Times New Roman"/>
          <w:color w:val="auto"/>
          <w:sz w:val="36"/>
          <w:szCs w:val="36"/>
          <w:u w:val="single"/>
          <w:lang w:val="en-US" w:eastAsia="zh-CN"/>
        </w:rPr>
        <w:t xml:space="preserve">  </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rPr>
        <w:t xml:space="preserve"> </w:t>
      </w:r>
    </w:p>
    <w:p>
      <w:pPr>
        <w:adjustRightInd w:val="0"/>
        <w:snapToGrid w:val="0"/>
        <w:spacing w:line="288" w:lineRule="auto"/>
        <w:ind w:firstLine="1040"/>
        <w:rPr>
          <w:rFonts w:ascii="仿宋_GB2312" w:eastAsia="仿宋_GB2312"/>
          <w:color w:val="auto"/>
          <w:sz w:val="36"/>
          <w:szCs w:val="36"/>
          <w:u w:val="single"/>
        </w:rPr>
      </w:pPr>
      <w:bookmarkStart w:id="1" w:name="_Hlk57884087"/>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bookmarkEnd w:id="1"/>
    <w:p>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pPr>
        <w:pStyle w:val="3"/>
        <w:rPr>
          <w:rFonts w:ascii="仿宋_GB2312" w:eastAsia="仿宋_GB2312"/>
          <w:color w:val="FF0000"/>
          <w:sz w:val="36"/>
          <w:szCs w:val="36"/>
        </w:rPr>
      </w:pPr>
    </w:p>
    <w:p>
      <w:pPr>
        <w:rPr>
          <w:rFonts w:hint="eastAsia" w:eastAsia="宋体"/>
          <w:lang w:eastAsia="zh-CN"/>
        </w:rPr>
      </w:pPr>
      <w:r>
        <w:rPr>
          <w:rFonts w:hint="eastAsia" w:eastAsia="宋体"/>
          <w:lang w:eastAsia="zh-CN"/>
        </w:rPr>
        <w:drawing>
          <wp:inline distT="0" distB="0" distL="114300" distR="114300">
            <wp:extent cx="5614670" cy="7940675"/>
            <wp:effectExtent l="0" t="0" r="5080" b="3175"/>
            <wp:docPr id="19" name="图片 25" descr="SKM_C754e2507091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SKM_C754e25070911160"/>
                    <pic:cNvPicPr>
                      <a:picLocks noChangeAspect="1"/>
                    </pic:cNvPicPr>
                  </pic:nvPicPr>
                  <pic:blipFill>
                    <a:blip r:embed="rId11"/>
                    <a:stretch>
                      <a:fillRect/>
                    </a:stretch>
                  </pic:blipFill>
                  <pic:spPr>
                    <a:xfrm>
                      <a:off x="0" y="0"/>
                      <a:ext cx="5614670" cy="7940675"/>
                    </a:xfrm>
                    <a:prstGeom prst="rect">
                      <a:avLst/>
                    </a:prstGeom>
                    <a:noFill/>
                    <a:ln>
                      <a:noFill/>
                    </a:ln>
                  </pic:spPr>
                </pic:pic>
              </a:graphicData>
            </a:graphic>
          </wp:inline>
        </w:drawing>
      </w:r>
    </w:p>
    <w:p>
      <w:pPr>
        <w:spacing w:line="480" w:lineRule="auto"/>
        <w:jc w:val="center"/>
        <w:rPr>
          <w:rFonts w:hint="default" w:ascii="Times New Roman" w:hAnsi="Times New Roman" w:cs="Times New Roman"/>
          <w:b/>
          <w:bCs/>
          <w:sz w:val="32"/>
          <w:szCs w:val="32"/>
        </w:rPr>
      </w:pPr>
      <w:r>
        <w:br w:type="page"/>
      </w:r>
      <w:r>
        <w:rPr>
          <w:rFonts w:hint="default" w:ascii="Times New Roman" w:hAnsi="Times New Roman" w:eastAsia="宋体" w:cs="Times New Roman"/>
          <w:b/>
          <w:bCs/>
          <w:sz w:val="32"/>
          <w:szCs w:val="32"/>
        </w:rPr>
        <w:t>目录</w:t>
      </w:r>
    </w:p>
    <w:p>
      <w:pPr>
        <w:tabs>
          <w:tab w:val="right" w:leader="dot" w:pos="8844"/>
        </w:tabs>
        <w:spacing w:line="480" w:lineRule="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TOC \o "1-1" \h \u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_Toc2600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napToGrid w:val="0"/>
          <w:sz w:val="28"/>
          <w:szCs w:val="28"/>
        </w:rPr>
        <w:t>一、建设项目基本情况</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_Toc2600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- 1 -</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pPr>
        <w:tabs>
          <w:tab w:val="right" w:leader="dot" w:pos="8844"/>
        </w:tabs>
        <w:spacing w:line="480" w:lineRule="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_Toc19917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napToGrid w:val="0"/>
          <w:sz w:val="28"/>
          <w:szCs w:val="28"/>
        </w:rPr>
        <w:t>二、建设项目工程分析</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_Toc19917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- 11 -</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pPr>
        <w:tabs>
          <w:tab w:val="right" w:leader="dot" w:pos="8844"/>
        </w:tabs>
        <w:spacing w:line="480" w:lineRule="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_Toc21524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napToGrid w:val="0"/>
          <w:sz w:val="28"/>
          <w:szCs w:val="28"/>
        </w:rPr>
        <w:t>三、区域环境质量现状、环境保护目标及评价标准</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_Toc21524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- 34 -</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pPr>
        <w:tabs>
          <w:tab w:val="right" w:leader="dot" w:pos="8844"/>
        </w:tabs>
        <w:spacing w:line="480" w:lineRule="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_Toc10958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napToGrid w:val="0"/>
          <w:sz w:val="28"/>
          <w:szCs w:val="28"/>
        </w:rPr>
        <w:t>四、主要环境影响和保护措施</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_Toc10958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- 40 -</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pPr>
        <w:tabs>
          <w:tab w:val="right" w:leader="dot" w:pos="8844"/>
        </w:tabs>
        <w:spacing w:line="480" w:lineRule="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_Toc4705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napToGrid w:val="0"/>
          <w:sz w:val="28"/>
          <w:szCs w:val="28"/>
        </w:rPr>
        <w:t>五、环境保护措施监督检查清单</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_Toc4705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- 65 -</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pPr>
        <w:tabs>
          <w:tab w:val="right" w:leader="dot" w:pos="8844"/>
        </w:tabs>
        <w:spacing w:line="480" w:lineRule="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_Toc23216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napToGrid w:val="0"/>
          <w:sz w:val="28"/>
          <w:szCs w:val="28"/>
        </w:rPr>
        <w:t>建设项目污染物排放量汇总表</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_Toc23216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- 67 -</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pPr>
        <w:spacing w:line="480" w:lineRule="auto"/>
        <w:ind w:left="0" w:leftChars="0" w:firstLine="0" w:firstLineChars="0"/>
        <w:rPr>
          <w:rFonts w:hint="eastAsia" w:ascii="黑体" w:hAnsi="黑体" w:eastAsia="黑体" w:cs="黑体"/>
          <w:lang w:val="en-US" w:eastAsia="zh-CN"/>
        </w:rPr>
      </w:pPr>
      <w:r>
        <w:rPr>
          <w:rFonts w:hint="default" w:ascii="Times New Roman" w:hAnsi="Times New Roman" w:eastAsia="黑体" w:cs="Times New Roman"/>
          <w:sz w:val="28"/>
          <w:szCs w:val="28"/>
        </w:rPr>
        <w:fldChar w:fldCharType="end"/>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
    <w:p>
      <w:pPr>
        <w:pStyle w:val="3"/>
        <w:rPr>
          <w:rFonts w:ascii="仿宋_GB2312" w:eastAsia="仿宋_GB2312"/>
          <w:color w:val="FF0000"/>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5"/>
        <w:bidi w:val="0"/>
        <w:jc w:val="center"/>
        <w:rPr>
          <w:rFonts w:hint="eastAsia"/>
        </w:rPr>
      </w:pPr>
      <w:bookmarkStart w:id="2" w:name="_Toc2600"/>
      <w:r>
        <w:rPr>
          <w:rFonts w:hint="eastAsia"/>
        </w:rPr>
        <w:t>一、建设项目基本情况</w:t>
      </w:r>
      <w:bookmarkEnd w:id="2"/>
    </w:p>
    <w:tbl>
      <w:tblPr>
        <w:tblStyle w:val="1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63"/>
        <w:gridCol w:w="2580"/>
        <w:gridCol w:w="2088"/>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307"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长常药业生产制造基地建设项</w:t>
            </w:r>
            <w:r>
              <w:rPr>
                <w:rFonts w:hint="eastAsia" w:cs="Times New Roman"/>
                <w:color w:val="auto"/>
                <w:sz w:val="24"/>
                <w:szCs w:val="24"/>
                <w:lang w:val="en-US" w:eastAsia="zh-CN"/>
              </w:rPr>
              <w:t>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FF0000"/>
                <w:sz w:val="24"/>
                <w:szCs w:val="24"/>
              </w:rPr>
            </w:pPr>
            <w:r>
              <w:rPr>
                <w:rFonts w:hint="default" w:ascii="Times New Roman" w:hAnsi="Times New Roman" w:cs="Times New Roman"/>
                <w:color w:val="auto"/>
                <w:sz w:val="24"/>
                <w:szCs w:val="24"/>
              </w:rPr>
              <w:t>项目代码</w:t>
            </w:r>
          </w:p>
        </w:tc>
        <w:tc>
          <w:tcPr>
            <w:tcW w:w="7307" w:type="dxa"/>
            <w:gridSpan w:val="3"/>
            <w:noWrap w:val="0"/>
            <w:vAlign w:val="center"/>
          </w:tcPr>
          <w:p>
            <w:pPr>
              <w:adjustRightInd w:val="0"/>
              <w:snapToGrid w:val="0"/>
              <w:jc w:val="center"/>
              <w:rPr>
                <w:rFonts w:hint="default" w:ascii="Times New Roman" w:hAnsi="Times New Roman" w:eastAsia="宋体" w:cs="Times New Roman"/>
                <w:color w:val="FF0000"/>
                <w:sz w:val="24"/>
                <w:szCs w:val="24"/>
                <w:lang w:val="en-US" w:eastAsia="zh-CN"/>
              </w:rPr>
            </w:pPr>
            <w:r>
              <w:rPr>
                <w:rFonts w:hint="eastAsia" w:cs="Times New Roman"/>
                <w:color w:val="auto"/>
                <w:sz w:val="24"/>
                <w:szCs w:val="24"/>
                <w:lang w:val="en-US" w:eastAsia="zh-CN"/>
              </w:rPr>
              <w:t>2406-430700-04-01-927403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3"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58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周军</w:t>
            </w:r>
          </w:p>
        </w:tc>
        <w:tc>
          <w:tcPr>
            <w:tcW w:w="2088"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2639" w:type="dxa"/>
            <w:noWrap w:val="0"/>
            <w:vAlign w:val="center"/>
          </w:tcPr>
          <w:p>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13875095285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307" w:type="dxa"/>
            <w:gridSpan w:val="3"/>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u w:val="none"/>
              </w:rPr>
              <w:t xml:space="preserve"> </w:t>
            </w:r>
            <w:r>
              <w:rPr>
                <w:rFonts w:hint="default" w:ascii="Times New Roman" w:hAnsi="Times New Roman" w:cs="Times New Roman"/>
                <w:color w:val="auto"/>
                <w:sz w:val="24"/>
                <w:szCs w:val="24"/>
                <w:u w:val="none"/>
                <w:lang w:val="en-US" w:eastAsia="zh-CN"/>
              </w:rPr>
              <w:t>湖南</w:t>
            </w:r>
            <w:r>
              <w:rPr>
                <w:rFonts w:hint="default" w:ascii="Times New Roman" w:hAnsi="Times New Roman" w:cs="Times New Roman"/>
                <w:color w:val="auto"/>
                <w:sz w:val="24"/>
                <w:szCs w:val="24"/>
                <w:u w:val="none"/>
              </w:rPr>
              <w:t>省</w:t>
            </w:r>
            <w:r>
              <w:rPr>
                <w:rFonts w:hint="default" w:ascii="Times New Roman" w:hAnsi="Times New Roman" w:cs="Times New Roman"/>
                <w:color w:val="auto"/>
                <w:sz w:val="24"/>
                <w:szCs w:val="24"/>
                <w:u w:val="none"/>
                <w:lang w:val="en-US" w:eastAsia="zh-CN"/>
              </w:rPr>
              <w:t>常德</w:t>
            </w:r>
            <w:r>
              <w:rPr>
                <w:rFonts w:hint="eastAsia" w:cs="Times New Roman"/>
                <w:color w:val="auto"/>
                <w:sz w:val="24"/>
                <w:szCs w:val="24"/>
                <w:u w:val="none"/>
                <w:lang w:val="en-US" w:eastAsia="zh-CN"/>
              </w:rPr>
              <w:t>经济技术开发区</w:t>
            </w:r>
            <w:r>
              <w:rPr>
                <w:rFonts w:hint="eastAsia" w:cs="Times New Roman"/>
                <w:color w:val="auto"/>
                <w:sz w:val="24"/>
                <w:szCs w:val="24"/>
                <w:u w:val="none"/>
                <w:lang w:eastAsia="zh-CN"/>
              </w:rPr>
              <w:t>尚德路以北长安路以西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307" w:type="dxa"/>
            <w:gridSpan w:val="3"/>
            <w:noWrap w:val="0"/>
            <w:vAlign w:val="center"/>
          </w:tcPr>
          <w:p>
            <w:pPr>
              <w:jc w:val="center"/>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 xml:space="preserve">经度：111°42′7.19257″纬度：28°54′21.12705″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58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C2720化学药品制剂制造</w:t>
            </w:r>
          </w:p>
        </w:tc>
        <w:tc>
          <w:tcPr>
            <w:tcW w:w="2088" w:type="dxa"/>
            <w:noWrap w:val="0"/>
            <w:vAlign w:val="center"/>
          </w:tcPr>
          <w:p>
            <w:pPr>
              <w:adjustRightInd w:val="0"/>
              <w:snapToGrid w:val="0"/>
              <w:jc w:val="center"/>
              <w:rPr>
                <w:rFonts w:hint="default" w:ascii="Times New Roman" w:hAnsi="Times New Roman" w:cs="Times New Roman"/>
                <w:color w:val="auto"/>
                <w:sz w:val="24"/>
                <w:szCs w:val="24"/>
              </w:rPr>
            </w:pPr>
            <w:bookmarkStart w:id="3" w:name="_Hlk49843745"/>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3"/>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二十四、医药制造业27化学药品制剂制造 272</w:t>
            </w:r>
            <w:r>
              <w:rPr>
                <w:rFonts w:hint="eastAsia" w:cs="Times New Roman"/>
                <w:color w:val="auto"/>
                <w:sz w:val="24"/>
                <w:szCs w:val="24"/>
                <w:lang w:val="en-US" w:eastAsia="zh-CN"/>
              </w:rPr>
              <w:t>—仅化学药品制剂制造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580" w:type="dxa"/>
            <w:noWrap w:val="0"/>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新建（迁建）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□改建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扩建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□技术改造</w:t>
            </w:r>
          </w:p>
        </w:tc>
        <w:tc>
          <w:tcPr>
            <w:tcW w:w="2088"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639" w:type="dxa"/>
            <w:noWrap w:val="0"/>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 xml:space="preserve">首次申报项目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 xml:space="preserve">超五年重新审核项目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项目审批（核准/备案）部门（选填）</w:t>
            </w:r>
          </w:p>
        </w:tc>
        <w:tc>
          <w:tcPr>
            <w:tcW w:w="258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常德经济技术开发区产业发展局</w:t>
            </w:r>
          </w:p>
        </w:tc>
        <w:tc>
          <w:tcPr>
            <w:tcW w:w="2088"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2639"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德产备〔2024〕073号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58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50000</w:t>
            </w:r>
          </w:p>
        </w:tc>
        <w:tc>
          <w:tcPr>
            <w:tcW w:w="20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58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0.56</w:t>
            </w:r>
          </w:p>
        </w:tc>
        <w:tc>
          <w:tcPr>
            <w:tcW w:w="20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12</w:t>
            </w:r>
            <w:r>
              <w:rPr>
                <w:rFonts w:hint="eastAsia" w:ascii="Times New Roman" w:hAnsi="Times New Roman" w:cs="Times New Roman"/>
                <w:color w:val="auto"/>
                <w:sz w:val="24"/>
                <w:szCs w:val="24"/>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3"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580" w:type="dxa"/>
            <w:noWrap w:val="0"/>
            <w:vAlign w:val="center"/>
          </w:tcPr>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否</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p>
        </w:tc>
        <w:tc>
          <w:tcPr>
            <w:tcW w:w="20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33514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63"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307" w:type="dxa"/>
            <w:gridSpan w:val="3"/>
            <w:noWrap w:val="0"/>
            <w:vAlign w:val="center"/>
          </w:tcPr>
          <w:p>
            <w:pPr>
              <w:autoSpaceDE w:val="0"/>
              <w:autoSpaceDN w:val="0"/>
              <w:adjustRightInd w:val="0"/>
              <w:snapToGrid w:val="0"/>
              <w:jc w:val="center"/>
              <w:rPr>
                <w:rFonts w:hint="eastAsia" w:ascii="Times New Roman" w:hAnsi="Times New Roman" w:eastAsia="宋体"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563"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7307" w:type="dxa"/>
            <w:gridSpan w:val="3"/>
            <w:noWrap w:val="0"/>
            <w:vAlign w:val="center"/>
          </w:tcPr>
          <w:p>
            <w:pPr>
              <w:autoSpaceDE w:val="0"/>
              <w:autoSpaceDN w:val="0"/>
              <w:adjustRightInd w:val="0"/>
              <w:snapToGrid w:val="0"/>
              <w:spacing w:line="360" w:lineRule="auto"/>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规划文件名称：《常德经济技术开发区控制性详细规划整合》</w:t>
            </w:r>
          </w:p>
          <w:p>
            <w:pPr>
              <w:autoSpaceDE w:val="0"/>
              <w:autoSpaceDN w:val="0"/>
              <w:adjustRightInd w:val="0"/>
              <w:snapToGrid w:val="0"/>
              <w:spacing w:line="360" w:lineRule="auto"/>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规划编制单位：湖南万源土地房地产评估测绘公司</w:t>
            </w:r>
          </w:p>
          <w:p>
            <w:pPr>
              <w:autoSpaceDE w:val="0"/>
              <w:autoSpaceDN w:val="0"/>
              <w:adjustRightInd w:val="0"/>
              <w:snapToGrid w:val="0"/>
              <w:spacing w:line="360" w:lineRule="auto"/>
              <w:jc w:val="left"/>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规划审查单位：湖南省人民政府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1563"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规划环境影响评价情况</w:t>
            </w:r>
          </w:p>
        </w:tc>
        <w:tc>
          <w:tcPr>
            <w:tcW w:w="7307" w:type="dxa"/>
            <w:gridSpan w:val="3"/>
            <w:noWrap w:val="0"/>
            <w:vAlign w:val="center"/>
          </w:tcPr>
          <w:p>
            <w:pPr>
              <w:autoSpaceDE w:val="0"/>
              <w:autoSpaceDN w:val="0"/>
              <w:adjustRightInd w:val="0"/>
              <w:snapToGrid w:val="0"/>
              <w:spacing w:line="360" w:lineRule="auto"/>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规划环境影响评价文件名称：《常德经济技术开发区调区扩区规划环境影响报告书》；湖南省环境保护科学研究院，2023.</w:t>
            </w:r>
            <w:r>
              <w:rPr>
                <w:rFonts w:hint="eastAsia"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rPr>
              <w:t>6</w:t>
            </w:r>
          </w:p>
          <w:p>
            <w:pPr>
              <w:autoSpaceDE w:val="0"/>
              <w:autoSpaceDN w:val="0"/>
              <w:adjustRightInd w:val="0"/>
              <w:snapToGrid w:val="0"/>
              <w:spacing w:line="360" w:lineRule="auto"/>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审查机关：湖南省生态环境厅；</w:t>
            </w:r>
          </w:p>
          <w:p>
            <w:pPr>
              <w:autoSpaceDE w:val="0"/>
              <w:autoSpaceDN w:val="0"/>
              <w:adjustRightInd w:val="0"/>
              <w:snapToGrid w:val="0"/>
              <w:spacing w:line="360" w:lineRule="auto"/>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审查文件名称及文号：《关于常德市经济开发区调区扩区规划环境影响报告书审查意见的函》（湘环评函〔2023〕32号）。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563" w:type="dxa"/>
            <w:noWrap w:val="0"/>
            <w:vAlign w:val="center"/>
          </w:tcPr>
          <w:p>
            <w:pPr>
              <w:autoSpaceDE w:val="0"/>
              <w:autoSpaceDN w:val="0"/>
              <w:adjustRightInd w:val="0"/>
              <w:snapToGrid w:val="0"/>
              <w:jc w:val="center"/>
              <w:rPr>
                <w:rFonts w:hint="default" w:ascii="Times New Roman" w:hAnsi="Times New Roman" w:cs="Times New Roman"/>
                <w:color w:val="FF0000"/>
                <w:kern w:val="0"/>
                <w:sz w:val="24"/>
                <w:szCs w:val="24"/>
              </w:rPr>
            </w:pPr>
            <w:r>
              <w:rPr>
                <w:rFonts w:hint="default" w:ascii="Times New Roman" w:hAnsi="Times New Roman" w:cs="Times New Roman"/>
                <w:color w:val="auto"/>
                <w:kern w:val="0"/>
                <w:sz w:val="24"/>
                <w:szCs w:val="24"/>
              </w:rPr>
              <w:t>规划及规划环境影响评价符合性分析</w:t>
            </w:r>
          </w:p>
        </w:tc>
        <w:tc>
          <w:tcPr>
            <w:tcW w:w="7307" w:type="dxa"/>
            <w:gridSpan w:val="3"/>
            <w:noWrap w:val="0"/>
            <w:vAlign w:val="center"/>
          </w:tcPr>
          <w:p>
            <w:pPr>
              <w:snapToGrid w:val="0"/>
              <w:spacing w:line="360" w:lineRule="auto"/>
              <w:jc w:val="left"/>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b/>
                <w:bCs/>
                <w:sz w:val="24"/>
                <w:szCs w:val="24"/>
                <w:u w:val="single"/>
                <w:lang w:val="en-US" w:eastAsia="zh-CN"/>
              </w:rPr>
              <w:t>1、与《常德经济技术开发区控制性详细规划整合》的符合性分析</w:t>
            </w:r>
          </w:p>
          <w:p>
            <w:pPr>
              <w:snapToGrid w:val="0"/>
              <w:spacing w:line="360" w:lineRule="auto"/>
              <w:ind w:firstLine="480" w:firstLineChars="200"/>
              <w:jc w:val="both"/>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（1）产业定位</w:t>
            </w:r>
          </w:p>
          <w:p>
            <w:pPr>
              <w:snapToGrid w:val="0"/>
              <w:spacing w:line="360" w:lineRule="auto"/>
              <w:ind w:firstLine="480" w:firstLineChars="200"/>
              <w:jc w:val="both"/>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常德经开区目前为一区三园，分别为德山产业园（2983.57hm</w:t>
            </w:r>
            <w:r>
              <w:rPr>
                <w:rFonts w:hint="default" w:ascii="Times New Roman" w:hAnsi="Times New Roman" w:eastAsia="宋体" w:cs="Times New Roman"/>
                <w:sz w:val="24"/>
                <w:szCs w:val="24"/>
                <w:u w:val="single"/>
                <w:vertAlign w:val="superscript"/>
                <w:lang w:val="en-US" w:eastAsia="zh-CN"/>
              </w:rPr>
              <w:t>2</w:t>
            </w:r>
            <w:r>
              <w:rPr>
                <w:rFonts w:hint="default" w:ascii="Times New Roman" w:hAnsi="Times New Roman" w:eastAsia="宋体" w:cs="Times New Roman"/>
                <w:sz w:val="24"/>
                <w:szCs w:val="24"/>
                <w:u w:val="single"/>
                <w:lang w:val="en-US" w:eastAsia="zh-CN"/>
              </w:rPr>
              <w:t>）、烟草科技产业园（140.78hm</w:t>
            </w:r>
            <w:r>
              <w:rPr>
                <w:rFonts w:hint="default" w:ascii="Times New Roman" w:hAnsi="Times New Roman" w:eastAsia="宋体" w:cs="Times New Roman"/>
                <w:sz w:val="24"/>
                <w:szCs w:val="24"/>
                <w:u w:val="single"/>
                <w:vertAlign w:val="superscript"/>
                <w:lang w:val="en-US" w:eastAsia="zh-CN"/>
              </w:rPr>
              <w:t>2</w:t>
            </w:r>
            <w:r>
              <w:rPr>
                <w:rFonts w:hint="default" w:ascii="Times New Roman" w:hAnsi="Times New Roman" w:eastAsia="宋体" w:cs="Times New Roman"/>
                <w:sz w:val="24"/>
                <w:szCs w:val="24"/>
                <w:u w:val="single"/>
                <w:lang w:val="en-US" w:eastAsia="zh-CN"/>
              </w:rPr>
              <w:t>）、武陵移动互联网产业园（33.30hm</w:t>
            </w:r>
            <w:r>
              <w:rPr>
                <w:rFonts w:hint="default" w:ascii="Times New Roman" w:hAnsi="Times New Roman" w:eastAsia="宋体" w:cs="Times New Roman"/>
                <w:sz w:val="24"/>
                <w:szCs w:val="24"/>
                <w:u w:val="single"/>
                <w:vertAlign w:val="superscript"/>
                <w:lang w:val="en-US" w:eastAsia="zh-CN"/>
              </w:rPr>
              <w:t>2</w:t>
            </w:r>
            <w:r>
              <w:rPr>
                <w:rFonts w:hint="default" w:ascii="Times New Roman" w:hAnsi="Times New Roman" w:eastAsia="宋体" w:cs="Times New Roman"/>
                <w:sz w:val="24"/>
                <w:szCs w:val="24"/>
                <w:u w:val="single"/>
                <w:lang w:val="en-US" w:eastAsia="zh-CN"/>
              </w:rPr>
              <w:t>）。聚焦智能装备制造、医药食品健康两大主导产业，培育壮大新能源及材料特色产业，大力发展一批新兴服务业和改造提升一批传统优势产业，推动产业融合发展、创新发展和转型发展，形成具有国际竞争力和影响力的“2+1+2”现代化产业新体系。具体各片区产业布局细化如下：</w:t>
            </w:r>
          </w:p>
          <w:p>
            <w:pPr>
              <w:snapToGrid w:val="0"/>
              <w:spacing w:line="360" w:lineRule="auto"/>
              <w:ind w:firstLine="480" w:firstLineChars="200"/>
              <w:jc w:val="both"/>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德山产业园（含化工片区）：智能装备制造产业、医药食品健康产业、新能源及材料产业、现代物流。</w:t>
            </w:r>
          </w:p>
          <w:p>
            <w:pPr>
              <w:snapToGrid w:val="0"/>
              <w:spacing w:line="360" w:lineRule="auto"/>
              <w:ind w:firstLine="480" w:firstLineChars="200"/>
              <w:jc w:val="both"/>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烟草科技产业园：烟草产业。</w:t>
            </w:r>
          </w:p>
          <w:p>
            <w:pPr>
              <w:snapToGrid w:val="0"/>
              <w:spacing w:line="360" w:lineRule="auto"/>
              <w:ind w:firstLine="480" w:firstLineChars="200"/>
              <w:jc w:val="both"/>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武陵移动互联网产业园：互联网文创产业。</w:t>
            </w:r>
          </w:p>
          <w:p>
            <w:pPr>
              <w:snapToGrid w:val="0"/>
              <w:spacing w:line="360" w:lineRule="auto"/>
              <w:ind w:firstLine="480" w:firstLineChars="200"/>
              <w:jc w:val="both"/>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本项目选址于</w:t>
            </w:r>
            <w:r>
              <w:rPr>
                <w:rFonts w:hint="eastAsia" w:ascii="Times New Roman" w:hAnsi="Times New Roman" w:eastAsia="宋体" w:cs="Times New Roman"/>
                <w:sz w:val="24"/>
                <w:szCs w:val="24"/>
                <w:u w:val="single"/>
                <w:lang w:val="en-US" w:eastAsia="zh-CN"/>
              </w:rPr>
              <w:t>常德经济技术开发区尚德路以北长安路以西地块，属于德山产业园片区，本项目属于医药产业项目，因此符合《常德经济技术开发区控制性详细规划整合》</w:t>
            </w:r>
            <w:r>
              <w:rPr>
                <w:rFonts w:hint="default" w:ascii="Times New Roman" w:hAnsi="Times New Roman" w:eastAsia="宋体" w:cs="Times New Roman"/>
                <w:sz w:val="24"/>
                <w:szCs w:val="24"/>
                <w:u w:val="single"/>
                <w:lang w:val="en-US" w:eastAsia="zh-CN"/>
              </w:rPr>
              <w:t>。</w:t>
            </w:r>
          </w:p>
          <w:p>
            <w:pPr>
              <w:snapToGrid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（2）土地利用规划</w:t>
            </w:r>
          </w:p>
          <w:p>
            <w:pPr>
              <w:snapToGrid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根据湖南省自然资源厅《关于常德经济技术开发区扩区用地审核意见的复函》，在2022年（湘发改园区[2022]601号）核定范围2507.57公顷基准上，调入650.08hm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，经扩区后规划面积共计3157.65hm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，建设用地3114.22hm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w:t>
            </w:r>
          </w:p>
          <w:p>
            <w:pPr>
              <w:snapToGrid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德山产业园规划范围内总用地2983.5公顷，其中建设用地2940.14公顷，非建设用地43.43公顷。根据德山产业园土地利用规划图，拟建项目用地性质属于</w:t>
            </w: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lang w:val="en-US" w:eastAsia="zh-CN"/>
              </w:rPr>
              <w:t>类工业用地，符合土地利用规划。</w:t>
            </w:r>
          </w:p>
          <w:p>
            <w:pPr>
              <w:snapToGrid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2、与《常德经济技术开发区调区扩区规划环境影响报告书》符合性分析</w:t>
            </w:r>
          </w:p>
          <w:p>
            <w:pPr>
              <w:snapToGrid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根据常德经济技术开发区调区扩区规划环评德山产业园环境准入行业清单，本项目不属于《产业结构调整指导目录（2</w:t>
            </w:r>
            <w:r>
              <w:rPr>
                <w:rFonts w:hint="eastAsia" w:ascii="Times New Roman" w:hAnsi="Times New Roman" w:eastAsia="宋体" w:cs="Times New Roman"/>
                <w:sz w:val="24"/>
                <w:szCs w:val="24"/>
                <w:lang w:val="en-US" w:eastAsia="zh-CN"/>
              </w:rPr>
              <w:t>024年本</w:t>
            </w:r>
            <w:r>
              <w:rPr>
                <w:rFonts w:hint="default" w:ascii="Times New Roman" w:hAnsi="Times New Roman" w:eastAsia="宋体" w:cs="Times New Roman"/>
                <w:sz w:val="24"/>
                <w:szCs w:val="24"/>
                <w:lang w:val="en-US" w:eastAsia="zh-CN"/>
              </w:rPr>
              <w:t>）》限制类工艺和设备的项目、不属于《产业结构调整指导目录（2</w:t>
            </w:r>
            <w:r>
              <w:rPr>
                <w:rFonts w:hint="eastAsia" w:ascii="Times New Roman" w:hAnsi="Times New Roman" w:eastAsia="宋体" w:cs="Times New Roman"/>
                <w:sz w:val="24"/>
                <w:szCs w:val="24"/>
                <w:lang w:val="en-US" w:eastAsia="zh-CN"/>
              </w:rPr>
              <w:t>024年本</w:t>
            </w:r>
            <w:r>
              <w:rPr>
                <w:rFonts w:hint="default" w:ascii="Times New Roman" w:hAnsi="Times New Roman" w:eastAsia="宋体" w:cs="Times New Roman"/>
                <w:sz w:val="24"/>
                <w:szCs w:val="24"/>
                <w:lang w:val="en-US" w:eastAsia="zh-CN"/>
              </w:rPr>
              <w:t>）》限制类工艺和设备的项目，符合调区扩区规划环评制定的常德经开区环境准入基本条件产业导向要求。</w:t>
            </w:r>
          </w:p>
          <w:p>
            <w:pPr>
              <w:snapToGrid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项目选址符合常德经济技术开发区控制性详细规划整合、常德市国土空间规划，符合园区规划选址要求。</w:t>
            </w:r>
          </w:p>
          <w:p>
            <w:pPr>
              <w:snapToGrid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入区项目生产工艺、装备技术水平、水耗、能耗、污染物排放等应达到国内同行业领先水平。本项目拟采用的生产工艺、装备技术水平、能耗、污染物排放等均达到国内同行业领先水平，符合园区环境准入清洁生产条件。</w:t>
            </w:r>
          </w:p>
          <w:p>
            <w:pPr>
              <w:snapToGrid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本项目建设经采取本环评防治措施，经工程分析，排放污染物符合国家、省规定的污染物排放标准；本项目生活污水</w:t>
            </w:r>
            <w:r>
              <w:rPr>
                <w:rFonts w:hint="eastAsia" w:ascii="Times New Roman" w:hAnsi="Times New Roman" w:eastAsia="宋体" w:cs="Times New Roman"/>
                <w:sz w:val="24"/>
                <w:szCs w:val="24"/>
                <w:lang w:val="en-US" w:eastAsia="zh-CN"/>
              </w:rPr>
              <w:t>及生产废水经自建污水处理站处理后</w:t>
            </w:r>
            <w:r>
              <w:rPr>
                <w:rFonts w:hint="default" w:ascii="Times New Roman" w:hAnsi="Times New Roman" w:eastAsia="宋体" w:cs="Times New Roman"/>
                <w:sz w:val="24"/>
                <w:szCs w:val="24"/>
                <w:lang w:val="en-US" w:eastAsia="zh-CN"/>
              </w:rPr>
              <w:t>排入德山污水处理厂，符合环境保护准入条件。</w:t>
            </w:r>
          </w:p>
          <w:p>
            <w:pPr>
              <w:snapToGrid w:val="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3、与《常德经济技术开发区调区扩区规划环境影响报告书》审查意见的符合性分析</w:t>
            </w:r>
          </w:p>
          <w:p>
            <w:pPr>
              <w:snapToGrid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表1-1</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 xml:space="preserve"> 与《常德经济技术开发区调区扩区规划环境影响报告书》</w:t>
            </w:r>
          </w:p>
          <w:p>
            <w:pPr>
              <w:snapToGrid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审查意见的符合性</w:t>
            </w:r>
          </w:p>
          <w:tbl>
            <w:tblPr>
              <w:tblStyle w:val="17"/>
              <w:tblW w:w="498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77"/>
              <w:gridCol w:w="3973"/>
              <w:gridCol w:w="1284"/>
              <w:gridCol w:w="93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620" w:type="pct"/>
                  <w:tcBorders>
                    <w:tl2br w:val="nil"/>
                    <w:tr2bl w:val="nil"/>
                  </w:tcBorders>
                  <w:noWrap w:val="0"/>
                  <w:vAlign w:val="center"/>
                </w:tcPr>
                <w:p>
                  <w:pPr>
                    <w:spacing w:line="240" w:lineRule="auto"/>
                    <w:jc w:val="center"/>
                    <w:rPr>
                      <w:rFonts w:hint="eastAsia"/>
                      <w:b/>
                      <w:bCs/>
                      <w:color w:val="000000"/>
                      <w:sz w:val="21"/>
                      <w:szCs w:val="21"/>
                    </w:rPr>
                  </w:pPr>
                  <w:r>
                    <w:rPr>
                      <w:rFonts w:hint="eastAsia"/>
                      <w:b/>
                      <w:bCs/>
                      <w:color w:val="000000"/>
                      <w:sz w:val="21"/>
                      <w:szCs w:val="21"/>
                    </w:rPr>
                    <w:t>类别</w:t>
                  </w:r>
                </w:p>
              </w:tc>
              <w:tc>
                <w:tcPr>
                  <w:tcW w:w="2811" w:type="pct"/>
                  <w:tcBorders>
                    <w:tl2br w:val="nil"/>
                    <w:tr2bl w:val="nil"/>
                  </w:tcBorders>
                  <w:noWrap w:val="0"/>
                  <w:vAlign w:val="center"/>
                </w:tcPr>
                <w:p>
                  <w:pPr>
                    <w:spacing w:line="240" w:lineRule="auto"/>
                    <w:jc w:val="center"/>
                    <w:rPr>
                      <w:rFonts w:hint="eastAsia" w:eastAsia="宋体"/>
                      <w:b/>
                      <w:bCs/>
                      <w:color w:val="000000"/>
                      <w:sz w:val="21"/>
                      <w:szCs w:val="21"/>
                      <w:lang w:eastAsia="zh-CN"/>
                    </w:rPr>
                  </w:pPr>
                  <w:r>
                    <w:rPr>
                      <w:rFonts w:hint="eastAsia"/>
                      <w:b/>
                      <w:bCs/>
                      <w:color w:val="000000"/>
                      <w:sz w:val="21"/>
                      <w:szCs w:val="21"/>
                      <w:lang w:val="en-US" w:eastAsia="zh-CN"/>
                    </w:rPr>
                    <w:t>要求</w:t>
                  </w:r>
                </w:p>
              </w:tc>
              <w:tc>
                <w:tcPr>
                  <w:tcW w:w="908" w:type="pct"/>
                  <w:tcBorders>
                    <w:tl2br w:val="nil"/>
                    <w:tr2bl w:val="nil"/>
                  </w:tcBorders>
                  <w:noWrap w:val="0"/>
                  <w:vAlign w:val="center"/>
                </w:tcPr>
                <w:p>
                  <w:pPr>
                    <w:spacing w:line="240" w:lineRule="auto"/>
                    <w:jc w:val="center"/>
                    <w:rPr>
                      <w:b/>
                      <w:bCs/>
                      <w:color w:val="000000"/>
                      <w:sz w:val="21"/>
                      <w:szCs w:val="21"/>
                    </w:rPr>
                  </w:pPr>
                  <w:r>
                    <w:rPr>
                      <w:rFonts w:hint="eastAsia"/>
                      <w:b/>
                      <w:bCs/>
                      <w:color w:val="000000"/>
                      <w:sz w:val="21"/>
                      <w:szCs w:val="21"/>
                    </w:rPr>
                    <w:t>本项目情况</w:t>
                  </w:r>
                </w:p>
              </w:tc>
              <w:tc>
                <w:tcPr>
                  <w:tcW w:w="659" w:type="pct"/>
                  <w:tcBorders>
                    <w:tl2br w:val="nil"/>
                    <w:tr2bl w:val="nil"/>
                  </w:tcBorders>
                  <w:noWrap w:val="0"/>
                  <w:vAlign w:val="center"/>
                </w:tcPr>
                <w:p>
                  <w:pPr>
                    <w:spacing w:line="240" w:lineRule="auto"/>
                    <w:jc w:val="center"/>
                    <w:rPr>
                      <w:b/>
                      <w:bCs/>
                      <w:color w:val="000000"/>
                      <w:sz w:val="21"/>
                      <w:szCs w:val="21"/>
                    </w:rPr>
                  </w:pPr>
                  <w:r>
                    <w:rPr>
                      <w:rFonts w:hint="eastAsia"/>
                      <w:b/>
                      <w:bCs/>
                      <w:color w:val="000000"/>
                      <w:sz w:val="21"/>
                      <w:szCs w:val="21"/>
                    </w:rPr>
                    <w:t>符合性分析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620"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严格</w:t>
                  </w:r>
                </w:p>
                <w:p>
                  <w:pPr>
                    <w:spacing w:line="240" w:lineRule="auto"/>
                    <w:jc w:val="center"/>
                    <w:rPr>
                      <w:rFonts w:hint="eastAsia"/>
                      <w:color w:val="000000"/>
                      <w:sz w:val="21"/>
                      <w:szCs w:val="21"/>
                    </w:rPr>
                  </w:pPr>
                  <w:r>
                    <w:rPr>
                      <w:rFonts w:hint="eastAsia"/>
                      <w:color w:val="000000"/>
                      <w:sz w:val="21"/>
                      <w:szCs w:val="21"/>
                    </w:rPr>
                    <w:t>依规</w:t>
                  </w:r>
                </w:p>
                <w:p>
                  <w:pPr>
                    <w:spacing w:line="240" w:lineRule="auto"/>
                    <w:jc w:val="center"/>
                    <w:rPr>
                      <w:rFonts w:hint="eastAsia"/>
                      <w:color w:val="000000"/>
                      <w:sz w:val="21"/>
                      <w:szCs w:val="21"/>
                    </w:rPr>
                  </w:pPr>
                  <w:r>
                    <w:rPr>
                      <w:rFonts w:hint="eastAsia"/>
                      <w:color w:val="000000"/>
                      <w:sz w:val="21"/>
                      <w:szCs w:val="21"/>
                    </w:rPr>
                    <w:t>开</w:t>
                  </w:r>
                </w:p>
                <w:p>
                  <w:pPr>
                    <w:spacing w:line="240" w:lineRule="auto"/>
                    <w:jc w:val="center"/>
                    <w:rPr>
                      <w:rFonts w:hint="eastAsia"/>
                      <w:color w:val="000000"/>
                      <w:sz w:val="21"/>
                      <w:szCs w:val="21"/>
                    </w:rPr>
                  </w:pPr>
                  <w:r>
                    <w:rPr>
                      <w:rFonts w:hint="eastAsia"/>
                      <w:color w:val="000000"/>
                      <w:sz w:val="21"/>
                      <w:szCs w:val="21"/>
                    </w:rPr>
                    <w:t>发，</w:t>
                  </w:r>
                </w:p>
                <w:p>
                  <w:pPr>
                    <w:spacing w:line="240" w:lineRule="auto"/>
                    <w:jc w:val="center"/>
                    <w:rPr>
                      <w:rFonts w:hint="eastAsia"/>
                      <w:color w:val="000000"/>
                      <w:sz w:val="21"/>
                      <w:szCs w:val="21"/>
                    </w:rPr>
                  </w:pPr>
                  <w:r>
                    <w:rPr>
                      <w:rFonts w:hint="eastAsia"/>
                      <w:color w:val="000000"/>
                      <w:sz w:val="21"/>
                      <w:szCs w:val="21"/>
                    </w:rPr>
                    <w:t>优化</w:t>
                  </w:r>
                </w:p>
                <w:p>
                  <w:pPr>
                    <w:spacing w:line="240" w:lineRule="auto"/>
                    <w:jc w:val="center"/>
                    <w:rPr>
                      <w:rFonts w:hint="eastAsia"/>
                      <w:color w:val="000000"/>
                      <w:sz w:val="21"/>
                      <w:szCs w:val="21"/>
                    </w:rPr>
                  </w:pPr>
                  <w:r>
                    <w:rPr>
                      <w:rFonts w:hint="eastAsia"/>
                      <w:color w:val="000000"/>
                      <w:sz w:val="21"/>
                      <w:szCs w:val="21"/>
                    </w:rPr>
                    <w:t>空间</w:t>
                  </w:r>
                </w:p>
                <w:p>
                  <w:pPr>
                    <w:spacing w:line="240" w:lineRule="auto"/>
                    <w:jc w:val="center"/>
                    <w:rPr>
                      <w:rFonts w:hint="eastAsia"/>
                      <w:color w:val="000000"/>
                      <w:sz w:val="21"/>
                      <w:szCs w:val="21"/>
                    </w:rPr>
                  </w:pPr>
                  <w:r>
                    <w:rPr>
                      <w:rFonts w:hint="eastAsia"/>
                      <w:color w:val="000000"/>
                      <w:sz w:val="21"/>
                      <w:szCs w:val="21"/>
                    </w:rPr>
                    <w:t>功能</w:t>
                  </w:r>
                </w:p>
                <w:p>
                  <w:pPr>
                    <w:spacing w:line="240" w:lineRule="auto"/>
                    <w:jc w:val="center"/>
                    <w:rPr>
                      <w:rFonts w:hint="eastAsia"/>
                      <w:color w:val="000000"/>
                      <w:sz w:val="21"/>
                      <w:szCs w:val="21"/>
                    </w:rPr>
                  </w:pPr>
                  <w:r>
                    <w:rPr>
                      <w:rFonts w:hint="eastAsia"/>
                      <w:color w:val="000000"/>
                      <w:sz w:val="21"/>
                      <w:szCs w:val="21"/>
                    </w:rPr>
                    <w:t>布局</w:t>
                  </w:r>
                </w:p>
              </w:tc>
              <w:tc>
                <w:tcPr>
                  <w:tcW w:w="2811" w:type="pct"/>
                  <w:tcBorders>
                    <w:tl2br w:val="nil"/>
                    <w:tr2bl w:val="nil"/>
                  </w:tcBorders>
                  <w:noWrap w:val="0"/>
                  <w:vAlign w:val="center"/>
                </w:tcPr>
                <w:p>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园区在进行国土空间规划和开发建设过程中应充分吸收规划环评对不同功能用地和不同工业用地类别的设置意见，从规划层面提升环境相容性。园区拟规划的化工片区应对照《化工园区建设标准和认定管理办法（试行）》《化工园区综合评价导则》中生态环境保护相关要求及生态环境部门关于化工园区认定与复核相关文件的具体要求高标准规划、建设，后续法律法规及相关政策有新的禁止和限制性要求的，应严格予以执行。为减小化工片区对周边居民的影响，化工片区西侧至太阳大道的园区范围内不得新增居住用地，现有的枫树岗安置小区规模不得扩增，紧邻枫树岗安置小区东侧的三类工业用地应调整为二类工业用地，化工片区靠近园区边界的区域应避免布局以气型污染为主或环境风险大的项目。</w:t>
                  </w:r>
                </w:p>
              </w:tc>
              <w:tc>
                <w:tcPr>
                  <w:tcW w:w="908" w:type="pct"/>
                  <w:tcBorders>
                    <w:tl2br w:val="nil"/>
                    <w:tr2bl w:val="nil"/>
                  </w:tcBorders>
                  <w:noWrap w:val="0"/>
                  <w:vAlign w:val="center"/>
                </w:tcPr>
                <w:p>
                  <w:pPr>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本项目</w:t>
                  </w:r>
                  <w:r>
                    <w:rPr>
                      <w:rFonts w:hint="eastAsia" w:ascii="Times New Roman" w:hAnsi="Times New Roman" w:eastAsia="宋体" w:cs="Times New Roman"/>
                      <w:color w:val="000000"/>
                      <w:sz w:val="21"/>
                      <w:szCs w:val="21"/>
                      <w:lang w:val="en-US" w:eastAsia="zh-CN"/>
                    </w:rPr>
                    <w:t>不在</w:t>
                  </w:r>
                  <w:r>
                    <w:rPr>
                      <w:rFonts w:hint="eastAsia" w:ascii="Times New Roman" w:hAnsi="Times New Roman" w:eastAsia="宋体" w:cs="Times New Roman"/>
                      <w:color w:val="000000"/>
                      <w:sz w:val="21"/>
                      <w:szCs w:val="21"/>
                    </w:rPr>
                    <w:t>化工片区，不属于气型污染为主或环境风险大的 项目</w:t>
                  </w:r>
                </w:p>
              </w:tc>
              <w:tc>
                <w:tcPr>
                  <w:tcW w:w="659" w:type="pct"/>
                  <w:tcBorders>
                    <w:tl2br w:val="nil"/>
                    <w:tr2bl w:val="nil"/>
                  </w:tcBorders>
                  <w:noWrap w:val="0"/>
                  <w:vAlign w:val="center"/>
                </w:tcPr>
                <w:p>
                  <w:pPr>
                    <w:spacing w:line="240" w:lineRule="auto"/>
                    <w:jc w:val="center"/>
                    <w:rPr>
                      <w:rFonts w:hint="eastAsia" w:eastAsia="宋体"/>
                      <w:color w:val="000000"/>
                      <w:sz w:val="21"/>
                      <w:szCs w:val="21"/>
                      <w:lang w:val="en-US" w:eastAsia="zh-CN"/>
                    </w:rPr>
                  </w:pPr>
                  <w:r>
                    <w:rPr>
                      <w:rFonts w:hint="eastAsia"/>
                      <w:color w:val="000000"/>
                      <w:sz w:val="21"/>
                      <w:szCs w:val="21"/>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620" w:type="pct"/>
                  <w:tcBorders>
                    <w:tl2br w:val="nil"/>
                    <w:tr2bl w:val="nil"/>
                  </w:tcBorders>
                  <w:noWrap w:val="0"/>
                  <w:vAlign w:val="center"/>
                </w:tcPr>
                <w:p>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严格</w:t>
                  </w:r>
                </w:p>
                <w:p>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环境</w:t>
                  </w:r>
                </w:p>
                <w:p>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标</w:t>
                  </w:r>
                </w:p>
                <w:p>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准，</w:t>
                  </w:r>
                </w:p>
                <w:p>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优化</w:t>
                  </w:r>
                </w:p>
                <w:p>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园区</w:t>
                  </w:r>
                </w:p>
                <w:p>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产业</w:t>
                  </w:r>
                </w:p>
                <w:p>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结构</w:t>
                  </w:r>
                </w:p>
              </w:tc>
              <w:tc>
                <w:tcPr>
                  <w:tcW w:w="2811" w:type="pct"/>
                  <w:tcBorders>
                    <w:tl2br w:val="nil"/>
                    <w:tr2bl w:val="nil"/>
                  </w:tcBorders>
                  <w:noWrap w:val="0"/>
                  <w:vAlign w:val="center"/>
                </w:tcPr>
                <w:p>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园区产业的布局与引进应遵循各片区的产业准入要求并着重考虑环境影响特点，避免产业布局的随意性，化工产业应聚焦医药化工、新能源及材料化工，避免引入与产业定位明显不符的产业。产业引进应严格遵守《长江保护法》《长江经济带发展负面清单指南》等法律法规及相关政策的要求，落实园区生态环境分区管控要求，严格执行《报告书》提出的产业定位和产业生态环境准入清单。沿江1公里范围内已存在的化工企业，鼓励搬迁类的常德恒通石化助剂有限公司应于2025年底完成搬迁改造任务，保留类的湖南海利常德农药化工有限公司、湖南瑞冠生物化工科技有限公司应落实《关于发布湖南省沿江1 公里范围内化工生产企业搬迁改造名单的公告》相关要求，并采取严格的环境风险防控措施，后续法律法规及相关政策有新的禁止和限制性要求，或对沿江区域相关产业有污染整治、搬迁改造要求的，应严格予以执行。</w:t>
                  </w:r>
                </w:p>
              </w:tc>
              <w:tc>
                <w:tcPr>
                  <w:tcW w:w="908"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本项目为</w:t>
                  </w:r>
                  <w:r>
                    <w:rPr>
                      <w:rFonts w:hint="eastAsia"/>
                      <w:color w:val="000000"/>
                      <w:sz w:val="21"/>
                      <w:szCs w:val="21"/>
                      <w:lang w:val="en-US" w:eastAsia="zh-CN"/>
                    </w:rPr>
                    <w:t>化学药品制剂制造</w:t>
                  </w:r>
                  <w:r>
                    <w:rPr>
                      <w:rFonts w:hint="eastAsia"/>
                      <w:color w:val="000000"/>
                      <w:sz w:val="21"/>
                      <w:szCs w:val="21"/>
                    </w:rPr>
                    <w:t>，选址于常德经济技术开发区尚德路以北长安路以西地块。不属于 重污染型</w:t>
                  </w:r>
                </w:p>
                <w:p>
                  <w:pPr>
                    <w:spacing w:line="240" w:lineRule="auto"/>
                    <w:jc w:val="center"/>
                    <w:rPr>
                      <w:rFonts w:hint="eastAsia" w:eastAsia="宋体"/>
                      <w:color w:val="000000"/>
                      <w:sz w:val="21"/>
                      <w:szCs w:val="21"/>
                      <w:lang w:eastAsia="zh-CN"/>
                    </w:rPr>
                  </w:pPr>
                  <w:r>
                    <w:rPr>
                      <w:rFonts w:hint="eastAsia"/>
                      <w:color w:val="000000"/>
                      <w:sz w:val="21"/>
                      <w:szCs w:val="21"/>
                    </w:rPr>
                    <w:t>化工企业</w:t>
                  </w:r>
                  <w:r>
                    <w:rPr>
                      <w:rFonts w:hint="eastAsia"/>
                      <w:color w:val="000000"/>
                      <w:sz w:val="21"/>
                      <w:szCs w:val="21"/>
                      <w:lang w:eastAsia="zh-CN"/>
                    </w:rPr>
                    <w:t>。</w:t>
                  </w:r>
                </w:p>
              </w:tc>
              <w:tc>
                <w:tcPr>
                  <w:tcW w:w="659"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620"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落实</w:t>
                  </w:r>
                </w:p>
                <w:p>
                  <w:pPr>
                    <w:spacing w:line="240" w:lineRule="auto"/>
                    <w:jc w:val="center"/>
                    <w:rPr>
                      <w:rFonts w:hint="eastAsia"/>
                      <w:color w:val="000000"/>
                      <w:sz w:val="21"/>
                      <w:szCs w:val="21"/>
                    </w:rPr>
                  </w:pPr>
                  <w:r>
                    <w:rPr>
                      <w:rFonts w:hint="eastAsia"/>
                      <w:color w:val="000000"/>
                      <w:sz w:val="21"/>
                      <w:szCs w:val="21"/>
                    </w:rPr>
                    <w:t>管控</w:t>
                  </w:r>
                </w:p>
                <w:p>
                  <w:pPr>
                    <w:spacing w:line="240" w:lineRule="auto"/>
                    <w:jc w:val="center"/>
                    <w:rPr>
                      <w:rFonts w:hint="eastAsia"/>
                      <w:color w:val="000000"/>
                      <w:sz w:val="21"/>
                      <w:szCs w:val="21"/>
                    </w:rPr>
                  </w:pPr>
                  <w:r>
                    <w:rPr>
                      <w:rFonts w:hint="eastAsia"/>
                      <w:color w:val="000000"/>
                      <w:sz w:val="21"/>
                      <w:szCs w:val="21"/>
                    </w:rPr>
                    <w:t>措</w:t>
                  </w:r>
                </w:p>
                <w:p>
                  <w:pPr>
                    <w:spacing w:line="240" w:lineRule="auto"/>
                    <w:jc w:val="center"/>
                    <w:rPr>
                      <w:rFonts w:hint="eastAsia"/>
                      <w:color w:val="000000"/>
                      <w:sz w:val="21"/>
                      <w:szCs w:val="21"/>
                    </w:rPr>
                  </w:pPr>
                  <w:r>
                    <w:rPr>
                      <w:rFonts w:hint="eastAsia"/>
                      <w:color w:val="000000"/>
                      <w:sz w:val="21"/>
                      <w:szCs w:val="21"/>
                    </w:rPr>
                    <w:t>施，</w:t>
                  </w:r>
                </w:p>
                <w:p>
                  <w:pPr>
                    <w:spacing w:line="240" w:lineRule="auto"/>
                    <w:jc w:val="center"/>
                    <w:rPr>
                      <w:rFonts w:hint="eastAsia"/>
                      <w:color w:val="000000"/>
                      <w:sz w:val="21"/>
                      <w:szCs w:val="21"/>
                    </w:rPr>
                  </w:pPr>
                  <w:r>
                    <w:rPr>
                      <w:rFonts w:hint="eastAsia"/>
                      <w:color w:val="000000"/>
                      <w:sz w:val="21"/>
                      <w:szCs w:val="21"/>
                    </w:rPr>
                    <w:t>加强</w:t>
                  </w:r>
                </w:p>
                <w:p>
                  <w:pPr>
                    <w:spacing w:line="240" w:lineRule="auto"/>
                    <w:jc w:val="center"/>
                    <w:rPr>
                      <w:rFonts w:hint="eastAsia"/>
                      <w:color w:val="000000"/>
                      <w:sz w:val="21"/>
                      <w:szCs w:val="21"/>
                    </w:rPr>
                  </w:pPr>
                  <w:r>
                    <w:rPr>
                      <w:rFonts w:hint="eastAsia"/>
                      <w:color w:val="000000"/>
                      <w:sz w:val="21"/>
                      <w:szCs w:val="21"/>
                    </w:rPr>
                    <w:t>园区</w:t>
                  </w:r>
                </w:p>
                <w:p>
                  <w:pPr>
                    <w:spacing w:line="240" w:lineRule="auto"/>
                    <w:jc w:val="center"/>
                    <w:rPr>
                      <w:rFonts w:hint="eastAsia"/>
                      <w:color w:val="000000"/>
                      <w:sz w:val="21"/>
                      <w:szCs w:val="21"/>
                    </w:rPr>
                  </w:pPr>
                  <w:r>
                    <w:rPr>
                      <w:rFonts w:hint="eastAsia"/>
                      <w:color w:val="000000"/>
                      <w:sz w:val="21"/>
                      <w:szCs w:val="21"/>
                    </w:rPr>
                    <w:t>排污</w:t>
                  </w:r>
                </w:p>
                <w:p>
                  <w:pPr>
                    <w:spacing w:line="240" w:lineRule="auto"/>
                    <w:jc w:val="center"/>
                    <w:rPr>
                      <w:rFonts w:hint="eastAsia"/>
                      <w:color w:val="000000"/>
                      <w:sz w:val="21"/>
                      <w:szCs w:val="21"/>
                    </w:rPr>
                  </w:pPr>
                  <w:r>
                    <w:rPr>
                      <w:rFonts w:hint="eastAsia"/>
                      <w:color w:val="000000"/>
                      <w:sz w:val="21"/>
                      <w:szCs w:val="21"/>
                    </w:rPr>
                    <w:t>管理</w:t>
                  </w:r>
                </w:p>
              </w:tc>
              <w:tc>
                <w:tcPr>
                  <w:tcW w:w="2811" w:type="pct"/>
                  <w:tcBorders>
                    <w:tl2br w:val="nil"/>
                    <w:tr2bl w:val="nil"/>
                  </w:tcBorders>
                  <w:noWrap w:val="0"/>
                  <w:vAlign w:val="center"/>
                </w:tcPr>
                <w:p>
                  <w:pPr>
                    <w:spacing w:line="240" w:lineRule="auto"/>
                    <w:jc w:val="center"/>
                    <w:rPr>
                      <w:rFonts w:hint="eastAsia"/>
                      <w:color w:val="000000"/>
                      <w:sz w:val="21"/>
                      <w:szCs w:val="21"/>
                      <w:lang w:val="en-US" w:eastAsia="zh-CN"/>
                    </w:rPr>
                  </w:pPr>
                  <w:r>
                    <w:rPr>
                      <w:rFonts w:hint="eastAsia"/>
                      <w:color w:val="000000"/>
                      <w:sz w:val="21"/>
                      <w:szCs w:val="21"/>
                      <w:lang w:val="en-US" w:eastAsia="zh-CN"/>
                    </w:rPr>
                    <w:t>完善污水管网建设，做好雨污分流，确保园区各片区生产生活废水应收尽收，集中排入污水处理厂，园区不得超过污水处理厂处理能力和排污口审批所规定的废水排放量引进项目。加快德山污水处理厂已建未使用的5万吨/天生产线的提质改造工程建设，出水执行《城镇污水处理厂污染物排放标准》一级 A 标准；加强对园区范围内新包垸黑臭水体的治理力度，完善区域配套管网，生活废水全部排入污水厂处理；化工片区应对照《湖南省化工园区污水收集处理规范化建设暂行规定》实现化工企业“一企一管”、污水明管带压输送、集中污水处理设施、园区初期雨水收集池、污水可视可监测等相关要求，规划的东部片区污水处理厂一期1.5万吨/天应及时启动建设，确保化工片区废水得到稳妥处理。园区应加强大气污染防治，推进清洁能源改造，加大 VOCs排放的整治力度，重点控制硫酸雾、氯化氢、二甲苯、二氯甲烷、氨等特征污染物的无组织排放，对排放长期无法达标的企业实行限期整改或关停，督促相关化工企业按要求做好挥发性有机物泄漏检测与修复（LDAR）。建立园区固废规范化管理体系，做好工业固体废物和生活垃圾的分类收集、转运、综合利用和无害化处理，危险废物应严格按照国家有关规定综合利用或妥善处置，对危险废物产生企业和经营单位，应强化日常环境监管。园区须严格落实排污许可制度和污染物排放总量控制，督促园区企业及时完成建设项目竣工环境保护验收工作，推动涉及挥发性有机物、有毒有害物质及重金属排放的企业完成清洁生产审核。园区应落实环境污染第三方治理工作相关政策要求，强化对化工片区及重点产排污企业的监管与服务。</w:t>
                  </w:r>
                </w:p>
              </w:tc>
              <w:tc>
                <w:tcPr>
                  <w:tcW w:w="908"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本项目实行雨污分流。生产废水</w:t>
                  </w:r>
                  <w:r>
                    <w:rPr>
                      <w:rFonts w:hint="eastAsia"/>
                      <w:color w:val="000000"/>
                      <w:sz w:val="21"/>
                      <w:szCs w:val="21"/>
                      <w:lang w:val="en-US" w:eastAsia="zh-CN"/>
                    </w:rPr>
                    <w:t>及</w:t>
                  </w:r>
                  <w:r>
                    <w:rPr>
                      <w:rFonts w:hint="eastAsia"/>
                      <w:color w:val="000000"/>
                      <w:sz w:val="21"/>
                      <w:szCs w:val="21"/>
                    </w:rPr>
                    <w:t>生活污水经</w:t>
                  </w:r>
                  <w:r>
                    <w:rPr>
                      <w:rFonts w:hint="eastAsia"/>
                      <w:color w:val="000000"/>
                      <w:sz w:val="21"/>
                      <w:szCs w:val="21"/>
                      <w:lang w:val="en-US" w:eastAsia="zh-CN"/>
                    </w:rPr>
                    <w:t>自建污水处理站</w:t>
                  </w:r>
                  <w:r>
                    <w:rPr>
                      <w:rFonts w:hint="eastAsia"/>
                      <w:color w:val="000000"/>
                      <w:sz w:val="21"/>
                      <w:szCs w:val="21"/>
                    </w:rPr>
                    <w:t>处理后通过园区污水管网排入德山污水处理厂。项目生 活垃圾经收 集后由环卫 部门统一清运处置，一般 固废分类资源化综合利 用或无害化处置，危险废 物严格按照国家有关规定综合利用或妥善处置。环评要求项目竣工完成后及时完成建设项目竣工环境保护验收工作。</w:t>
                  </w:r>
                </w:p>
              </w:tc>
              <w:tc>
                <w:tcPr>
                  <w:tcW w:w="659"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2" w:hRule="atLeast"/>
                <w:jc w:val="center"/>
              </w:trPr>
              <w:tc>
                <w:tcPr>
                  <w:tcW w:w="620"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完善</w:t>
                  </w:r>
                </w:p>
                <w:p>
                  <w:pPr>
                    <w:spacing w:line="240" w:lineRule="auto"/>
                    <w:jc w:val="center"/>
                    <w:rPr>
                      <w:rFonts w:hint="eastAsia"/>
                      <w:color w:val="000000"/>
                      <w:sz w:val="21"/>
                      <w:szCs w:val="21"/>
                    </w:rPr>
                  </w:pPr>
                  <w:r>
                    <w:rPr>
                      <w:rFonts w:hint="eastAsia"/>
                      <w:color w:val="000000"/>
                      <w:sz w:val="21"/>
                      <w:szCs w:val="21"/>
                    </w:rPr>
                    <w:t>监测</w:t>
                  </w:r>
                </w:p>
                <w:p>
                  <w:pPr>
                    <w:spacing w:line="240" w:lineRule="auto"/>
                    <w:jc w:val="center"/>
                    <w:rPr>
                      <w:rFonts w:hint="eastAsia"/>
                      <w:color w:val="000000"/>
                      <w:sz w:val="21"/>
                      <w:szCs w:val="21"/>
                    </w:rPr>
                  </w:pPr>
                  <w:r>
                    <w:rPr>
                      <w:rFonts w:hint="eastAsia"/>
                      <w:color w:val="000000"/>
                      <w:sz w:val="21"/>
                      <w:szCs w:val="21"/>
                    </w:rPr>
                    <w:t>体</w:t>
                  </w:r>
                </w:p>
                <w:p>
                  <w:pPr>
                    <w:spacing w:line="240" w:lineRule="auto"/>
                    <w:jc w:val="center"/>
                    <w:rPr>
                      <w:rFonts w:hint="eastAsia"/>
                      <w:color w:val="000000"/>
                      <w:sz w:val="21"/>
                      <w:szCs w:val="21"/>
                    </w:rPr>
                  </w:pPr>
                  <w:r>
                    <w:rPr>
                      <w:rFonts w:hint="eastAsia"/>
                      <w:color w:val="000000"/>
                      <w:sz w:val="21"/>
                      <w:szCs w:val="21"/>
                    </w:rPr>
                    <w:t>系，</w:t>
                  </w:r>
                </w:p>
                <w:p>
                  <w:pPr>
                    <w:spacing w:line="240" w:lineRule="auto"/>
                    <w:jc w:val="center"/>
                    <w:rPr>
                      <w:rFonts w:hint="eastAsia"/>
                      <w:color w:val="000000"/>
                      <w:sz w:val="21"/>
                      <w:szCs w:val="21"/>
                    </w:rPr>
                  </w:pPr>
                  <w:r>
                    <w:rPr>
                      <w:rFonts w:hint="eastAsia"/>
                      <w:color w:val="000000"/>
                      <w:sz w:val="21"/>
                      <w:szCs w:val="21"/>
                    </w:rPr>
                    <w:t>监控</w:t>
                  </w:r>
                </w:p>
                <w:p>
                  <w:pPr>
                    <w:spacing w:line="240" w:lineRule="auto"/>
                    <w:jc w:val="center"/>
                    <w:rPr>
                      <w:rFonts w:hint="eastAsia"/>
                      <w:color w:val="000000"/>
                      <w:sz w:val="21"/>
                      <w:szCs w:val="21"/>
                    </w:rPr>
                  </w:pPr>
                  <w:r>
                    <w:rPr>
                      <w:rFonts w:hint="eastAsia"/>
                      <w:color w:val="000000"/>
                      <w:sz w:val="21"/>
                      <w:szCs w:val="21"/>
                    </w:rPr>
                    <w:t>环境</w:t>
                  </w:r>
                </w:p>
                <w:p>
                  <w:pPr>
                    <w:spacing w:line="240" w:lineRule="auto"/>
                    <w:jc w:val="center"/>
                    <w:rPr>
                      <w:rFonts w:hint="eastAsia"/>
                      <w:color w:val="000000"/>
                      <w:sz w:val="21"/>
                      <w:szCs w:val="21"/>
                    </w:rPr>
                  </w:pPr>
                  <w:r>
                    <w:rPr>
                      <w:rFonts w:hint="eastAsia"/>
                      <w:color w:val="000000"/>
                      <w:sz w:val="21"/>
                      <w:szCs w:val="21"/>
                    </w:rPr>
                    <w:t>质量</w:t>
                  </w:r>
                </w:p>
                <w:p>
                  <w:pPr>
                    <w:spacing w:line="240" w:lineRule="auto"/>
                    <w:jc w:val="center"/>
                    <w:rPr>
                      <w:rFonts w:hint="eastAsia"/>
                      <w:color w:val="000000"/>
                      <w:sz w:val="21"/>
                      <w:szCs w:val="21"/>
                    </w:rPr>
                  </w:pPr>
                  <w:r>
                    <w:rPr>
                      <w:rFonts w:hint="eastAsia"/>
                      <w:color w:val="000000"/>
                      <w:sz w:val="21"/>
                      <w:szCs w:val="21"/>
                    </w:rPr>
                    <w:t>变化</w:t>
                  </w:r>
                </w:p>
                <w:p>
                  <w:pPr>
                    <w:spacing w:line="240" w:lineRule="auto"/>
                    <w:jc w:val="center"/>
                    <w:rPr>
                      <w:rFonts w:hint="eastAsia"/>
                      <w:color w:val="000000"/>
                      <w:sz w:val="21"/>
                      <w:szCs w:val="21"/>
                    </w:rPr>
                  </w:pPr>
                  <w:r>
                    <w:rPr>
                      <w:rFonts w:hint="eastAsia"/>
                      <w:color w:val="000000"/>
                      <w:sz w:val="21"/>
                      <w:szCs w:val="21"/>
                    </w:rPr>
                    <w:t>状况</w:t>
                  </w:r>
                </w:p>
              </w:tc>
              <w:tc>
                <w:tcPr>
                  <w:tcW w:w="2811" w:type="pct"/>
                  <w:tcBorders>
                    <w:tl2br w:val="nil"/>
                    <w:tr2bl w:val="nil"/>
                  </w:tcBorders>
                  <w:noWrap w:val="0"/>
                  <w:vAlign w:val="center"/>
                </w:tcPr>
                <w:p>
                  <w:pPr>
                    <w:spacing w:line="240" w:lineRule="auto"/>
                    <w:jc w:val="center"/>
                    <w:rPr>
                      <w:rFonts w:hint="eastAsia"/>
                      <w:color w:val="000000"/>
                      <w:sz w:val="21"/>
                      <w:szCs w:val="21"/>
                      <w:lang w:val="en-US" w:eastAsia="zh-CN"/>
                    </w:rPr>
                  </w:pPr>
                  <w:r>
                    <w:rPr>
                      <w:rFonts w:hint="eastAsia"/>
                      <w:color w:val="000000"/>
                      <w:sz w:val="21"/>
                      <w:szCs w:val="21"/>
                      <w:lang w:val="en-US" w:eastAsia="zh-CN"/>
                    </w:rPr>
                    <w:t>依据园区规划的功能分区、产业布局、重点企业分布、特征污染物的排放种类和状况、环境敏感目标分布等，建立健全环境空气、地表水、地下水、土壤等环境要素的监控体系。按要求做好生态环境自动监测站布点和建设，加强对园区周边环境空气、地表水环境的跟踪监测，加强地下水和土壤污染源头防控与监测，进一步完善园区生态环境监管平台数据对接工作，加强对园区重点排放企业，特别是主要涉重金属排放企业的监督性监测，防止偷排漏排。化工片区上下风向布设的空气自动监测站应涵盖 VOCs 特征污染物，化工园区内布设的VOCs因子组分自动监测站和恶臭自动监测站应涵盖 VOCs、苯、甲苯、二甲苯、二氯甲烷、H</w:t>
                  </w:r>
                  <w:r>
                    <w:rPr>
                      <w:rFonts w:hint="eastAsia"/>
                      <w:color w:val="000000"/>
                      <w:sz w:val="21"/>
                      <w:szCs w:val="21"/>
                      <w:vertAlign w:val="subscript"/>
                      <w:lang w:val="en-US" w:eastAsia="zh-CN"/>
                    </w:rPr>
                    <w:t>2</w:t>
                  </w:r>
                  <w:r>
                    <w:rPr>
                      <w:rFonts w:hint="eastAsia"/>
                      <w:color w:val="000000"/>
                      <w:sz w:val="21"/>
                      <w:szCs w:val="21"/>
                      <w:lang w:val="en-US" w:eastAsia="zh-CN"/>
                    </w:rPr>
                    <w:t>S、氨等特征污染物；重点跟踪监测与园区排放相关的东风河、沅江相关江段水环境质量变化情况，其监测时间、频次、采样点应能反映园区整体的排放影响。</w:t>
                  </w:r>
                </w:p>
              </w:tc>
              <w:tc>
                <w:tcPr>
                  <w:tcW w:w="908"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本项目不涉及重金属，本环评建议建设单位按照本环评自行监测计划定期开展环境监测。</w:t>
                  </w:r>
                </w:p>
              </w:tc>
              <w:tc>
                <w:tcPr>
                  <w:tcW w:w="659"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620" w:type="pct"/>
                  <w:tcBorders>
                    <w:tl2br w:val="nil"/>
                    <w:tr2bl w:val="nil"/>
                  </w:tcBorders>
                  <w:noWrap w:val="0"/>
                  <w:vAlign w:val="center"/>
                </w:tcPr>
                <w:p>
                  <w:pPr>
                    <w:spacing w:line="240" w:lineRule="auto"/>
                    <w:jc w:val="center"/>
                    <w:rPr>
                      <w:rFonts w:hint="eastAsia"/>
                      <w:color w:val="000000"/>
                      <w:sz w:val="21"/>
                      <w:szCs w:val="21"/>
                      <w:u w:val="single"/>
                    </w:rPr>
                  </w:pPr>
                  <w:r>
                    <w:rPr>
                      <w:rFonts w:hint="eastAsia"/>
                      <w:color w:val="000000"/>
                      <w:sz w:val="21"/>
                      <w:szCs w:val="21"/>
                      <w:u w:val="single"/>
                    </w:rPr>
                    <w:t>强化</w:t>
                  </w:r>
                </w:p>
                <w:p>
                  <w:pPr>
                    <w:spacing w:line="240" w:lineRule="auto"/>
                    <w:jc w:val="center"/>
                    <w:rPr>
                      <w:rFonts w:hint="eastAsia"/>
                      <w:color w:val="000000"/>
                      <w:sz w:val="21"/>
                      <w:szCs w:val="21"/>
                      <w:u w:val="single"/>
                    </w:rPr>
                  </w:pPr>
                  <w:r>
                    <w:rPr>
                      <w:rFonts w:hint="eastAsia"/>
                      <w:color w:val="000000"/>
                      <w:sz w:val="21"/>
                      <w:szCs w:val="21"/>
                      <w:u w:val="single"/>
                    </w:rPr>
                    <w:t>风险</w:t>
                  </w:r>
                </w:p>
                <w:p>
                  <w:pPr>
                    <w:spacing w:line="240" w:lineRule="auto"/>
                    <w:jc w:val="center"/>
                    <w:rPr>
                      <w:rFonts w:hint="eastAsia"/>
                      <w:color w:val="000000"/>
                      <w:sz w:val="21"/>
                      <w:szCs w:val="21"/>
                      <w:u w:val="single"/>
                    </w:rPr>
                  </w:pPr>
                  <w:r>
                    <w:rPr>
                      <w:rFonts w:hint="eastAsia"/>
                      <w:color w:val="000000"/>
                      <w:sz w:val="21"/>
                      <w:szCs w:val="21"/>
                      <w:u w:val="single"/>
                    </w:rPr>
                    <w:t>管</w:t>
                  </w:r>
                </w:p>
                <w:p>
                  <w:pPr>
                    <w:spacing w:line="240" w:lineRule="auto"/>
                    <w:jc w:val="center"/>
                    <w:rPr>
                      <w:rFonts w:hint="eastAsia"/>
                      <w:color w:val="000000"/>
                      <w:sz w:val="21"/>
                      <w:szCs w:val="21"/>
                      <w:u w:val="single"/>
                    </w:rPr>
                  </w:pPr>
                  <w:r>
                    <w:rPr>
                      <w:rFonts w:hint="eastAsia"/>
                      <w:color w:val="000000"/>
                      <w:sz w:val="21"/>
                      <w:szCs w:val="21"/>
                      <w:u w:val="single"/>
                    </w:rPr>
                    <w:t>控，</w:t>
                  </w:r>
                </w:p>
                <w:p>
                  <w:pPr>
                    <w:spacing w:line="240" w:lineRule="auto"/>
                    <w:jc w:val="center"/>
                    <w:rPr>
                      <w:rFonts w:hint="eastAsia"/>
                      <w:color w:val="000000"/>
                      <w:sz w:val="21"/>
                      <w:szCs w:val="21"/>
                      <w:u w:val="single"/>
                    </w:rPr>
                  </w:pPr>
                  <w:r>
                    <w:rPr>
                      <w:rFonts w:hint="eastAsia"/>
                      <w:color w:val="000000"/>
                      <w:sz w:val="21"/>
                      <w:szCs w:val="21"/>
                      <w:u w:val="single"/>
                    </w:rPr>
                    <w:t>严防</w:t>
                  </w:r>
                </w:p>
                <w:p>
                  <w:pPr>
                    <w:spacing w:line="240" w:lineRule="auto"/>
                    <w:jc w:val="center"/>
                    <w:rPr>
                      <w:rFonts w:hint="eastAsia"/>
                      <w:color w:val="000000"/>
                      <w:sz w:val="21"/>
                      <w:szCs w:val="21"/>
                      <w:u w:val="single"/>
                    </w:rPr>
                  </w:pPr>
                  <w:r>
                    <w:rPr>
                      <w:rFonts w:hint="eastAsia"/>
                      <w:color w:val="000000"/>
                      <w:sz w:val="21"/>
                      <w:szCs w:val="21"/>
                      <w:u w:val="single"/>
                    </w:rPr>
                    <w:t>园区</w:t>
                  </w:r>
                </w:p>
                <w:p>
                  <w:pPr>
                    <w:spacing w:line="240" w:lineRule="auto"/>
                    <w:jc w:val="center"/>
                    <w:rPr>
                      <w:rFonts w:hint="eastAsia"/>
                      <w:color w:val="000000"/>
                      <w:sz w:val="21"/>
                      <w:szCs w:val="21"/>
                      <w:u w:val="single"/>
                    </w:rPr>
                  </w:pPr>
                  <w:r>
                    <w:rPr>
                      <w:rFonts w:hint="eastAsia"/>
                      <w:color w:val="000000"/>
                      <w:sz w:val="21"/>
                      <w:szCs w:val="21"/>
                      <w:u w:val="single"/>
                    </w:rPr>
                    <w:t>突发</w:t>
                  </w:r>
                </w:p>
                <w:p>
                  <w:pPr>
                    <w:spacing w:line="240" w:lineRule="auto"/>
                    <w:jc w:val="center"/>
                    <w:rPr>
                      <w:rFonts w:hint="eastAsia"/>
                      <w:color w:val="000000"/>
                      <w:sz w:val="21"/>
                      <w:szCs w:val="21"/>
                      <w:u w:val="single"/>
                    </w:rPr>
                  </w:pPr>
                  <w:r>
                    <w:rPr>
                      <w:rFonts w:hint="eastAsia"/>
                      <w:color w:val="000000"/>
                      <w:sz w:val="21"/>
                      <w:szCs w:val="21"/>
                      <w:u w:val="single"/>
                    </w:rPr>
                    <w:t>环境</w:t>
                  </w:r>
                </w:p>
                <w:p>
                  <w:pPr>
                    <w:spacing w:line="240" w:lineRule="auto"/>
                    <w:jc w:val="center"/>
                    <w:rPr>
                      <w:rFonts w:hint="eastAsia"/>
                      <w:color w:val="000000"/>
                      <w:sz w:val="21"/>
                      <w:szCs w:val="21"/>
                      <w:u w:val="single"/>
                    </w:rPr>
                  </w:pPr>
                  <w:r>
                    <w:rPr>
                      <w:rFonts w:hint="eastAsia"/>
                      <w:color w:val="000000"/>
                      <w:sz w:val="21"/>
                      <w:szCs w:val="21"/>
                      <w:u w:val="single"/>
                    </w:rPr>
                    <w:t>风险</w:t>
                  </w:r>
                </w:p>
                <w:p>
                  <w:pPr>
                    <w:spacing w:line="240" w:lineRule="auto"/>
                    <w:jc w:val="center"/>
                    <w:rPr>
                      <w:rFonts w:hint="eastAsia"/>
                      <w:color w:val="000000"/>
                      <w:sz w:val="21"/>
                      <w:szCs w:val="21"/>
                      <w:u w:val="single"/>
                    </w:rPr>
                  </w:pPr>
                  <w:r>
                    <w:rPr>
                      <w:rFonts w:hint="eastAsia"/>
                      <w:color w:val="000000"/>
                      <w:sz w:val="21"/>
                      <w:szCs w:val="21"/>
                      <w:u w:val="single"/>
                    </w:rPr>
                    <w:t>事故</w:t>
                  </w:r>
                </w:p>
              </w:tc>
              <w:tc>
                <w:tcPr>
                  <w:tcW w:w="2811" w:type="pct"/>
                  <w:tcBorders>
                    <w:tl2br w:val="nil"/>
                    <w:tr2bl w:val="nil"/>
                  </w:tcBorders>
                  <w:noWrap w:val="0"/>
                  <w:vAlign w:val="center"/>
                </w:tcPr>
                <w:p>
                  <w:pPr>
                    <w:spacing w:line="240" w:lineRule="auto"/>
                    <w:jc w:val="center"/>
                    <w:rPr>
                      <w:rFonts w:hint="eastAsia"/>
                      <w:color w:val="000000"/>
                      <w:sz w:val="21"/>
                      <w:szCs w:val="21"/>
                      <w:u w:val="single"/>
                      <w:lang w:val="en-US" w:eastAsia="zh-CN"/>
                    </w:rPr>
                  </w:pPr>
                  <w:r>
                    <w:rPr>
                      <w:rFonts w:hint="eastAsia"/>
                      <w:color w:val="000000"/>
                      <w:sz w:val="21"/>
                      <w:szCs w:val="21"/>
                      <w:u w:val="single"/>
                      <w:lang w:val="en-US" w:eastAsia="zh-CN"/>
                    </w:rPr>
                    <w:t>建立健全园区环境风险管理工作长效机制，加强园区环境风险防控、预警和应急体系建设。落实环境风险防控措施，及时完成园区突发环境事件应急预案的修订和备案工作，推动企业突发环境事件应急预案编制和备案工作，加强应急救援队伍、装备和设施建设，储备必要的应急物资，有计划地组织应急培训和演练，全面提升园区突发环境风险防控和环境事故应急处置能力。园区应从环境风险控制角度优化产业空间布局并督促企业（特别是化工企业）优化生产设施空间布局，加强日常监管，化工片区应建设公共的事故应急池、应急截流沟等环境风险设施。重点强化沿江1公里范围内化工企业的环境风险防控，其中湖南海利常德农药化工有限公司生产涉及光气的利用，应严格执行环境风险防控和环境应急管理相关要求。</w:t>
                  </w:r>
                </w:p>
              </w:tc>
              <w:tc>
                <w:tcPr>
                  <w:tcW w:w="908" w:type="pct"/>
                  <w:tcBorders>
                    <w:tl2br w:val="nil"/>
                    <w:tr2bl w:val="nil"/>
                  </w:tcBorders>
                  <w:noWrap w:val="0"/>
                  <w:vAlign w:val="center"/>
                </w:tcPr>
                <w:p>
                  <w:pPr>
                    <w:spacing w:line="240" w:lineRule="auto"/>
                    <w:jc w:val="center"/>
                    <w:rPr>
                      <w:rFonts w:hint="eastAsia"/>
                      <w:color w:val="000000"/>
                      <w:sz w:val="21"/>
                      <w:szCs w:val="21"/>
                      <w:u w:val="single"/>
                    </w:rPr>
                  </w:pPr>
                  <w:r>
                    <w:rPr>
                      <w:rFonts w:hint="eastAsia"/>
                      <w:color w:val="000000"/>
                      <w:sz w:val="21"/>
                      <w:szCs w:val="21"/>
                      <w:u w:val="single"/>
                    </w:rPr>
                    <w:t>环评要求企业落实环境风险防控措施，</w:t>
                  </w:r>
                  <w:r>
                    <w:rPr>
                      <w:rFonts w:hint="eastAsia"/>
                      <w:color w:val="000000"/>
                      <w:sz w:val="21"/>
                      <w:szCs w:val="21"/>
                      <w:u w:val="single"/>
                      <w:lang w:val="en-US" w:eastAsia="zh-CN"/>
                    </w:rPr>
                    <w:t>企业应根据湖南省生态环境厅印发《湖南省突发环境事件应急预案管理办法（2024修订版）》（湘环发[2024]49号）相关要求</w:t>
                  </w:r>
                  <w:r>
                    <w:rPr>
                      <w:rFonts w:hint="eastAsia"/>
                      <w:color w:val="000000"/>
                      <w:sz w:val="21"/>
                      <w:szCs w:val="21"/>
                      <w:u w:val="single"/>
                    </w:rPr>
                    <w:t>，</w:t>
                  </w:r>
                  <w:r>
                    <w:rPr>
                      <w:rFonts w:hint="eastAsia"/>
                      <w:color w:val="000000"/>
                      <w:sz w:val="21"/>
                      <w:szCs w:val="21"/>
                      <w:u w:val="single"/>
                      <w:lang w:val="en-US" w:eastAsia="zh-CN"/>
                    </w:rPr>
                    <w:t>开展企业突发环境事件应急预案编制及备案工作</w:t>
                  </w:r>
                  <w:r>
                    <w:rPr>
                      <w:rFonts w:hint="eastAsia"/>
                      <w:color w:val="000000"/>
                      <w:sz w:val="21"/>
                      <w:szCs w:val="21"/>
                      <w:u w:val="single"/>
                    </w:rPr>
                    <w:t>。</w:t>
                  </w:r>
                </w:p>
              </w:tc>
              <w:tc>
                <w:tcPr>
                  <w:tcW w:w="659" w:type="pct"/>
                  <w:tcBorders>
                    <w:tl2br w:val="nil"/>
                    <w:tr2bl w:val="nil"/>
                  </w:tcBorders>
                  <w:noWrap w:val="0"/>
                  <w:vAlign w:val="center"/>
                </w:tcPr>
                <w:p>
                  <w:pPr>
                    <w:spacing w:line="240" w:lineRule="auto"/>
                    <w:jc w:val="center"/>
                    <w:rPr>
                      <w:rFonts w:hint="eastAsia"/>
                      <w:color w:val="000000"/>
                      <w:sz w:val="21"/>
                      <w:szCs w:val="21"/>
                      <w:u w:val="single"/>
                    </w:rPr>
                  </w:pPr>
                  <w:r>
                    <w:rPr>
                      <w:rFonts w:hint="eastAsia"/>
                      <w:color w:val="000000"/>
                      <w:sz w:val="21"/>
                      <w:szCs w:val="21"/>
                      <w:u w:val="single"/>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620"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做好</w:t>
                  </w:r>
                </w:p>
                <w:p>
                  <w:pPr>
                    <w:spacing w:line="240" w:lineRule="auto"/>
                    <w:jc w:val="center"/>
                    <w:rPr>
                      <w:rFonts w:hint="eastAsia"/>
                      <w:color w:val="000000"/>
                      <w:sz w:val="21"/>
                      <w:szCs w:val="21"/>
                    </w:rPr>
                  </w:pPr>
                  <w:r>
                    <w:rPr>
                      <w:rFonts w:hint="eastAsia"/>
                      <w:color w:val="000000"/>
                      <w:sz w:val="21"/>
                      <w:szCs w:val="21"/>
                    </w:rPr>
                    <w:t>周边</w:t>
                  </w:r>
                </w:p>
                <w:p>
                  <w:pPr>
                    <w:spacing w:line="240" w:lineRule="auto"/>
                    <w:jc w:val="center"/>
                    <w:rPr>
                      <w:rFonts w:hint="eastAsia"/>
                      <w:color w:val="000000"/>
                      <w:sz w:val="21"/>
                      <w:szCs w:val="21"/>
                    </w:rPr>
                  </w:pPr>
                  <w:r>
                    <w:rPr>
                      <w:rFonts w:hint="eastAsia"/>
                      <w:color w:val="000000"/>
                      <w:sz w:val="21"/>
                      <w:szCs w:val="21"/>
                    </w:rPr>
                    <w:t>控规，</w:t>
                  </w:r>
                </w:p>
                <w:p>
                  <w:pPr>
                    <w:spacing w:line="240" w:lineRule="auto"/>
                    <w:jc w:val="center"/>
                    <w:rPr>
                      <w:rFonts w:hint="eastAsia"/>
                      <w:color w:val="000000"/>
                      <w:sz w:val="21"/>
                      <w:szCs w:val="21"/>
                    </w:rPr>
                  </w:pPr>
                  <w:r>
                    <w:rPr>
                      <w:rFonts w:hint="eastAsia"/>
                      <w:color w:val="000000"/>
                      <w:sz w:val="21"/>
                      <w:szCs w:val="21"/>
                    </w:rPr>
                    <w:t>落实</w:t>
                  </w:r>
                </w:p>
                <w:p>
                  <w:pPr>
                    <w:spacing w:line="240" w:lineRule="auto"/>
                    <w:jc w:val="center"/>
                    <w:rPr>
                      <w:rFonts w:hint="eastAsia"/>
                      <w:color w:val="000000"/>
                      <w:sz w:val="21"/>
                      <w:szCs w:val="21"/>
                    </w:rPr>
                  </w:pPr>
                  <w:r>
                    <w:rPr>
                      <w:rFonts w:hint="eastAsia"/>
                      <w:color w:val="000000"/>
                      <w:sz w:val="21"/>
                      <w:szCs w:val="21"/>
                    </w:rPr>
                    <w:t>搬迁</w:t>
                  </w:r>
                </w:p>
                <w:p>
                  <w:pPr>
                    <w:spacing w:line="240" w:lineRule="auto"/>
                    <w:jc w:val="center"/>
                    <w:rPr>
                      <w:rFonts w:hint="eastAsia"/>
                      <w:color w:val="000000"/>
                      <w:sz w:val="21"/>
                      <w:szCs w:val="21"/>
                    </w:rPr>
                  </w:pPr>
                  <w:r>
                    <w:rPr>
                      <w:rFonts w:hint="eastAsia"/>
                      <w:color w:val="000000"/>
                      <w:sz w:val="21"/>
                      <w:szCs w:val="21"/>
                    </w:rPr>
                    <w:t>安置</w:t>
                  </w:r>
                </w:p>
                <w:p>
                  <w:pPr>
                    <w:spacing w:line="240" w:lineRule="auto"/>
                    <w:jc w:val="center"/>
                    <w:rPr>
                      <w:rFonts w:hint="eastAsia"/>
                      <w:color w:val="000000"/>
                      <w:sz w:val="21"/>
                      <w:szCs w:val="21"/>
                    </w:rPr>
                  </w:pPr>
                  <w:r>
                    <w:rPr>
                      <w:rFonts w:hint="eastAsia"/>
                      <w:color w:val="000000"/>
                      <w:sz w:val="21"/>
                      <w:szCs w:val="21"/>
                    </w:rPr>
                    <w:t>计划</w:t>
                  </w:r>
                </w:p>
              </w:tc>
              <w:tc>
                <w:tcPr>
                  <w:tcW w:w="2811" w:type="pct"/>
                  <w:tcBorders>
                    <w:tl2br w:val="nil"/>
                    <w:tr2bl w:val="nil"/>
                  </w:tcBorders>
                  <w:noWrap w:val="0"/>
                  <w:vAlign w:val="center"/>
                </w:tcPr>
                <w:p>
                  <w:pPr>
                    <w:spacing w:line="240" w:lineRule="auto"/>
                    <w:jc w:val="center"/>
                    <w:rPr>
                      <w:rFonts w:hint="eastAsia"/>
                      <w:color w:val="000000"/>
                      <w:sz w:val="21"/>
                      <w:szCs w:val="21"/>
                      <w:lang w:val="en-US" w:eastAsia="zh-CN"/>
                    </w:rPr>
                  </w:pPr>
                  <w:r>
                    <w:rPr>
                      <w:rFonts w:hint="eastAsia"/>
                      <w:color w:val="000000"/>
                      <w:sz w:val="21"/>
                      <w:szCs w:val="21"/>
                      <w:lang w:val="en-US" w:eastAsia="zh-CN"/>
                    </w:rPr>
                    <w:t>严格做好控规，杜绝在规划的工业用地上新增环境敏感目标。确保园区开发过程中的居民搬迁安置到位，防止发生居民再次安置和次生环境问题。园区管委会应与各级地方政府共同做好控规，化工片区南面500米范围内不新建居民区、学校、医院等环境敏感建筑或生态敏感区。具体建设项目环评设置环境防护距离和拆迁要求的，要确保予以落实，后续新建项目，如未完成建设项目环评所提环境防护距离要求的，园区应确保其不得投产。</w:t>
                  </w:r>
                </w:p>
              </w:tc>
              <w:tc>
                <w:tcPr>
                  <w:tcW w:w="908"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本项目不涉</w:t>
                  </w:r>
                </w:p>
                <w:p>
                  <w:pPr>
                    <w:spacing w:line="240" w:lineRule="auto"/>
                    <w:jc w:val="center"/>
                    <w:rPr>
                      <w:rFonts w:hint="eastAsia"/>
                      <w:color w:val="000000"/>
                      <w:sz w:val="21"/>
                      <w:szCs w:val="21"/>
                    </w:rPr>
                  </w:pPr>
                  <w:r>
                    <w:rPr>
                      <w:rFonts w:hint="eastAsia"/>
                      <w:color w:val="000000"/>
                      <w:sz w:val="21"/>
                      <w:szCs w:val="21"/>
                    </w:rPr>
                    <w:t>及居民搬迁</w:t>
                  </w:r>
                </w:p>
                <w:p>
                  <w:pPr>
                    <w:spacing w:line="240" w:lineRule="auto"/>
                    <w:jc w:val="center"/>
                    <w:rPr>
                      <w:rFonts w:hint="eastAsia"/>
                      <w:color w:val="000000"/>
                      <w:sz w:val="21"/>
                      <w:szCs w:val="21"/>
                    </w:rPr>
                  </w:pPr>
                  <w:r>
                    <w:rPr>
                      <w:rFonts w:hint="eastAsia"/>
                      <w:color w:val="000000"/>
                      <w:sz w:val="21"/>
                      <w:szCs w:val="21"/>
                    </w:rPr>
                    <w:t>安置。</w:t>
                  </w:r>
                </w:p>
              </w:tc>
              <w:tc>
                <w:tcPr>
                  <w:tcW w:w="659"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620"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做好</w:t>
                  </w:r>
                </w:p>
                <w:p>
                  <w:pPr>
                    <w:spacing w:line="240" w:lineRule="auto"/>
                    <w:jc w:val="center"/>
                    <w:rPr>
                      <w:rFonts w:hint="eastAsia"/>
                      <w:color w:val="000000"/>
                      <w:sz w:val="21"/>
                      <w:szCs w:val="21"/>
                    </w:rPr>
                  </w:pPr>
                  <w:r>
                    <w:rPr>
                      <w:rFonts w:hint="eastAsia"/>
                      <w:color w:val="000000"/>
                      <w:sz w:val="21"/>
                      <w:szCs w:val="21"/>
                    </w:rPr>
                    <w:t>园区</w:t>
                  </w:r>
                </w:p>
                <w:p>
                  <w:pPr>
                    <w:spacing w:line="240" w:lineRule="auto"/>
                    <w:jc w:val="center"/>
                    <w:rPr>
                      <w:rFonts w:hint="eastAsia"/>
                      <w:color w:val="000000"/>
                      <w:sz w:val="21"/>
                      <w:szCs w:val="21"/>
                    </w:rPr>
                  </w:pPr>
                  <w:r>
                    <w:rPr>
                      <w:rFonts w:hint="eastAsia"/>
                      <w:color w:val="000000"/>
                      <w:sz w:val="21"/>
                      <w:szCs w:val="21"/>
                    </w:rPr>
                    <w:t>建设</w:t>
                  </w:r>
                </w:p>
                <w:p>
                  <w:pPr>
                    <w:spacing w:line="240" w:lineRule="auto"/>
                    <w:jc w:val="center"/>
                    <w:rPr>
                      <w:rFonts w:hint="eastAsia"/>
                      <w:color w:val="000000"/>
                      <w:sz w:val="21"/>
                      <w:szCs w:val="21"/>
                    </w:rPr>
                  </w:pPr>
                  <w:r>
                    <w:rPr>
                      <w:rFonts w:hint="eastAsia"/>
                      <w:color w:val="000000"/>
                      <w:sz w:val="21"/>
                      <w:szCs w:val="21"/>
                    </w:rPr>
                    <w:t>期生</w:t>
                  </w:r>
                </w:p>
                <w:p>
                  <w:pPr>
                    <w:spacing w:line="240" w:lineRule="auto"/>
                    <w:jc w:val="center"/>
                    <w:rPr>
                      <w:rFonts w:hint="eastAsia"/>
                      <w:color w:val="000000"/>
                      <w:sz w:val="21"/>
                      <w:szCs w:val="21"/>
                    </w:rPr>
                  </w:pPr>
                  <w:r>
                    <w:rPr>
                      <w:rFonts w:hint="eastAsia"/>
                      <w:color w:val="000000"/>
                      <w:sz w:val="21"/>
                      <w:szCs w:val="21"/>
                    </w:rPr>
                    <w:t>态保</w:t>
                  </w:r>
                </w:p>
                <w:p>
                  <w:pPr>
                    <w:spacing w:line="240" w:lineRule="auto"/>
                    <w:jc w:val="center"/>
                    <w:rPr>
                      <w:rFonts w:hint="eastAsia"/>
                      <w:color w:val="000000"/>
                      <w:sz w:val="21"/>
                      <w:szCs w:val="21"/>
                    </w:rPr>
                  </w:pPr>
                  <w:r>
                    <w:rPr>
                      <w:rFonts w:hint="eastAsia"/>
                      <w:color w:val="000000"/>
                      <w:sz w:val="21"/>
                      <w:szCs w:val="21"/>
                    </w:rPr>
                    <w:t>护</w:t>
                  </w:r>
                </w:p>
              </w:tc>
              <w:tc>
                <w:tcPr>
                  <w:tcW w:w="2811" w:type="pct"/>
                  <w:tcBorders>
                    <w:tl2br w:val="nil"/>
                    <w:tr2bl w:val="nil"/>
                  </w:tcBorders>
                  <w:noWrap w:val="0"/>
                  <w:vAlign w:val="center"/>
                </w:tcPr>
                <w:p>
                  <w:pPr>
                    <w:spacing w:line="240" w:lineRule="auto"/>
                    <w:jc w:val="center"/>
                    <w:rPr>
                      <w:rFonts w:hint="eastAsia"/>
                      <w:color w:val="000000"/>
                      <w:sz w:val="21"/>
                      <w:szCs w:val="21"/>
                      <w:lang w:val="en-US" w:eastAsia="zh-CN"/>
                    </w:rPr>
                  </w:pPr>
                  <w:r>
                    <w:rPr>
                      <w:rFonts w:hint="eastAsia"/>
                      <w:color w:val="000000"/>
                      <w:sz w:val="21"/>
                      <w:szCs w:val="21"/>
                      <w:lang w:val="en-US" w:eastAsia="zh-CN"/>
                    </w:rPr>
                    <w:t>园区开发建设过程中尽可能保留自然水体，施工期对土石方开挖、堆存及回填要实施围挡、护坡等措施，裸露地及时恢复植被，防止水土流失，杜绝施工建设对地表水的污染。</w:t>
                  </w:r>
                </w:p>
              </w:tc>
              <w:tc>
                <w:tcPr>
                  <w:tcW w:w="908"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rPr>
                    <w:t>本项目建设</w:t>
                  </w:r>
                </w:p>
                <w:p>
                  <w:pPr>
                    <w:spacing w:line="240" w:lineRule="auto"/>
                    <w:jc w:val="center"/>
                    <w:rPr>
                      <w:rFonts w:hint="eastAsia"/>
                      <w:color w:val="000000"/>
                      <w:sz w:val="21"/>
                      <w:szCs w:val="21"/>
                    </w:rPr>
                  </w:pPr>
                  <w:r>
                    <w:rPr>
                      <w:rFonts w:hint="eastAsia"/>
                      <w:color w:val="000000"/>
                      <w:sz w:val="21"/>
                      <w:szCs w:val="21"/>
                    </w:rPr>
                    <w:t>地点为已平</w:t>
                  </w:r>
                </w:p>
                <w:p>
                  <w:pPr>
                    <w:spacing w:line="240" w:lineRule="auto"/>
                    <w:jc w:val="center"/>
                    <w:rPr>
                      <w:rFonts w:hint="eastAsia" w:eastAsia="宋体"/>
                      <w:color w:val="000000"/>
                      <w:sz w:val="21"/>
                      <w:szCs w:val="21"/>
                      <w:lang w:eastAsia="zh-CN"/>
                    </w:rPr>
                  </w:pPr>
                  <w:r>
                    <w:rPr>
                      <w:rFonts w:hint="eastAsia"/>
                      <w:color w:val="000000"/>
                      <w:sz w:val="21"/>
                      <w:szCs w:val="21"/>
                    </w:rPr>
                    <w:t>整空地，不需要大开挖或者回填；施工过程需做好防护工作</w:t>
                  </w:r>
                  <w:r>
                    <w:rPr>
                      <w:rFonts w:hint="eastAsia"/>
                      <w:color w:val="000000"/>
                      <w:sz w:val="21"/>
                      <w:szCs w:val="21"/>
                      <w:lang w:eastAsia="zh-CN"/>
                    </w:rPr>
                    <w:t>。</w:t>
                  </w:r>
                </w:p>
              </w:tc>
              <w:tc>
                <w:tcPr>
                  <w:tcW w:w="659" w:type="pct"/>
                  <w:tcBorders>
                    <w:tl2br w:val="nil"/>
                    <w:tr2bl w:val="nil"/>
                  </w:tcBorders>
                  <w:noWrap w:val="0"/>
                  <w:vAlign w:val="center"/>
                </w:tcPr>
                <w:p>
                  <w:pPr>
                    <w:spacing w:line="240" w:lineRule="auto"/>
                    <w:jc w:val="center"/>
                    <w:rPr>
                      <w:rFonts w:hint="eastAsia"/>
                      <w:color w:val="000000"/>
                      <w:sz w:val="21"/>
                      <w:szCs w:val="21"/>
                    </w:rPr>
                  </w:pPr>
                  <w:r>
                    <w:rPr>
                      <w:rFonts w:hint="eastAsia"/>
                      <w:color w:val="000000"/>
                      <w:sz w:val="21"/>
                      <w:szCs w:val="21"/>
                      <w:lang w:val="en-US" w:eastAsia="zh-CN"/>
                    </w:rPr>
                    <w:t>符合</w:t>
                  </w:r>
                </w:p>
              </w:tc>
            </w:tr>
          </w:tbl>
          <w:p>
            <w:pPr>
              <w:autoSpaceDE w:val="0"/>
              <w:autoSpaceDN w:val="0"/>
              <w:adjustRightInd w:val="0"/>
              <w:snapToGrid w:val="0"/>
              <w:spacing w:line="360" w:lineRule="auto"/>
              <w:jc w:val="both"/>
              <w:rPr>
                <w:rFonts w:hint="default" w:ascii="Times New Roman" w:hAnsi="Times New Roman" w:cs="Times New Roman"/>
                <w:color w:val="FF0000"/>
                <w:kern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63" w:type="dxa"/>
            <w:noWrap w:val="0"/>
            <w:vAlign w:val="center"/>
          </w:tcPr>
          <w:p>
            <w:pPr>
              <w:autoSpaceDE w:val="0"/>
              <w:autoSpaceDN w:val="0"/>
              <w:adjustRightInd w:val="0"/>
              <w:snapToGrid w:val="0"/>
              <w:jc w:val="center"/>
              <w:rPr>
                <w:rFonts w:hint="default" w:ascii="Times New Roman" w:hAnsi="Times New Roman" w:cs="Times New Roman"/>
                <w:color w:val="FF0000"/>
                <w:kern w:val="0"/>
                <w:sz w:val="24"/>
                <w:szCs w:val="24"/>
              </w:rPr>
            </w:pPr>
            <w:r>
              <w:rPr>
                <w:rFonts w:hint="default" w:ascii="Times New Roman" w:hAnsi="Times New Roman" w:cs="Times New Roman"/>
                <w:color w:val="auto"/>
                <w:kern w:val="0"/>
                <w:sz w:val="24"/>
                <w:szCs w:val="24"/>
              </w:rPr>
              <w:t>其他符合性分析</w:t>
            </w:r>
          </w:p>
        </w:tc>
        <w:tc>
          <w:tcPr>
            <w:tcW w:w="7307" w:type="dxa"/>
            <w:gridSpan w:val="3"/>
            <w:noWrap w:val="0"/>
            <w:vAlign w:val="center"/>
          </w:tcPr>
          <w:p>
            <w:pPr>
              <w:pStyle w:val="2"/>
              <w:bidi w:val="0"/>
              <w:rPr>
                <w:rFonts w:hint="default"/>
                <w:sz w:val="24"/>
                <w:szCs w:val="24"/>
              </w:rPr>
            </w:pPr>
            <w:r>
              <w:rPr>
                <w:rFonts w:hint="eastAsia"/>
                <w:sz w:val="24"/>
                <w:szCs w:val="24"/>
                <w:lang w:eastAsia="zh-CN"/>
              </w:rPr>
              <w:t>（一）</w:t>
            </w:r>
            <w:r>
              <w:rPr>
                <w:rFonts w:hint="default"/>
                <w:sz w:val="24"/>
                <w:szCs w:val="24"/>
              </w:rPr>
              <w:t>产业政策相符性分析</w:t>
            </w:r>
          </w:p>
          <w:p>
            <w:pPr>
              <w:autoSpaceDE w:val="0"/>
              <w:autoSpaceDN w:val="0"/>
              <w:adjustRightInd w:val="0"/>
              <w:snapToGrid w:val="0"/>
              <w:spacing w:line="360" w:lineRule="auto"/>
              <w:ind w:firstLine="480" w:firstLineChars="200"/>
              <w:jc w:val="both"/>
              <w:rPr>
                <w:rFonts w:hint="default"/>
                <w:sz w:val="24"/>
                <w:szCs w:val="24"/>
              </w:rPr>
            </w:pPr>
            <w:r>
              <w:rPr>
                <w:rFonts w:hint="default"/>
                <w:sz w:val="24"/>
                <w:szCs w:val="24"/>
              </w:rPr>
              <w:t>根据国家发展和改革委员会发布的《产业结构调整指导目录（20</w:t>
            </w:r>
            <w:r>
              <w:rPr>
                <w:rFonts w:hint="eastAsia"/>
                <w:sz w:val="24"/>
                <w:szCs w:val="24"/>
                <w:lang w:val="en-US" w:eastAsia="zh-CN"/>
              </w:rPr>
              <w:t>24</w:t>
            </w:r>
            <w:r>
              <w:rPr>
                <w:rFonts w:hint="default"/>
                <w:sz w:val="24"/>
                <w:szCs w:val="24"/>
              </w:rPr>
              <w:t>年本）》，本项目</w:t>
            </w:r>
            <w:r>
              <w:rPr>
                <w:rFonts w:hint="eastAsia"/>
                <w:sz w:val="24"/>
                <w:szCs w:val="24"/>
                <w:lang w:val="en-US" w:eastAsia="zh-CN"/>
              </w:rPr>
              <w:t>不属于鼓励类与限制类，为允许类</w:t>
            </w:r>
            <w:r>
              <w:rPr>
                <w:rFonts w:hint="default"/>
                <w:sz w:val="24"/>
                <w:szCs w:val="24"/>
              </w:rPr>
              <w:t>。</w:t>
            </w:r>
          </w:p>
          <w:p>
            <w:pPr>
              <w:autoSpaceDE w:val="0"/>
              <w:autoSpaceDN w:val="0"/>
              <w:adjustRightInd w:val="0"/>
              <w:snapToGrid w:val="0"/>
              <w:spacing w:line="360" w:lineRule="auto"/>
              <w:ind w:firstLine="480" w:firstLineChars="200"/>
              <w:jc w:val="both"/>
              <w:rPr>
                <w:rFonts w:hint="default"/>
                <w:sz w:val="24"/>
                <w:szCs w:val="24"/>
              </w:rPr>
            </w:pPr>
            <w:r>
              <w:rPr>
                <w:rFonts w:hint="default"/>
                <w:sz w:val="24"/>
                <w:szCs w:val="24"/>
              </w:rPr>
              <w:t>综上，本项目符合相关的产业政策。</w:t>
            </w:r>
          </w:p>
          <w:p>
            <w:pPr>
              <w:pStyle w:val="2"/>
              <w:bidi w:val="0"/>
              <w:rPr>
                <w:rFonts w:hint="default"/>
                <w:sz w:val="24"/>
                <w:szCs w:val="24"/>
              </w:rPr>
            </w:pPr>
            <w:r>
              <w:rPr>
                <w:rFonts w:hint="eastAsia"/>
                <w:sz w:val="24"/>
                <w:szCs w:val="24"/>
                <w:lang w:val="en-US" w:eastAsia="zh-CN"/>
              </w:rPr>
              <w:t>（二）</w:t>
            </w:r>
            <w:r>
              <w:rPr>
                <w:rFonts w:hint="default"/>
                <w:sz w:val="24"/>
                <w:szCs w:val="24"/>
              </w:rPr>
              <w:t>与“三线一单”符合性分析</w:t>
            </w:r>
          </w:p>
          <w:p>
            <w:pPr>
              <w:numPr>
                <w:ilvl w:val="0"/>
                <w:numId w:val="0"/>
              </w:numPr>
              <w:spacing w:line="360" w:lineRule="auto"/>
              <w:ind w:firstLine="480" w:firstLineChars="200"/>
              <w:rPr>
                <w:rFonts w:hint="eastAsia"/>
                <w:lang w:val="en-US" w:eastAsia="zh-CN"/>
              </w:rPr>
            </w:pPr>
            <w:r>
              <w:rPr>
                <w:rFonts w:hint="eastAsia"/>
                <w:lang w:val="en-US" w:eastAsia="zh-CN"/>
              </w:rPr>
              <w:t>“三线一单”即生态保护红线、环境质量底线、资源利用上线和环境准入负面清单。</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1、生态保护红线</w:t>
            </w:r>
          </w:p>
          <w:p>
            <w:pPr>
              <w:numPr>
                <w:ilvl w:val="0"/>
                <w:numId w:val="0"/>
              </w:numPr>
              <w:spacing w:line="360" w:lineRule="auto"/>
              <w:ind w:firstLine="480" w:firstLineChars="200"/>
              <w:rPr>
                <w:rFonts w:hint="eastAsia"/>
                <w:lang w:val="en-US" w:eastAsia="zh-CN"/>
              </w:rPr>
            </w:pPr>
            <w:r>
              <w:rPr>
                <w:rFonts w:hint="eastAsia"/>
                <w:lang w:val="en-US" w:eastAsia="zh-CN"/>
              </w:rPr>
              <w:t>根据《关于以改善环境质量为核心加强环境影响评价管理的通知》（环环评〔2016〕150号），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依法不予审批新建工业项目和矿产开发项目的环评文件。</w:t>
            </w:r>
          </w:p>
          <w:p>
            <w:pPr>
              <w:numPr>
                <w:ilvl w:val="0"/>
                <w:numId w:val="0"/>
              </w:numPr>
              <w:spacing w:line="360" w:lineRule="auto"/>
              <w:ind w:firstLine="480" w:firstLineChars="200"/>
              <w:rPr>
                <w:rFonts w:hint="eastAsia"/>
                <w:lang w:val="en-US" w:eastAsia="zh-CN"/>
              </w:rPr>
            </w:pPr>
            <w:r>
              <w:rPr>
                <w:rFonts w:hint="eastAsia"/>
                <w:lang w:val="en-US" w:eastAsia="zh-CN"/>
              </w:rPr>
              <w:t>根据《湖南省人民政府关于印发&lt;湖南省生态保护红线&gt;的通知》（湘政发〔2018〕20号），本项目位于常德经济技术开发区尚德路以北长安路以西，选址不在常德市生态保护红线范围之内。</w:t>
            </w:r>
          </w:p>
          <w:p>
            <w:pPr>
              <w:pStyle w:val="6"/>
              <w:bidi w:val="0"/>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2、环境质量底线</w:t>
            </w:r>
          </w:p>
          <w:p>
            <w:pPr>
              <w:numPr>
                <w:ilvl w:val="0"/>
                <w:numId w:val="0"/>
              </w:numPr>
              <w:spacing w:line="360" w:lineRule="auto"/>
              <w:ind w:firstLine="480" w:firstLineChars="200"/>
              <w:rPr>
                <w:rFonts w:hint="eastAsia"/>
                <w:lang w:val="en-US" w:eastAsia="zh-CN"/>
              </w:rPr>
            </w:pPr>
            <w:r>
              <w:rPr>
                <w:rFonts w:hint="eastAsia"/>
                <w:lang w:val="en-US" w:eastAsia="zh-CN"/>
              </w:rPr>
              <w:t>环境质量底线是国家和地方设置的大气、水和土壤环境质量目标，也是改善环境质量的基准线。项目环评对照区域环境质量目标，分析预测项目建设对环境质量的影响，强化污染防治措施和污染物排放控制要求。</w:t>
            </w:r>
          </w:p>
          <w:p>
            <w:pPr>
              <w:numPr>
                <w:ilvl w:val="0"/>
                <w:numId w:val="0"/>
              </w:numPr>
              <w:spacing w:line="360" w:lineRule="auto"/>
              <w:ind w:firstLine="480" w:firstLineChars="200"/>
              <w:rPr>
                <w:rFonts w:hint="eastAsia"/>
                <w:lang w:val="en-US" w:eastAsia="zh-CN"/>
              </w:rPr>
            </w:pPr>
            <w:r>
              <w:rPr>
                <w:rFonts w:hint="eastAsia"/>
                <w:lang w:val="en-US" w:eastAsia="zh-CN"/>
              </w:rPr>
              <w:t>根据环境质量现状监测可知，本项目所在区域地表水、噪声质量现状均满足相关环境质量标准，项目拟建地环境质量状况良好，符合中的环境质量底线要求。</w:t>
            </w:r>
          </w:p>
          <w:p>
            <w:pPr>
              <w:numPr>
                <w:ilvl w:val="0"/>
                <w:numId w:val="0"/>
              </w:numPr>
              <w:spacing w:line="360" w:lineRule="auto"/>
              <w:ind w:firstLine="480" w:firstLineChars="200"/>
              <w:rPr>
                <w:rFonts w:hint="eastAsia"/>
                <w:lang w:val="en-US" w:eastAsia="zh-CN"/>
              </w:rPr>
            </w:pPr>
            <w:r>
              <w:rPr>
                <w:rFonts w:hint="eastAsia"/>
                <w:lang w:val="en-US" w:eastAsia="zh-CN"/>
              </w:rPr>
              <w:t>PM</w:t>
            </w:r>
            <w:r>
              <w:rPr>
                <w:rFonts w:hint="eastAsia"/>
                <w:vertAlign w:val="subscript"/>
                <w:lang w:val="en-US" w:eastAsia="zh-CN"/>
              </w:rPr>
              <w:t>10</w:t>
            </w:r>
            <w:r>
              <w:rPr>
                <w:rFonts w:hint="eastAsia"/>
                <w:lang w:val="en-US" w:eastAsia="zh-CN"/>
              </w:rPr>
              <w:t>、SO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年平均浓度、CO24小时平均浓度、O</w:t>
            </w:r>
            <w:r>
              <w:rPr>
                <w:rFonts w:hint="eastAsia"/>
                <w:vertAlign w:val="subscript"/>
                <w:lang w:val="en-US" w:eastAsia="zh-CN"/>
              </w:rPr>
              <w:t>3</w:t>
            </w:r>
            <w:r>
              <w:rPr>
                <w:rFonts w:hint="eastAsia"/>
                <w:lang w:val="en-US" w:eastAsia="zh-CN"/>
              </w:rPr>
              <w:t>最大8小时平均浓度符合《环境空气质量标准》（GB3095-2012）二级标准，PM</w:t>
            </w:r>
            <w:r>
              <w:rPr>
                <w:rFonts w:hint="eastAsia"/>
                <w:vertAlign w:val="subscript"/>
                <w:lang w:val="en-US" w:eastAsia="zh-CN"/>
              </w:rPr>
              <w:t>2.5</w:t>
            </w:r>
            <w:r>
              <w:rPr>
                <w:rFonts w:hint="eastAsia"/>
                <w:lang w:val="en-US" w:eastAsia="zh-CN"/>
              </w:rPr>
              <w:t>年平均浓度超标。因此判定本项目位于不达标区。</w:t>
            </w:r>
          </w:p>
          <w:p>
            <w:pPr>
              <w:numPr>
                <w:ilvl w:val="0"/>
                <w:numId w:val="0"/>
              </w:numPr>
              <w:spacing w:line="360" w:lineRule="auto"/>
              <w:ind w:firstLine="480" w:firstLineChars="200"/>
              <w:rPr>
                <w:rFonts w:hint="eastAsia"/>
                <w:lang w:val="en-US" w:eastAsia="zh-CN"/>
              </w:rPr>
            </w:pPr>
            <w:r>
              <w:rPr>
                <w:rFonts w:hint="eastAsia"/>
                <w:lang w:val="en-US" w:eastAsia="zh-CN"/>
              </w:rPr>
              <w:t>根据《常德市大气环境质量限期达标规划（2020-2027）》，常德市实施分阶段规划达标时限、目标。2020年为近期规划年，要求多污染协同减排成效显著，空气质量实现全面达标；2027年为远期规划年，要求空气质量全面稳定达标。2020年环境质量指标PM</w:t>
            </w:r>
            <w:r>
              <w:rPr>
                <w:rFonts w:hint="eastAsia"/>
                <w:vertAlign w:val="subscript"/>
                <w:lang w:val="en-US" w:eastAsia="zh-CN"/>
              </w:rPr>
              <w:t>2.5</w:t>
            </w:r>
            <w:r>
              <w:rPr>
                <w:rFonts w:hint="eastAsia"/>
                <w:lang w:val="en-US" w:eastAsia="zh-CN"/>
              </w:rPr>
              <w:t>年均值（40ug/m</w:t>
            </w:r>
            <w:r>
              <w:rPr>
                <w:rFonts w:hint="eastAsia"/>
                <w:vertAlign w:val="superscript"/>
                <w:lang w:val="en-US" w:eastAsia="zh-CN"/>
              </w:rPr>
              <w:t>3</w:t>
            </w:r>
            <w:r>
              <w:rPr>
                <w:rFonts w:hint="eastAsia"/>
                <w:lang w:val="en-US" w:eastAsia="zh-CN"/>
              </w:rPr>
              <w:t>）小于2020年规划目标值（44ug/m</w:t>
            </w:r>
            <w:r>
              <w:rPr>
                <w:rFonts w:hint="eastAsia"/>
                <w:vertAlign w:val="superscript"/>
                <w:lang w:val="en-US" w:eastAsia="zh-CN"/>
              </w:rPr>
              <w:t>3</w:t>
            </w:r>
            <w:r>
              <w:rPr>
                <w:rFonts w:hint="eastAsia"/>
                <w:lang w:val="en-US" w:eastAsia="zh-CN"/>
              </w:rPr>
              <w:t>），满足常德市大气环境质量限期达标规划要求。</w:t>
            </w:r>
          </w:p>
          <w:p>
            <w:pPr>
              <w:pStyle w:val="6"/>
              <w:bidi w:val="0"/>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3、资源利用上线</w:t>
            </w:r>
          </w:p>
          <w:p>
            <w:pPr>
              <w:numPr>
                <w:ilvl w:val="0"/>
                <w:numId w:val="0"/>
              </w:numPr>
              <w:spacing w:line="360" w:lineRule="auto"/>
              <w:ind w:firstLine="480" w:firstLineChars="200"/>
              <w:rPr>
                <w:rFonts w:hint="default"/>
                <w:lang w:val="en-US" w:eastAsia="zh-CN"/>
              </w:rPr>
            </w:pPr>
            <w:r>
              <w:rPr>
                <w:rFonts w:hint="eastAsia"/>
                <w:lang w:val="en-US" w:eastAsia="zh-CN"/>
              </w:rPr>
              <w:t>资源是环境的载体，资源利用上线是各地区能源、水、土地等资源消耗不得突破的“天花板”。本项目运营过程中消耗一定量的电和水等资源，项目资源消耗量相对于区域资源利用量较少，符合《关于以改善环境质量为核心加强环境影响评价管理的通知》（环环评〔2016〕150号）中的资源利用上限要求。</w:t>
            </w:r>
          </w:p>
          <w:p>
            <w:pPr>
              <w:pStyle w:val="2"/>
              <w:bidi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4、与湖南省产业园区三线一单符合性分析</w:t>
            </w:r>
          </w:p>
          <w:p>
            <w:pPr>
              <w:pStyle w:val="27"/>
              <w:bidi w:val="0"/>
              <w:rPr>
                <w:rFonts w:hint="default"/>
                <w:lang w:val="en-US" w:eastAsia="zh-CN"/>
              </w:rPr>
            </w:pPr>
            <w:r>
              <w:rPr>
                <w:rFonts w:hint="eastAsia"/>
                <w:lang w:val="en-US" w:eastAsia="zh-CN"/>
              </w:rPr>
              <w:t>表1-3  项目与常德经济技术开发区三线一单符合性分析</w:t>
            </w:r>
          </w:p>
          <w:tbl>
            <w:tblPr>
              <w:tblStyle w:val="1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26"/>
              <w:gridCol w:w="4269"/>
              <w:gridCol w:w="20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51" w:hRule="atLeast"/>
                <w:jc w:val="center"/>
              </w:trPr>
              <w:tc>
                <w:tcPr>
                  <w:tcW w:w="695" w:type="dxa"/>
                  <w:tcBorders>
                    <w:tl2br w:val="nil"/>
                    <w:tr2bl w:val="nil"/>
                  </w:tcBorders>
                  <w:noWrap w:val="0"/>
                  <w:tcMar>
                    <w:left w:w="108" w:type="dxa"/>
                    <w:right w:w="108" w:type="dxa"/>
                  </w:tcMar>
                  <w:vAlign w:val="center"/>
                </w:tcPr>
                <w:p>
                  <w:pPr>
                    <w:pStyle w:val="26"/>
                    <w:bidi w:val="0"/>
                    <w:jc w:val="center"/>
                    <w:rPr>
                      <w:rFonts w:hint="eastAsia"/>
                      <w:b/>
                      <w:bCs/>
                      <w:lang w:eastAsia="zh-CN"/>
                    </w:rPr>
                  </w:pPr>
                  <w:r>
                    <w:rPr>
                      <w:rFonts w:hint="eastAsia"/>
                      <w:b/>
                      <w:bCs/>
                      <w:lang w:eastAsia="zh-CN"/>
                    </w:rPr>
                    <w:t>管控维度</w:t>
                  </w:r>
                </w:p>
              </w:tc>
              <w:tc>
                <w:tcPr>
                  <w:tcW w:w="4085" w:type="dxa"/>
                  <w:tcBorders>
                    <w:tl2br w:val="nil"/>
                    <w:tr2bl w:val="nil"/>
                  </w:tcBorders>
                  <w:noWrap w:val="0"/>
                  <w:tcMar>
                    <w:left w:w="108" w:type="dxa"/>
                    <w:right w:w="108" w:type="dxa"/>
                  </w:tcMar>
                  <w:vAlign w:val="center"/>
                </w:tcPr>
                <w:p>
                  <w:pPr>
                    <w:pStyle w:val="26"/>
                    <w:bidi w:val="0"/>
                    <w:jc w:val="center"/>
                    <w:rPr>
                      <w:rFonts w:hint="eastAsia"/>
                      <w:b/>
                      <w:bCs/>
                    </w:rPr>
                  </w:pPr>
                  <w:r>
                    <w:rPr>
                      <w:rFonts w:hint="eastAsia"/>
                      <w:b/>
                      <w:bCs/>
                      <w:lang w:val="en-US" w:eastAsia="zh-CN"/>
                    </w:rPr>
                    <w:t>常德经济技术开发区管控</w:t>
                  </w:r>
                  <w:r>
                    <w:rPr>
                      <w:rFonts w:hint="eastAsia"/>
                      <w:b/>
                      <w:bCs/>
                    </w:rPr>
                    <w:t>要求</w:t>
                  </w:r>
                </w:p>
              </w:tc>
              <w:tc>
                <w:tcPr>
                  <w:tcW w:w="1999" w:type="dxa"/>
                  <w:tcBorders>
                    <w:tl2br w:val="nil"/>
                    <w:tr2bl w:val="nil"/>
                  </w:tcBorders>
                  <w:noWrap w:val="0"/>
                  <w:tcMar>
                    <w:left w:w="108" w:type="dxa"/>
                    <w:right w:w="108" w:type="dxa"/>
                  </w:tcMar>
                  <w:vAlign w:val="center"/>
                </w:tcPr>
                <w:p>
                  <w:pPr>
                    <w:pStyle w:val="26"/>
                    <w:bidi w:val="0"/>
                    <w:jc w:val="center"/>
                    <w:rPr>
                      <w:rFonts w:hint="eastAsia"/>
                      <w:b/>
                      <w:bCs/>
                    </w:rPr>
                  </w:pPr>
                  <w:r>
                    <w:rPr>
                      <w:rFonts w:hint="eastAsia"/>
                      <w:b/>
                      <w:bCs/>
                      <w:lang w:eastAsia="zh-CN"/>
                    </w:rPr>
                    <w:t>符合</w:t>
                  </w:r>
                  <w:r>
                    <w:rPr>
                      <w:rFonts w:hint="eastAsia"/>
                      <w:b/>
                      <w:bCs/>
                    </w:rPr>
                    <w:t>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51" w:hRule="atLeast"/>
                <w:jc w:val="center"/>
              </w:trPr>
              <w:tc>
                <w:tcPr>
                  <w:tcW w:w="695" w:type="dxa"/>
                  <w:tcBorders>
                    <w:tl2br w:val="nil"/>
                    <w:tr2bl w:val="nil"/>
                  </w:tcBorders>
                  <w:noWrap w:val="0"/>
                  <w:tcMar>
                    <w:left w:w="108" w:type="dxa"/>
                    <w:right w:w="108" w:type="dxa"/>
                  </w:tcMar>
                  <w:vAlign w:val="center"/>
                </w:tcPr>
                <w:p>
                  <w:pPr>
                    <w:pStyle w:val="26"/>
                    <w:bidi w:val="0"/>
                    <w:jc w:val="center"/>
                    <w:rPr>
                      <w:rFonts w:hint="eastAsia"/>
                    </w:rPr>
                  </w:pPr>
                </w:p>
                <w:p>
                  <w:pPr>
                    <w:pStyle w:val="26"/>
                    <w:bidi w:val="0"/>
                    <w:jc w:val="center"/>
                    <w:rPr>
                      <w:rFonts w:hint="eastAsia"/>
                    </w:rPr>
                  </w:pPr>
                </w:p>
                <w:p>
                  <w:pPr>
                    <w:pStyle w:val="26"/>
                    <w:bidi w:val="0"/>
                    <w:jc w:val="center"/>
                    <w:rPr>
                      <w:rFonts w:hint="eastAsia"/>
                    </w:rPr>
                  </w:pPr>
                  <w:r>
                    <w:rPr>
                      <w:rFonts w:hint="eastAsia"/>
                    </w:rPr>
                    <w:t>空间布局约束</w:t>
                  </w:r>
                </w:p>
              </w:tc>
              <w:tc>
                <w:tcPr>
                  <w:tcW w:w="4085" w:type="dxa"/>
                  <w:tcBorders>
                    <w:tl2br w:val="nil"/>
                    <w:tr2bl w:val="nil"/>
                  </w:tcBorders>
                  <w:noWrap w:val="0"/>
                  <w:tcMar>
                    <w:left w:w="108" w:type="dxa"/>
                    <w:right w:w="108" w:type="dxa"/>
                  </w:tcMar>
                  <w:vAlign w:val="center"/>
                </w:tcPr>
                <w:p>
                  <w:pPr>
                    <w:pStyle w:val="26"/>
                    <w:bidi w:val="0"/>
                    <w:jc w:val="center"/>
                    <w:rPr>
                      <w:rFonts w:hint="eastAsia"/>
                    </w:rPr>
                  </w:pPr>
                  <w:r>
                    <w:rPr>
                      <w:rFonts w:hint="eastAsia"/>
                      <w:lang w:eastAsia="zh-CN"/>
                    </w:rPr>
                    <w:t>（</w:t>
                  </w:r>
                  <w:r>
                    <w:rPr>
                      <w:rFonts w:hint="eastAsia"/>
                      <w:lang w:val="en-US" w:eastAsia="zh-CN"/>
                    </w:rPr>
                    <w:t>1</w:t>
                  </w:r>
                  <w:r>
                    <w:rPr>
                      <w:rFonts w:hint="eastAsia"/>
                      <w:lang w:eastAsia="zh-CN"/>
                    </w:rPr>
                    <w:t>）</w:t>
                  </w:r>
                  <w:r>
                    <w:rPr>
                      <w:rFonts w:hint="eastAsia"/>
                    </w:rPr>
                    <w:t>进一步优化规划布局，西区严格控制三类用地，注重发展新材料、机械电子等高新技术产业；东扩区三类工业以化学工业、纺织印染工业、新材料工业为主，优先发展高科技、高附加值、技术密集型的工业企业，并确保引进项目具备成熟的污染防治技术。（2）对临近规划区东南部的枫树岗和茶叶岗安置小区进行规模控制，并对园区南部、西南部引进企业严格予以限制，两个安置小区1000米范围内不得引进气型污染项目。枫树岗安置小区作为过渡安置区，适时结合项目入园情况逐步将其内居民外迁重新安置，防止相互功能干扰。</w:t>
                  </w:r>
                </w:p>
              </w:tc>
              <w:tc>
                <w:tcPr>
                  <w:tcW w:w="1999" w:type="dxa"/>
                  <w:tcBorders>
                    <w:tl2br w:val="nil"/>
                    <w:tr2bl w:val="nil"/>
                  </w:tcBorders>
                  <w:noWrap w:val="0"/>
                  <w:tcMar>
                    <w:left w:w="108" w:type="dxa"/>
                    <w:right w:w="108" w:type="dxa"/>
                  </w:tcMar>
                  <w:vAlign w:val="center"/>
                </w:tcPr>
                <w:p>
                  <w:pPr>
                    <w:pStyle w:val="26"/>
                    <w:bidi w:val="0"/>
                    <w:jc w:val="center"/>
                    <w:rPr>
                      <w:rFonts w:hint="eastAsia"/>
                      <w:lang w:eastAsia="zh-CN"/>
                    </w:rPr>
                  </w:pPr>
                  <w:r>
                    <w:rPr>
                      <w:rFonts w:hint="eastAsia"/>
                      <w:lang w:eastAsia="zh-CN"/>
                    </w:rPr>
                    <w:t>本项目位于常德经济技术开发区尚德路以北长安路以西，项目</w:t>
                  </w:r>
                  <w:r>
                    <w:rPr>
                      <w:rFonts w:hint="eastAsia"/>
                      <w:lang w:val="en-US" w:eastAsia="zh-CN"/>
                    </w:rPr>
                    <w:t>新建厂房</w:t>
                  </w:r>
                  <w:r>
                    <w:rPr>
                      <w:rFonts w:hint="eastAsia"/>
                      <w:lang w:eastAsia="zh-CN"/>
                    </w:rPr>
                    <w:t>，属于制药行业，</w:t>
                  </w:r>
                  <w:r>
                    <w:rPr>
                      <w:rFonts w:hint="eastAsia"/>
                    </w:rPr>
                    <w:t>具备成熟的污染防治技术</w:t>
                  </w:r>
                  <w:r>
                    <w:rPr>
                      <w:rFonts w:hint="eastAsia"/>
                      <w:lang w:eastAsia="zh-CN"/>
                    </w:rPr>
                    <w:t>。本项目距离枫树岗安置小区</w:t>
                  </w:r>
                  <w:r>
                    <w:rPr>
                      <w:rFonts w:hint="eastAsia"/>
                      <w:lang w:val="en-US" w:eastAsia="zh-CN"/>
                    </w:rPr>
                    <w:t>4.2</w:t>
                  </w:r>
                  <w:r>
                    <w:rPr>
                      <w:rFonts w:hint="eastAsia"/>
                      <w:lang w:eastAsia="zh-CN"/>
                    </w:rPr>
                    <w:t>千米，距离茶叶岗安置小区</w:t>
                  </w:r>
                  <w:r>
                    <w:rPr>
                      <w:rFonts w:hint="eastAsia"/>
                      <w:lang w:val="en-US" w:eastAsia="zh-CN"/>
                    </w:rPr>
                    <w:t>3.5</w:t>
                  </w:r>
                  <w:r>
                    <w:rPr>
                      <w:rFonts w:hint="eastAsia"/>
                      <w:lang w:eastAsia="zh-CN"/>
                    </w:rPr>
                    <w:t>千米，不在</w:t>
                  </w:r>
                  <w:r>
                    <w:rPr>
                      <w:rFonts w:hint="eastAsia"/>
                    </w:rPr>
                    <w:t>枫树岗和茶叶岗安置小区</w:t>
                  </w:r>
                  <w:r>
                    <w:rPr>
                      <w:rFonts w:hint="eastAsia"/>
                      <w:lang w:eastAsia="zh-CN"/>
                    </w:rPr>
                    <w:t>控制范围内。因此本项目与经开区</w:t>
                  </w:r>
                  <w:r>
                    <w:rPr>
                      <w:rFonts w:hint="eastAsia"/>
                    </w:rPr>
                    <w:t>空间布局约束</w:t>
                  </w:r>
                  <w:r>
                    <w:rPr>
                      <w:rFonts w:hint="eastAsia"/>
                      <w:lang w:eastAsia="zh-CN"/>
                    </w:rPr>
                    <w:t>管控要求相符。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504" w:hRule="atLeast"/>
                <w:jc w:val="center"/>
              </w:trPr>
              <w:tc>
                <w:tcPr>
                  <w:tcW w:w="695" w:type="dxa"/>
                  <w:tcBorders>
                    <w:tl2br w:val="nil"/>
                    <w:tr2bl w:val="nil"/>
                  </w:tcBorders>
                  <w:noWrap w:val="0"/>
                  <w:tcMar>
                    <w:left w:w="108" w:type="dxa"/>
                    <w:right w:w="108" w:type="dxa"/>
                  </w:tcMar>
                  <w:vAlign w:val="center"/>
                </w:tcPr>
                <w:p>
                  <w:pPr>
                    <w:pStyle w:val="26"/>
                    <w:bidi w:val="0"/>
                    <w:jc w:val="center"/>
                    <w:rPr>
                      <w:rFonts w:hint="eastAsia"/>
                    </w:rPr>
                  </w:pPr>
                </w:p>
                <w:p>
                  <w:pPr>
                    <w:pStyle w:val="26"/>
                    <w:bidi w:val="0"/>
                    <w:jc w:val="center"/>
                    <w:rPr>
                      <w:rFonts w:hint="eastAsia"/>
                    </w:rPr>
                  </w:pPr>
                  <w:r>
                    <w:rPr>
                      <w:rFonts w:hint="eastAsia"/>
                    </w:rPr>
                    <w:t>污染物排放管</w:t>
                  </w:r>
                </w:p>
                <w:p>
                  <w:pPr>
                    <w:pStyle w:val="26"/>
                    <w:bidi w:val="0"/>
                    <w:jc w:val="center"/>
                    <w:rPr>
                      <w:rFonts w:hint="eastAsia"/>
                    </w:rPr>
                  </w:pPr>
                  <w:r>
                    <w:rPr>
                      <w:rFonts w:hint="eastAsia"/>
                    </w:rPr>
                    <w:t>控</w:t>
                  </w:r>
                </w:p>
              </w:tc>
              <w:tc>
                <w:tcPr>
                  <w:tcW w:w="4085" w:type="dxa"/>
                  <w:tcBorders>
                    <w:tl2br w:val="nil"/>
                    <w:tr2bl w:val="nil"/>
                  </w:tcBorders>
                  <w:noWrap w:val="0"/>
                  <w:tcMar>
                    <w:left w:w="108" w:type="dxa"/>
                    <w:right w:w="108" w:type="dxa"/>
                  </w:tcMar>
                  <w:vAlign w:val="center"/>
                </w:tcPr>
                <w:p>
                  <w:pPr>
                    <w:pStyle w:val="26"/>
                    <w:bidi w:val="0"/>
                    <w:jc w:val="center"/>
                    <w:rPr>
                      <w:rFonts w:hint="eastAsia"/>
                    </w:rPr>
                  </w:pPr>
                  <w:r>
                    <w:rPr>
                      <w:rFonts w:hint="eastAsia"/>
                    </w:rPr>
                    <w:t>（1）废水：规划区内排水实施雨污分流，确保规划区各企业产生的污水通过德山污水处理厂处理达标后，排入东风河，最终进入沅江；区域雨水沿地势分区排入东风河、枉水、三港渠、六号渠，最后均进入沅江。（2）废气：（2.1）做好规划区大气污染控制措施，加强企业管理，对各企业有工艺废气产出的生产节点配置废气收集与处理净化装置，做到达标排放；加强生产工艺研究与技术改进，采取有效措施，减少工艺废气的无组织排放。（2.2）强化源头管控和末端治理，加快推进有机化工、工业涂装、包装印刷、沥青搅拌、制药、农药等行业企业VOCs治理，确保达标排放。（3）园区内电镀、无机化工、杂环类农药、纺织染整等行业及涉锅炉大气污染物排放应满足《湖南省生态环境厅关于执行污染物特别排放限值（第一批）的公告》中的要求。（4）固废：做好工业固体废物和生活垃圾的分类收集、转运、综合利用和无害化处理，建立统一的固废收集、贮存、运输、综合利用和安全处置的运营管理体系。加强粉煤灰等固体废物的资源化进程，提高综合利用率。加快开发区固废处置（含危废暂存）场地的建设，对工业企业产生固体废物特别是危险固废应按国家有关规定综合利用或妥善处置，严防二次污染。生活垃圾集中后送到开发区生活垃圾焚烧发电项目基地进行统一处理。</w:t>
                  </w:r>
                </w:p>
              </w:tc>
              <w:tc>
                <w:tcPr>
                  <w:tcW w:w="1999" w:type="dxa"/>
                  <w:tcBorders>
                    <w:tl2br w:val="nil"/>
                    <w:tr2bl w:val="nil"/>
                  </w:tcBorders>
                  <w:noWrap w:val="0"/>
                  <w:tcMar>
                    <w:left w:w="108" w:type="dxa"/>
                    <w:right w:w="108" w:type="dxa"/>
                  </w:tcMar>
                  <w:vAlign w:val="center"/>
                </w:tcPr>
                <w:p>
                  <w:pPr>
                    <w:pStyle w:val="26"/>
                    <w:bidi w:val="0"/>
                    <w:jc w:val="center"/>
                    <w:rPr>
                      <w:rFonts w:hint="eastAsia"/>
                      <w:lang w:eastAsia="zh-CN"/>
                    </w:rPr>
                  </w:pPr>
                  <w:r>
                    <w:rPr>
                      <w:rFonts w:hint="eastAsia"/>
                      <w:lang w:eastAsia="zh-CN"/>
                    </w:rPr>
                    <w:t>项目实行雨污分流，生产及生活废水经过自建污水处理站处理达标后进入德山污水处理厂进一步深度处理，最终排入沅江；雨水最终汇入沅江。项目涉及的废气主要污水处理站臭气、产品生产及检测等产生的废气，目各类废气经相应的废气治理措施处理后均能达标排放；不涉及</w:t>
                  </w:r>
                  <w:r>
                    <w:rPr>
                      <w:rFonts w:hint="eastAsia"/>
                    </w:rPr>
                    <w:t>电镀、无机化工、杂环类农药、纺织染整等行业</w:t>
                  </w:r>
                  <w:r>
                    <w:rPr>
                      <w:rFonts w:hint="eastAsia"/>
                      <w:lang w:eastAsia="zh-CN"/>
                    </w:rPr>
                    <w:t>。项目产生的各类固废经分类收集后均能妥善处置，不外排。因此本项目与经开区</w:t>
                  </w:r>
                  <w:r>
                    <w:rPr>
                      <w:rFonts w:hint="eastAsia"/>
                    </w:rPr>
                    <w:t>污染物排放管控</w:t>
                  </w:r>
                  <w:r>
                    <w:rPr>
                      <w:rFonts w:hint="eastAsia"/>
                      <w:lang w:eastAsia="zh-CN"/>
                    </w:rPr>
                    <w:t>要求相符。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695" w:type="dxa"/>
                  <w:tcBorders>
                    <w:tl2br w:val="nil"/>
                    <w:tr2bl w:val="nil"/>
                  </w:tcBorders>
                  <w:noWrap w:val="0"/>
                  <w:tcMar>
                    <w:left w:w="108" w:type="dxa"/>
                    <w:right w:w="108" w:type="dxa"/>
                  </w:tcMar>
                  <w:vAlign w:val="center"/>
                </w:tcPr>
                <w:p>
                  <w:pPr>
                    <w:pStyle w:val="26"/>
                    <w:bidi w:val="0"/>
                    <w:jc w:val="center"/>
                    <w:rPr>
                      <w:rFonts w:hint="eastAsia"/>
                      <w:lang w:val="en-US" w:eastAsia="zh-CN"/>
                    </w:rPr>
                  </w:pPr>
                  <w:r>
                    <w:rPr>
                      <w:rFonts w:hint="eastAsia"/>
                      <w:lang w:eastAsia="zh-CN"/>
                    </w:rPr>
                    <w:t>环境风险防控</w:t>
                  </w:r>
                </w:p>
              </w:tc>
              <w:tc>
                <w:tcPr>
                  <w:tcW w:w="4085" w:type="dxa"/>
                  <w:tcBorders>
                    <w:tl2br w:val="nil"/>
                    <w:tr2bl w:val="nil"/>
                  </w:tcBorders>
                  <w:noWrap w:val="0"/>
                  <w:tcMar>
                    <w:left w:w="108" w:type="dxa"/>
                    <w:right w:w="108" w:type="dxa"/>
                  </w:tcMar>
                  <w:vAlign w:val="center"/>
                </w:tcPr>
                <w:p>
                  <w:pPr>
                    <w:pStyle w:val="26"/>
                    <w:bidi w:val="0"/>
                    <w:jc w:val="center"/>
                    <w:rPr>
                      <w:rFonts w:hint="eastAsia"/>
                      <w:lang w:eastAsia="zh-CN"/>
                    </w:rPr>
                  </w:pPr>
                  <w:r>
                    <w:rPr>
                      <w:rFonts w:hint="eastAsia"/>
                      <w:lang w:eastAsia="zh-CN"/>
                    </w:rPr>
                    <w:t>（1）开发区应建立健全环境风险防控体系，落实《常德经济技术开发区突发环境事件应急预案》提出的各项环境风险防范措施，严防环境风险事故发生。园区在排渍站应储备泵和消防带，用于泵送事故废水和消防废水入德山污水处理厂（一期工程）的事故池，防止事故和消防废水未处理外排造成沅江污染。（2）园区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3）建设用地土壤风险防控：加强对建设用地土壤环境状况调查、风险评估和污染地块治理与修复活动的监管。常德经济技术开发区管理委员会镍电池材料场地土壤污染地块、原顺隆制革有限公司污染地块风险管控项目地块修复完成前不得作为住宅、公共管理与公共服务用地。（4）农用地风险防控：实施农用地分类管理，保障农业生产环境安全；防控企业污染。禁止在优先保护类耕地集中区域新建有色金属冶炼、化工、电镀、制革、危险废物经营等行业企业。</w:t>
                  </w:r>
                </w:p>
              </w:tc>
              <w:tc>
                <w:tcPr>
                  <w:tcW w:w="1999" w:type="dxa"/>
                  <w:tcBorders>
                    <w:tl2br w:val="nil"/>
                    <w:tr2bl w:val="nil"/>
                  </w:tcBorders>
                  <w:noWrap w:val="0"/>
                  <w:tcMar>
                    <w:left w:w="108" w:type="dxa"/>
                    <w:right w:w="108" w:type="dxa"/>
                  </w:tcMar>
                  <w:vAlign w:val="center"/>
                </w:tcPr>
                <w:p>
                  <w:pPr>
                    <w:pStyle w:val="26"/>
                    <w:bidi w:val="0"/>
                    <w:jc w:val="center"/>
                    <w:rPr>
                      <w:rFonts w:hint="eastAsia"/>
                      <w:lang w:eastAsia="zh-CN"/>
                    </w:rPr>
                  </w:pPr>
                  <w:r>
                    <w:rPr>
                      <w:rFonts w:hint="eastAsia"/>
                      <w:lang w:eastAsia="zh-CN"/>
                    </w:rPr>
                    <w:t>本项目实施后将启动应急预案工作，因此本项目与经开区环境风险防控管控要求相符。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695" w:type="dxa"/>
                  <w:tcBorders>
                    <w:tl2br w:val="nil"/>
                    <w:tr2bl w:val="nil"/>
                  </w:tcBorders>
                  <w:noWrap w:val="0"/>
                  <w:tcMar>
                    <w:left w:w="108" w:type="dxa"/>
                    <w:right w:w="108" w:type="dxa"/>
                  </w:tcMar>
                  <w:vAlign w:val="center"/>
                </w:tcPr>
                <w:p>
                  <w:pPr>
                    <w:pStyle w:val="26"/>
                    <w:bidi w:val="0"/>
                    <w:jc w:val="center"/>
                    <w:rPr>
                      <w:rFonts w:hint="eastAsia"/>
                    </w:rPr>
                  </w:pPr>
                </w:p>
                <w:p>
                  <w:pPr>
                    <w:pStyle w:val="26"/>
                    <w:bidi w:val="0"/>
                    <w:jc w:val="center"/>
                    <w:rPr>
                      <w:rFonts w:hint="eastAsia"/>
                    </w:rPr>
                  </w:pPr>
                  <w:r>
                    <w:rPr>
                      <w:rFonts w:hint="eastAsia"/>
                    </w:rPr>
                    <w:t>资源开发效率</w:t>
                  </w:r>
                </w:p>
                <w:p>
                  <w:pPr>
                    <w:pStyle w:val="26"/>
                    <w:bidi w:val="0"/>
                    <w:jc w:val="center"/>
                    <w:rPr>
                      <w:rFonts w:hint="eastAsia"/>
                      <w:lang w:eastAsia="zh-CN"/>
                    </w:rPr>
                  </w:pPr>
                  <w:r>
                    <w:rPr>
                      <w:rFonts w:hint="eastAsia"/>
                    </w:rPr>
                    <w:t>要求</w:t>
                  </w:r>
                </w:p>
              </w:tc>
              <w:tc>
                <w:tcPr>
                  <w:tcW w:w="4085" w:type="dxa"/>
                  <w:tcBorders>
                    <w:tl2br w:val="nil"/>
                    <w:tr2bl w:val="nil"/>
                  </w:tcBorders>
                  <w:noWrap w:val="0"/>
                  <w:tcMar>
                    <w:left w:w="108" w:type="dxa"/>
                    <w:right w:w="108" w:type="dxa"/>
                  </w:tcMar>
                  <w:vAlign w:val="center"/>
                </w:tcPr>
                <w:p>
                  <w:pPr>
                    <w:pStyle w:val="26"/>
                    <w:bidi w:val="0"/>
                    <w:jc w:val="center"/>
                    <w:rPr>
                      <w:rFonts w:hint="eastAsia"/>
                      <w:lang w:eastAsia="zh-CN"/>
                    </w:rPr>
                  </w:pPr>
                  <w:r>
                    <w:rPr>
                      <w:rFonts w:hint="eastAsia"/>
                    </w:rPr>
                    <w:t>（1）能源：除经过批准的火力发电企业外，禁止销售、燃用高污染燃料；禁止新建、扩建燃用高污染燃料的锅炉、炉窑、工业及经营用炉灶等燃烧设施。调整开发区现有能源结构，加快推进园区集中供热工程，集中供热范围外企业推行天然气等清洁能源。鼓励入园单位</w:t>
                  </w:r>
                  <w:r>
                    <w:rPr>
                      <w:rFonts w:hint="eastAsia"/>
                      <w:lang w:eastAsia="zh-CN"/>
                    </w:rPr>
                    <w:t>采用</w:t>
                  </w:r>
                  <w:r>
                    <w:rPr>
                      <w:rFonts w:hint="eastAsia"/>
                    </w:rPr>
                    <w:t>节能工艺，增加可利用资源的回收量，降低能耗。2020年，综合能源消费量控制在144.49万吨标煤，单位GDP能耗达到0.264标煤/万元，到2025年，综合能源消费量控制在235.17万吨标煤，单位GDP能耗达到0.267标煤/万元。（2）水资源：严格按照用水定额核定取用水量，进一步加强计划用水管理，强化行业和产品用水强度控制。到2020年武陵区水资源开发利用控制红线达到3.71亿立方米，万元国内生产总值用水量、万元工业增加值用水量分别比2015年降低 30%和22%。（3）土地资源：推进开发园区土地节约集约利用评价，控制开发园区新增用地规模。以国家产业发展政策为导向，科学合理安排各行各业用地。优先保障区域主导产业发展用地。入园项目投资强度原则上不低于200万元/亩。</w:t>
                  </w:r>
                </w:p>
              </w:tc>
              <w:tc>
                <w:tcPr>
                  <w:tcW w:w="1999" w:type="dxa"/>
                  <w:tcBorders>
                    <w:tl2br w:val="nil"/>
                    <w:tr2bl w:val="nil"/>
                  </w:tcBorders>
                  <w:noWrap w:val="0"/>
                  <w:tcMar>
                    <w:left w:w="108" w:type="dxa"/>
                    <w:right w:w="108" w:type="dxa"/>
                  </w:tcMar>
                  <w:vAlign w:val="center"/>
                </w:tcPr>
                <w:p>
                  <w:pPr>
                    <w:pStyle w:val="26"/>
                    <w:bidi w:val="0"/>
                    <w:jc w:val="center"/>
                    <w:rPr>
                      <w:rFonts w:hint="eastAsia"/>
                      <w:lang w:val="en-US" w:eastAsia="zh-CN"/>
                    </w:rPr>
                  </w:pPr>
                  <w:r>
                    <w:rPr>
                      <w:rFonts w:hint="eastAsia"/>
                      <w:lang w:eastAsia="zh-CN"/>
                    </w:rPr>
                    <w:t>本项目</w:t>
                  </w:r>
                  <w:r>
                    <w:rPr>
                      <w:rFonts w:hint="eastAsia"/>
                      <w:lang w:val="en-US" w:eastAsia="zh-CN"/>
                    </w:rPr>
                    <w:t>能源为电能</w:t>
                  </w:r>
                  <w:r>
                    <w:rPr>
                      <w:rFonts w:hint="eastAsia"/>
                      <w:lang w:eastAsia="zh-CN"/>
                    </w:rPr>
                    <w:t>，属于清洁能源；项目用水严格按照用水定额，且实现大部分废水回用</w:t>
                  </w:r>
                  <w:r>
                    <w:rPr>
                      <w:rFonts w:hint="eastAsia"/>
                      <w:lang w:val="en-US" w:eastAsia="zh-CN"/>
                    </w:rPr>
                    <w:t>；项目不新增用地，</w:t>
                  </w:r>
                  <w:r>
                    <w:rPr>
                      <w:rFonts w:hint="eastAsia"/>
                      <w:lang w:eastAsia="zh-CN"/>
                    </w:rPr>
                    <w:t>因此本项目与经开区</w:t>
                  </w:r>
                  <w:r>
                    <w:rPr>
                      <w:rFonts w:hint="eastAsia"/>
                    </w:rPr>
                    <w:t>资源开发效率要求</w:t>
                  </w:r>
                  <w:r>
                    <w:rPr>
                      <w:rFonts w:hint="eastAsia"/>
                      <w:lang w:eastAsia="zh-CN"/>
                    </w:rPr>
                    <w:t>相符。</w:t>
                  </w:r>
                </w:p>
              </w:tc>
            </w:tr>
          </w:tbl>
          <w:p>
            <w:pPr>
              <w:autoSpaceDE w:val="0"/>
              <w:autoSpaceDN w:val="0"/>
              <w:adjustRightInd w:val="0"/>
              <w:snapToGrid w:val="0"/>
              <w:spacing w:line="360" w:lineRule="auto"/>
              <w:ind w:firstLine="480" w:firstLineChars="200"/>
              <w:jc w:val="both"/>
              <w:rPr>
                <w:rFonts w:hint="default"/>
                <w:lang w:val="en-US"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rPr>
                <w:rFonts w:hint="eastAsia"/>
                <w:lang w:eastAsia="zh-CN"/>
              </w:rPr>
            </w:pPr>
          </w:p>
          <w:p>
            <w:pPr>
              <w:pStyle w:val="3"/>
              <w:rPr>
                <w:rFonts w:hint="eastAsia"/>
                <w:lang w:eastAsia="zh-CN"/>
              </w:rPr>
            </w:pPr>
          </w:p>
          <w:p>
            <w:pPr>
              <w:rPr>
                <w:rFonts w:hint="eastAsia"/>
                <w:lang w:eastAsia="zh-CN"/>
              </w:rPr>
            </w:pPr>
          </w:p>
          <w:p>
            <w:pPr>
              <w:pStyle w:val="2"/>
              <w:rPr>
                <w:rFonts w:hint="eastAsia"/>
                <w:lang w:eastAsia="zh-CN"/>
              </w:rPr>
            </w:pPr>
          </w:p>
          <w:p>
            <w:pPr>
              <w:pStyle w:val="3"/>
              <w:rPr>
                <w:rFonts w:hint="eastAsia"/>
                <w:lang w:eastAsia="zh-CN"/>
              </w:rPr>
            </w:pPr>
          </w:p>
          <w:p>
            <w:pPr>
              <w:rPr>
                <w:rFonts w:hint="eastAsia"/>
                <w:lang w:eastAsia="zh-CN"/>
              </w:rPr>
            </w:pPr>
          </w:p>
          <w:p>
            <w:pPr>
              <w:pStyle w:val="2"/>
              <w:rPr>
                <w:rFonts w:hint="eastAsia"/>
                <w:lang w:eastAsia="zh-CN"/>
              </w:rPr>
            </w:pPr>
          </w:p>
          <w:p>
            <w:pPr>
              <w:pStyle w:val="3"/>
              <w:rPr>
                <w:rFonts w:hint="eastAsia"/>
                <w:lang w:eastAsia="zh-CN"/>
              </w:rPr>
            </w:pPr>
          </w:p>
          <w:p>
            <w:pPr>
              <w:rPr>
                <w:rFonts w:hint="eastAsia"/>
                <w:lang w:eastAsia="zh-CN"/>
              </w:rPr>
            </w:pPr>
          </w:p>
          <w:p>
            <w:pPr>
              <w:pStyle w:val="2"/>
              <w:rPr>
                <w:rFonts w:hint="eastAsia"/>
                <w:lang w:eastAsia="zh-CN"/>
              </w:rPr>
            </w:pPr>
          </w:p>
          <w:p>
            <w:pPr>
              <w:pStyle w:val="3"/>
              <w:rPr>
                <w:rFonts w:hint="eastAsia"/>
                <w:lang w:eastAsia="zh-CN"/>
              </w:rPr>
            </w:pPr>
          </w:p>
          <w:p>
            <w:pPr>
              <w:rPr>
                <w:rFonts w:hint="eastAsia"/>
                <w:lang w:eastAsia="zh-CN"/>
              </w:rPr>
            </w:pPr>
          </w:p>
        </w:tc>
      </w:tr>
    </w:tbl>
    <w:p>
      <w:pPr>
        <w:pStyle w:val="5"/>
        <w:bidi w:val="0"/>
        <w:jc w:val="center"/>
        <w:rPr>
          <w:rFonts w:ascii="黑体" w:hAnsi="黑体" w:eastAsia="黑体"/>
          <w:snapToGrid w:val="0"/>
          <w:color w:val="FF0000"/>
          <w:sz w:val="30"/>
          <w:szCs w:val="30"/>
        </w:rPr>
      </w:pPr>
      <w:r>
        <w:rPr>
          <w:rFonts w:hint="eastAsia" w:ascii="黑体" w:hAnsi="黑体" w:eastAsia="黑体"/>
          <w:snapToGrid w:val="0"/>
          <w:color w:val="FF0000"/>
          <w:sz w:val="30"/>
          <w:szCs w:val="30"/>
        </w:rPr>
        <w:br w:type="page"/>
      </w:r>
      <w:bookmarkStart w:id="4" w:name="_Toc19917"/>
      <w:r>
        <w:rPr>
          <w:rFonts w:hint="eastAsia" w:ascii="黑体" w:hAnsi="黑体" w:eastAsia="黑体"/>
          <w:snapToGrid w:val="0"/>
          <w:color w:val="auto"/>
          <w:sz w:val="30"/>
          <w:szCs w:val="30"/>
        </w:rPr>
        <w:t>二、建设项目工程分析</w:t>
      </w:r>
      <w:bookmarkEnd w:id="4"/>
    </w:p>
    <w:tbl>
      <w:tblPr>
        <w:tblStyle w:val="17"/>
        <w:tblW w:w="88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0"/>
        <w:gridCol w:w="84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440" w:type="dxa"/>
            <w:noWrap w:val="0"/>
            <w:vAlign w:val="center"/>
          </w:tcPr>
          <w:p>
            <w:pPr>
              <w:pStyle w:val="14"/>
              <w:adjustRightInd w:val="0"/>
              <w:snapToGrid w:val="0"/>
              <w:spacing w:before="0" w:beforeAutospacing="0" w:after="0" w:afterAutospacing="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建设内容</w:t>
            </w:r>
          </w:p>
        </w:tc>
        <w:tc>
          <w:tcPr>
            <w:tcW w:w="8400" w:type="dxa"/>
            <w:noWrap w:val="0"/>
            <w:vAlign w:val="top"/>
          </w:tcPr>
          <w:p>
            <w:pPr>
              <w:pStyle w:val="2"/>
              <w:bidi w:val="0"/>
              <w:rPr>
                <w:rFonts w:hint="eastAsia"/>
                <w:lang w:val="en-US" w:eastAsia="zh-CN"/>
              </w:rPr>
            </w:pPr>
            <w:r>
              <w:rPr>
                <w:rFonts w:hint="eastAsia"/>
                <w:lang w:val="en-US" w:eastAsia="zh-CN"/>
              </w:rPr>
              <w:t>（一）建设内容</w:t>
            </w:r>
          </w:p>
          <w:p>
            <w:pPr>
              <w:pStyle w:val="6"/>
              <w:numPr>
                <w:ilvl w:val="0"/>
                <w:numId w:val="0"/>
              </w:numPr>
              <w:bidi w:val="0"/>
              <w:rPr>
                <w:rFonts w:hint="default" w:ascii="Times New Roman" w:hAnsi="Times New Roman" w:cs="Times New Roman"/>
                <w:lang w:val="en-US" w:eastAsia="zh-CN"/>
              </w:rPr>
            </w:pPr>
            <w:r>
              <w:rPr>
                <w:rFonts w:hint="default" w:ascii="Times New Roman" w:hAnsi="Times New Roman" w:cs="Times New Roman"/>
                <w:lang w:val="en-US" w:eastAsia="zh-CN"/>
              </w:rPr>
              <w:t>1、建设规模及内容</w:t>
            </w:r>
          </w:p>
          <w:p>
            <w:pPr>
              <w:bidi w:val="0"/>
              <w:spacing w:line="360" w:lineRule="auto"/>
              <w:ind w:firstLine="480" w:firstLineChars="200"/>
              <w:rPr>
                <w:rFonts w:hint="default"/>
                <w:sz w:val="24"/>
                <w:szCs w:val="24"/>
                <w:lang w:val="en-US" w:eastAsia="zh-CN"/>
              </w:rPr>
            </w:pPr>
            <w:r>
              <w:rPr>
                <w:rFonts w:hint="default"/>
                <w:sz w:val="24"/>
                <w:szCs w:val="24"/>
                <w:u w:val="single"/>
                <w:lang w:val="en-US" w:eastAsia="zh-CN"/>
              </w:rPr>
              <w:t>本项目建设地点位于常德经济技术开发区尚德路以北长安路以西</w:t>
            </w:r>
            <w:r>
              <w:rPr>
                <w:rFonts w:hint="eastAsia"/>
                <w:sz w:val="24"/>
                <w:szCs w:val="24"/>
                <w:u w:val="single"/>
                <w:lang w:val="en-US" w:eastAsia="zh-CN"/>
              </w:rPr>
              <w:t>地块</w:t>
            </w:r>
            <w:r>
              <w:rPr>
                <w:rFonts w:hint="default"/>
                <w:sz w:val="24"/>
                <w:szCs w:val="24"/>
                <w:u w:val="single"/>
                <w:lang w:val="en-US" w:eastAsia="zh-CN"/>
              </w:rPr>
              <w:t>。项目为</w:t>
            </w:r>
            <w:r>
              <w:rPr>
                <w:rFonts w:hint="eastAsia"/>
                <w:sz w:val="24"/>
                <w:szCs w:val="24"/>
                <w:u w:val="single"/>
                <w:lang w:val="en-US" w:eastAsia="zh-CN"/>
              </w:rPr>
              <w:t>新建项目</w:t>
            </w:r>
            <w:r>
              <w:rPr>
                <w:rFonts w:hint="default"/>
                <w:sz w:val="24"/>
                <w:szCs w:val="24"/>
                <w:u w:val="single"/>
                <w:lang w:val="en-US" w:eastAsia="zh-CN"/>
              </w:rPr>
              <w:t>，总</w:t>
            </w:r>
            <w:r>
              <w:rPr>
                <w:rFonts w:hint="eastAsia"/>
                <w:sz w:val="24"/>
                <w:szCs w:val="24"/>
                <w:u w:val="single"/>
                <w:lang w:val="en-US" w:eastAsia="zh-CN"/>
              </w:rPr>
              <w:t>占地</w:t>
            </w:r>
            <w:r>
              <w:rPr>
                <w:rFonts w:hint="default"/>
                <w:sz w:val="24"/>
                <w:szCs w:val="24"/>
                <w:u w:val="single"/>
                <w:lang w:val="en-US" w:eastAsia="zh-CN"/>
              </w:rPr>
              <w:t>面积</w:t>
            </w:r>
            <w:r>
              <w:rPr>
                <w:rFonts w:hint="eastAsia"/>
                <w:sz w:val="24"/>
                <w:szCs w:val="24"/>
                <w:u w:val="single"/>
                <w:lang w:val="en-US" w:eastAsia="zh-CN"/>
              </w:rPr>
              <w:t>33514</w:t>
            </w:r>
            <w:r>
              <w:rPr>
                <w:rFonts w:hint="default"/>
                <w:sz w:val="24"/>
                <w:szCs w:val="24"/>
                <w:u w:val="single"/>
                <w:lang w:val="en-US" w:eastAsia="zh-CN"/>
              </w:rPr>
              <w:t>m</w:t>
            </w:r>
            <w:r>
              <w:rPr>
                <w:rFonts w:hint="default"/>
                <w:sz w:val="24"/>
                <w:szCs w:val="24"/>
                <w:u w:val="single"/>
                <w:vertAlign w:val="superscript"/>
                <w:lang w:val="en-US" w:eastAsia="zh-CN"/>
              </w:rPr>
              <w:t>2</w:t>
            </w:r>
            <w:r>
              <w:rPr>
                <w:rFonts w:hint="eastAsia"/>
                <w:sz w:val="24"/>
                <w:szCs w:val="24"/>
                <w:u w:val="single"/>
                <w:vertAlign w:val="baseline"/>
                <w:lang w:val="en-US" w:eastAsia="zh-CN"/>
              </w:rPr>
              <w:t>，总建筑面积35193.99m</w:t>
            </w:r>
            <w:r>
              <w:rPr>
                <w:rFonts w:hint="eastAsia"/>
                <w:sz w:val="24"/>
                <w:szCs w:val="24"/>
                <w:u w:val="single"/>
                <w:vertAlign w:val="superscript"/>
                <w:lang w:val="en-US" w:eastAsia="zh-CN"/>
              </w:rPr>
              <w:t>2</w:t>
            </w:r>
            <w:r>
              <w:rPr>
                <w:rFonts w:hint="eastAsia"/>
                <w:sz w:val="24"/>
                <w:szCs w:val="24"/>
                <w:u w:val="single"/>
                <w:vertAlign w:val="baseline"/>
                <w:lang w:val="en-US" w:eastAsia="zh-CN"/>
              </w:rPr>
              <w:t>。</w:t>
            </w:r>
            <w:r>
              <w:rPr>
                <w:rFonts w:hint="eastAsia"/>
                <w:sz w:val="24"/>
                <w:szCs w:val="24"/>
                <w:u w:val="single"/>
                <w:lang w:val="en-US" w:eastAsia="zh-CN"/>
              </w:rPr>
              <w:t>建设内容包括</w:t>
            </w:r>
            <w:r>
              <w:rPr>
                <w:rFonts w:hint="default"/>
                <w:sz w:val="24"/>
                <w:szCs w:val="24"/>
                <w:u w:val="single"/>
                <w:lang w:val="en-US" w:eastAsia="zh-CN"/>
              </w:rPr>
              <w:t>生产车间</w:t>
            </w:r>
            <w:r>
              <w:rPr>
                <w:rFonts w:hint="eastAsia"/>
                <w:sz w:val="24"/>
                <w:szCs w:val="24"/>
                <w:u w:val="single"/>
                <w:lang w:val="en-US" w:eastAsia="zh-CN"/>
              </w:rPr>
              <w:t>15315.14</w:t>
            </w:r>
            <w:r>
              <w:rPr>
                <w:rFonts w:hint="default"/>
                <w:sz w:val="24"/>
                <w:szCs w:val="24"/>
                <w:u w:val="single"/>
                <w:lang w:val="en-US" w:eastAsia="zh-CN"/>
              </w:rPr>
              <w:t>m</w:t>
            </w:r>
            <w:r>
              <w:rPr>
                <w:rFonts w:hint="default"/>
                <w:sz w:val="24"/>
                <w:szCs w:val="24"/>
                <w:u w:val="single"/>
                <w:vertAlign w:val="superscript"/>
                <w:lang w:val="en-US" w:eastAsia="zh-CN"/>
              </w:rPr>
              <w:t>2</w:t>
            </w:r>
            <w:r>
              <w:rPr>
                <w:rFonts w:hint="default"/>
                <w:sz w:val="24"/>
                <w:szCs w:val="24"/>
                <w:u w:val="single"/>
                <w:lang w:val="en-US" w:eastAsia="zh-CN"/>
              </w:rPr>
              <w:t>、仓库</w:t>
            </w:r>
            <w:r>
              <w:rPr>
                <w:rFonts w:hint="eastAsia"/>
                <w:sz w:val="24"/>
                <w:szCs w:val="24"/>
                <w:u w:val="single"/>
                <w:lang w:val="en-US" w:eastAsia="zh-CN"/>
              </w:rPr>
              <w:t>7541.15</w:t>
            </w:r>
            <w:r>
              <w:rPr>
                <w:rFonts w:hint="default"/>
                <w:sz w:val="24"/>
                <w:szCs w:val="24"/>
                <w:u w:val="single"/>
                <w:lang w:val="en-US" w:eastAsia="zh-CN"/>
              </w:rPr>
              <w:t>m</w:t>
            </w:r>
            <w:r>
              <w:rPr>
                <w:rFonts w:hint="default"/>
                <w:sz w:val="24"/>
                <w:szCs w:val="24"/>
                <w:u w:val="single"/>
                <w:vertAlign w:val="superscript"/>
                <w:lang w:val="en-US" w:eastAsia="zh-CN"/>
              </w:rPr>
              <w:t>2</w:t>
            </w:r>
            <w:r>
              <w:rPr>
                <w:rFonts w:hint="default"/>
                <w:sz w:val="24"/>
                <w:szCs w:val="24"/>
                <w:u w:val="single"/>
                <w:lang w:val="en-US" w:eastAsia="zh-CN"/>
              </w:rPr>
              <w:t>、质检研发大楼</w:t>
            </w:r>
            <w:r>
              <w:rPr>
                <w:rFonts w:hint="eastAsia"/>
                <w:sz w:val="24"/>
                <w:szCs w:val="24"/>
                <w:u w:val="single"/>
                <w:lang w:val="en-US" w:eastAsia="zh-CN"/>
              </w:rPr>
              <w:t>6599.98</w:t>
            </w:r>
            <w:r>
              <w:rPr>
                <w:rFonts w:hint="default"/>
                <w:sz w:val="24"/>
                <w:szCs w:val="24"/>
                <w:u w:val="single"/>
                <w:lang w:val="en-US" w:eastAsia="zh-CN"/>
              </w:rPr>
              <w:t>m</w:t>
            </w:r>
            <w:r>
              <w:rPr>
                <w:rFonts w:hint="default"/>
                <w:sz w:val="24"/>
                <w:szCs w:val="24"/>
                <w:u w:val="single"/>
                <w:vertAlign w:val="superscript"/>
                <w:lang w:val="en-US" w:eastAsia="zh-CN"/>
              </w:rPr>
              <w:t>2</w:t>
            </w:r>
            <w:r>
              <w:rPr>
                <w:rFonts w:hint="default"/>
                <w:sz w:val="24"/>
                <w:szCs w:val="24"/>
                <w:u w:val="single"/>
                <w:lang w:val="en-US" w:eastAsia="zh-CN"/>
              </w:rPr>
              <w:t>、综合办公大楼</w:t>
            </w:r>
            <w:r>
              <w:rPr>
                <w:rFonts w:hint="eastAsia"/>
                <w:sz w:val="24"/>
                <w:szCs w:val="24"/>
                <w:u w:val="single"/>
                <w:lang w:val="en-US" w:eastAsia="zh-CN"/>
              </w:rPr>
              <w:t>2926.27</w:t>
            </w:r>
            <w:r>
              <w:rPr>
                <w:rFonts w:hint="default"/>
                <w:sz w:val="24"/>
                <w:szCs w:val="24"/>
                <w:u w:val="single"/>
                <w:lang w:val="en-US" w:eastAsia="zh-CN"/>
              </w:rPr>
              <w:t>m</w:t>
            </w:r>
            <w:r>
              <w:rPr>
                <w:rFonts w:hint="default"/>
                <w:sz w:val="24"/>
                <w:szCs w:val="24"/>
                <w:u w:val="single"/>
                <w:vertAlign w:val="superscript"/>
                <w:lang w:val="en-US" w:eastAsia="zh-CN"/>
              </w:rPr>
              <w:t>2</w:t>
            </w:r>
            <w:r>
              <w:rPr>
                <w:rFonts w:hint="default"/>
                <w:sz w:val="24"/>
                <w:szCs w:val="24"/>
                <w:u w:val="single"/>
                <w:lang w:val="en-US" w:eastAsia="zh-CN"/>
              </w:rPr>
              <w:t>、辅助生产建筑</w:t>
            </w:r>
            <w:r>
              <w:rPr>
                <w:rFonts w:hint="eastAsia"/>
                <w:sz w:val="24"/>
                <w:szCs w:val="24"/>
                <w:u w:val="single"/>
                <w:lang w:val="en-US" w:eastAsia="zh-CN"/>
              </w:rPr>
              <w:t>737.12</w:t>
            </w:r>
            <w:r>
              <w:rPr>
                <w:rFonts w:hint="default"/>
                <w:sz w:val="24"/>
                <w:szCs w:val="24"/>
                <w:u w:val="single"/>
                <w:lang w:val="en-US" w:eastAsia="zh-CN"/>
              </w:rPr>
              <w:t>m</w:t>
            </w:r>
            <w:r>
              <w:rPr>
                <w:rFonts w:hint="default"/>
                <w:sz w:val="24"/>
                <w:szCs w:val="24"/>
                <w:u w:val="single"/>
                <w:vertAlign w:val="superscript"/>
                <w:lang w:val="en-US" w:eastAsia="zh-CN"/>
              </w:rPr>
              <w:t>2</w:t>
            </w:r>
            <w:r>
              <w:rPr>
                <w:rFonts w:hint="default"/>
                <w:sz w:val="24"/>
                <w:szCs w:val="24"/>
                <w:u w:val="single"/>
                <w:lang w:val="en-US" w:eastAsia="zh-CN"/>
              </w:rPr>
              <w:t>。</w:t>
            </w:r>
            <w:r>
              <w:rPr>
                <w:rFonts w:hint="eastAsia"/>
                <w:sz w:val="24"/>
                <w:szCs w:val="24"/>
                <w:u w:val="single"/>
                <w:lang w:val="en-US" w:eastAsia="zh-CN"/>
              </w:rPr>
              <w:t>本项目建设单位湖南长常药业有限公司属于湖南埃威格林医药科技有限公司下属全资子公司，项目前期入园过程中由总公司湖南埃威格林医药科技有限公司与常德经济技术开发区管理委员会签订了招商引资协议书（见附件3）。本项目发改委备案文件中项目实施过程分三期进行，根据建设单位规划，本项目实际分两期建设，其中一期工程为整个地块土建工程，由常德德润产业发展有限公司、中建五局共同承建，二期工程为整个厂区装修及设备安装，由湖南长常药业有限公司承建。</w:t>
            </w:r>
          </w:p>
          <w:p>
            <w:pPr>
              <w:pStyle w:val="27"/>
              <w:bidi w:val="0"/>
              <w:rPr>
                <w:rFonts w:hint="default"/>
                <w:lang w:val="en-US" w:eastAsia="zh-CN"/>
              </w:rPr>
            </w:pPr>
            <w:r>
              <w:rPr>
                <w:rFonts w:hint="default"/>
                <w:lang w:val="en-US" w:eastAsia="zh-CN"/>
              </w:rPr>
              <w:t>表2-</w:t>
            </w:r>
            <w:r>
              <w:rPr>
                <w:rFonts w:hint="eastAsia"/>
                <w:lang w:val="en-US" w:eastAsia="zh-CN"/>
              </w:rPr>
              <w:t>1</w:t>
            </w:r>
            <w:r>
              <w:rPr>
                <w:rFonts w:hint="default"/>
                <w:lang w:val="en-US" w:eastAsia="zh-CN"/>
              </w:rPr>
              <w:t xml:space="preserve">  项目组成一览表</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3"/>
              <w:gridCol w:w="1170"/>
              <w:gridCol w:w="2643"/>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noWrap w:val="0"/>
                  <w:vAlign w:val="center"/>
                </w:tcPr>
                <w:p>
                  <w:pPr>
                    <w:pStyle w:val="26"/>
                    <w:bidi w:val="0"/>
                    <w:jc w:val="center"/>
                    <w:rPr>
                      <w:rFonts w:hint="eastAsia"/>
                      <w:b/>
                      <w:bCs/>
                    </w:rPr>
                  </w:pPr>
                  <w:r>
                    <w:rPr>
                      <w:rFonts w:hint="eastAsia"/>
                      <w:b/>
                      <w:bCs/>
                    </w:rPr>
                    <w:t>项目类别</w:t>
                  </w:r>
                </w:p>
              </w:tc>
              <w:tc>
                <w:tcPr>
                  <w:tcW w:w="1146" w:type="pct"/>
                  <w:gridSpan w:val="2"/>
                  <w:noWrap w:val="0"/>
                  <w:vAlign w:val="center"/>
                </w:tcPr>
                <w:p>
                  <w:pPr>
                    <w:pStyle w:val="26"/>
                    <w:bidi w:val="0"/>
                    <w:jc w:val="center"/>
                    <w:rPr>
                      <w:rFonts w:hint="eastAsia"/>
                      <w:b/>
                      <w:bCs/>
                    </w:rPr>
                  </w:pPr>
                  <w:r>
                    <w:rPr>
                      <w:rFonts w:hint="eastAsia"/>
                      <w:b/>
                      <w:bCs/>
                    </w:rPr>
                    <w:t>建设项目内容</w:t>
                  </w:r>
                </w:p>
              </w:tc>
              <w:tc>
                <w:tcPr>
                  <w:tcW w:w="1618" w:type="pct"/>
                  <w:noWrap w:val="0"/>
                  <w:vAlign w:val="center"/>
                </w:tcPr>
                <w:p>
                  <w:pPr>
                    <w:pStyle w:val="26"/>
                    <w:bidi w:val="0"/>
                    <w:jc w:val="center"/>
                    <w:rPr>
                      <w:rFonts w:hint="eastAsia"/>
                      <w:b/>
                      <w:bCs/>
                    </w:rPr>
                  </w:pPr>
                  <w:r>
                    <w:rPr>
                      <w:rFonts w:hint="eastAsia"/>
                      <w:b/>
                      <w:bCs/>
                    </w:rPr>
                    <w:t>建设规模</w:t>
                  </w:r>
                </w:p>
              </w:tc>
              <w:tc>
                <w:tcPr>
                  <w:tcW w:w="1844" w:type="pct"/>
                  <w:noWrap w:val="0"/>
                  <w:vAlign w:val="center"/>
                </w:tcPr>
                <w:p>
                  <w:pPr>
                    <w:pStyle w:val="26"/>
                    <w:bidi w:val="0"/>
                    <w:jc w:val="center"/>
                    <w:rPr>
                      <w:rFonts w:hint="eastAsia"/>
                      <w:b/>
                      <w:bCs/>
                      <w:lang w:eastAsia="zh-CN"/>
                    </w:rPr>
                  </w:pPr>
                  <w:r>
                    <w:rPr>
                      <w:rFonts w:hint="eastAsia"/>
                      <w:b/>
                      <w:bCs/>
                    </w:rPr>
                    <w:t>建筑物功能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Merge w:val="restart"/>
                  <w:noWrap w:val="0"/>
                  <w:vAlign w:val="center"/>
                </w:tcPr>
                <w:p>
                  <w:pPr>
                    <w:pStyle w:val="26"/>
                    <w:bidi w:val="0"/>
                    <w:jc w:val="center"/>
                    <w:rPr>
                      <w:rFonts w:hint="eastAsia"/>
                    </w:rPr>
                  </w:pPr>
                  <w:r>
                    <w:rPr>
                      <w:rFonts w:hint="eastAsia"/>
                    </w:rPr>
                    <w:t>主体工程</w:t>
                  </w:r>
                </w:p>
              </w:tc>
              <w:tc>
                <w:tcPr>
                  <w:tcW w:w="1146" w:type="pct"/>
                  <w:gridSpan w:val="2"/>
                  <w:noWrap w:val="0"/>
                  <w:vAlign w:val="center"/>
                </w:tcPr>
                <w:p>
                  <w:pPr>
                    <w:pStyle w:val="26"/>
                    <w:bidi w:val="0"/>
                    <w:jc w:val="center"/>
                    <w:rPr>
                      <w:rFonts w:hint="eastAsia" w:eastAsia="宋体"/>
                      <w:u w:val="single"/>
                      <w:lang w:val="en-US" w:eastAsia="zh-CN"/>
                    </w:rPr>
                  </w:pPr>
                  <w:r>
                    <w:rPr>
                      <w:rFonts w:hint="eastAsia"/>
                      <w:u w:val="single"/>
                      <w:lang w:eastAsia="zh-CN"/>
                    </w:rPr>
                    <w:t>生产车间</w:t>
                  </w:r>
                </w:p>
              </w:tc>
              <w:tc>
                <w:tcPr>
                  <w:tcW w:w="1618" w:type="pct"/>
                  <w:noWrap w:val="0"/>
                  <w:vAlign w:val="center"/>
                </w:tcPr>
                <w:p>
                  <w:pPr>
                    <w:pStyle w:val="26"/>
                    <w:bidi w:val="0"/>
                    <w:jc w:val="center"/>
                    <w:rPr>
                      <w:rFonts w:hint="default"/>
                      <w:u w:val="single"/>
                      <w:lang w:val="en-US" w:eastAsia="zh-CN"/>
                    </w:rPr>
                  </w:pPr>
                  <w:r>
                    <w:rPr>
                      <w:rFonts w:hint="eastAsia"/>
                      <w:u w:val="single"/>
                      <w:lang w:val="en-US" w:eastAsia="zh-CN"/>
                    </w:rPr>
                    <w:t>一栋，共3层，框架结构，总建筑面积15315.14</w:t>
                  </w:r>
                  <w:r>
                    <w:rPr>
                      <w:rFonts w:hint="eastAsia"/>
                      <w:u w:val="single"/>
                    </w:rPr>
                    <w:t>m</w:t>
                  </w:r>
                  <w:r>
                    <w:rPr>
                      <w:rFonts w:hint="eastAsia"/>
                      <w:u w:val="single"/>
                      <w:vertAlign w:val="superscript"/>
                    </w:rPr>
                    <w:t>2</w:t>
                  </w:r>
                </w:p>
              </w:tc>
              <w:tc>
                <w:tcPr>
                  <w:tcW w:w="1844" w:type="pct"/>
                  <w:noWrap w:val="0"/>
                  <w:vAlign w:val="center"/>
                </w:tcPr>
                <w:p>
                  <w:pPr>
                    <w:pStyle w:val="26"/>
                    <w:bidi w:val="0"/>
                    <w:jc w:val="center"/>
                    <w:rPr>
                      <w:rFonts w:hint="default"/>
                      <w:u w:val="single"/>
                      <w:lang w:val="en-US" w:eastAsia="zh-CN"/>
                    </w:rPr>
                  </w:pPr>
                  <w:r>
                    <w:rPr>
                      <w:rFonts w:hint="eastAsia"/>
                      <w:u w:val="single"/>
                      <w:lang w:val="en-US" w:eastAsia="zh-CN"/>
                    </w:rPr>
                    <w:t>其中1楼生产冻干、部分注射液、胶囊剂产品，2楼生产部分注射液产品，3楼生产固体剂产品（颗粒剂、片剂）。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Merge w:val="continue"/>
                  <w:noWrap w:val="0"/>
                  <w:vAlign w:val="center"/>
                </w:tcPr>
                <w:p>
                  <w:pPr>
                    <w:pStyle w:val="26"/>
                    <w:bidi w:val="0"/>
                    <w:jc w:val="center"/>
                    <w:rPr>
                      <w:rFonts w:hint="eastAsia"/>
                    </w:rPr>
                  </w:pPr>
                </w:p>
              </w:tc>
              <w:tc>
                <w:tcPr>
                  <w:tcW w:w="1146" w:type="pct"/>
                  <w:gridSpan w:val="2"/>
                  <w:noWrap w:val="0"/>
                  <w:vAlign w:val="center"/>
                </w:tcPr>
                <w:p>
                  <w:pPr>
                    <w:pStyle w:val="26"/>
                    <w:bidi w:val="0"/>
                    <w:jc w:val="center"/>
                    <w:rPr>
                      <w:rFonts w:hint="eastAsia" w:eastAsia="宋体"/>
                      <w:u w:val="single"/>
                      <w:lang w:val="en-US" w:eastAsia="zh-CN"/>
                    </w:rPr>
                  </w:pPr>
                  <w:r>
                    <w:rPr>
                      <w:rFonts w:hint="eastAsia"/>
                      <w:u w:val="single"/>
                      <w:lang w:eastAsia="zh-CN"/>
                    </w:rPr>
                    <w:t>质检研发楼</w:t>
                  </w:r>
                </w:p>
              </w:tc>
              <w:tc>
                <w:tcPr>
                  <w:tcW w:w="1618" w:type="pct"/>
                  <w:noWrap w:val="0"/>
                  <w:vAlign w:val="center"/>
                </w:tcPr>
                <w:p>
                  <w:pPr>
                    <w:pStyle w:val="26"/>
                    <w:bidi w:val="0"/>
                    <w:jc w:val="center"/>
                    <w:rPr>
                      <w:rFonts w:hint="eastAsia"/>
                      <w:u w:val="single"/>
                      <w:lang w:val="en-US" w:eastAsia="zh-CN"/>
                    </w:rPr>
                  </w:pPr>
                  <w:r>
                    <w:rPr>
                      <w:rFonts w:hint="eastAsia"/>
                      <w:u w:val="single"/>
                      <w:lang w:val="en-US" w:eastAsia="zh-CN"/>
                    </w:rPr>
                    <w:t>一栋，共5层，框架结构，总建筑面积6599.98</w:t>
                  </w:r>
                  <w:r>
                    <w:rPr>
                      <w:rFonts w:hint="eastAsia"/>
                      <w:u w:val="single"/>
                    </w:rPr>
                    <w:t>m</w:t>
                  </w:r>
                  <w:r>
                    <w:rPr>
                      <w:rFonts w:hint="eastAsia"/>
                      <w:u w:val="single"/>
                      <w:vertAlign w:val="superscript"/>
                    </w:rPr>
                    <w:t>2</w:t>
                  </w:r>
                  <w:r>
                    <w:rPr>
                      <w:rFonts w:hint="eastAsia"/>
                      <w:u w:val="single"/>
                      <w:lang w:val="en-US" w:eastAsia="zh-CN"/>
                    </w:rPr>
                    <w:t xml:space="preserve"> </w:t>
                  </w:r>
                </w:p>
              </w:tc>
              <w:tc>
                <w:tcPr>
                  <w:tcW w:w="1844" w:type="pct"/>
                  <w:noWrap w:val="0"/>
                  <w:vAlign w:val="center"/>
                </w:tcPr>
                <w:p>
                  <w:pPr>
                    <w:pStyle w:val="26"/>
                    <w:bidi w:val="0"/>
                    <w:jc w:val="center"/>
                    <w:rPr>
                      <w:rFonts w:hint="default"/>
                      <w:u w:val="single"/>
                      <w:lang w:val="en-US" w:eastAsia="zh-CN"/>
                    </w:rPr>
                  </w:pPr>
                  <w:r>
                    <w:rPr>
                      <w:rFonts w:hint="eastAsia"/>
                      <w:u w:val="single"/>
                      <w:lang w:val="en-US" w:eastAsia="zh-CN"/>
                    </w:rPr>
                    <w:t>4、5楼用于产品质量检测及产品研发，1、2、3楼用于行政人员办公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Merge w:val="restart"/>
                  <w:noWrap w:val="0"/>
                  <w:vAlign w:val="center"/>
                </w:tcPr>
                <w:p>
                  <w:pPr>
                    <w:pStyle w:val="26"/>
                    <w:bidi w:val="0"/>
                    <w:jc w:val="center"/>
                    <w:rPr>
                      <w:rFonts w:hint="eastAsia" w:eastAsia="宋体"/>
                      <w:lang w:eastAsia="zh-CN"/>
                    </w:rPr>
                  </w:pPr>
                  <w:r>
                    <w:rPr>
                      <w:rFonts w:hint="eastAsia"/>
                      <w:lang w:eastAsia="zh-CN"/>
                    </w:rPr>
                    <w:t>辅助工程</w:t>
                  </w:r>
                </w:p>
              </w:tc>
              <w:tc>
                <w:tcPr>
                  <w:tcW w:w="1146" w:type="pct"/>
                  <w:gridSpan w:val="2"/>
                  <w:noWrap w:val="0"/>
                  <w:vAlign w:val="center"/>
                </w:tcPr>
                <w:p>
                  <w:pPr>
                    <w:pStyle w:val="26"/>
                    <w:bidi w:val="0"/>
                    <w:jc w:val="center"/>
                    <w:rPr>
                      <w:rFonts w:hint="eastAsia"/>
                      <w:lang w:eastAsia="zh-CN"/>
                    </w:rPr>
                  </w:pPr>
                  <w:r>
                    <w:rPr>
                      <w:rFonts w:hint="eastAsia"/>
                      <w:lang w:eastAsia="zh-CN"/>
                    </w:rPr>
                    <w:t>综合楼</w:t>
                  </w:r>
                </w:p>
              </w:tc>
              <w:tc>
                <w:tcPr>
                  <w:tcW w:w="1618" w:type="pct"/>
                  <w:noWrap w:val="0"/>
                  <w:vAlign w:val="center"/>
                </w:tcPr>
                <w:p>
                  <w:pPr>
                    <w:pStyle w:val="26"/>
                    <w:bidi w:val="0"/>
                    <w:jc w:val="center"/>
                    <w:rPr>
                      <w:rFonts w:hint="eastAsia"/>
                      <w:lang w:val="en-US" w:eastAsia="zh-CN"/>
                    </w:rPr>
                  </w:pPr>
                  <w:r>
                    <w:rPr>
                      <w:rFonts w:hint="eastAsia"/>
                      <w:lang w:val="en-US" w:eastAsia="zh-CN"/>
                    </w:rPr>
                    <w:t>一栋，共4层，框架结构，总建筑面积2926.27</w:t>
                  </w:r>
                  <w:r>
                    <w:rPr>
                      <w:rFonts w:hint="eastAsia"/>
                    </w:rPr>
                    <w:t>m</w:t>
                  </w:r>
                  <w:r>
                    <w:rPr>
                      <w:rFonts w:hint="eastAsia"/>
                      <w:vertAlign w:val="superscript"/>
                    </w:rPr>
                    <w:t>2</w:t>
                  </w:r>
                </w:p>
              </w:tc>
              <w:tc>
                <w:tcPr>
                  <w:tcW w:w="1844" w:type="pct"/>
                  <w:noWrap w:val="0"/>
                  <w:vAlign w:val="center"/>
                </w:tcPr>
                <w:p>
                  <w:pPr>
                    <w:pStyle w:val="26"/>
                    <w:bidi w:val="0"/>
                    <w:jc w:val="center"/>
                    <w:rPr>
                      <w:rFonts w:hint="default"/>
                      <w:lang w:val="en-US" w:eastAsia="zh-CN"/>
                    </w:rPr>
                  </w:pPr>
                  <w:r>
                    <w:rPr>
                      <w:rFonts w:hint="eastAsia"/>
                      <w:lang w:val="en-US" w:eastAsia="zh-CN"/>
                    </w:rPr>
                    <w:t>用于生产人员宿舍及食堂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Merge w:val="continue"/>
                  <w:noWrap w:val="0"/>
                  <w:vAlign w:val="center"/>
                </w:tcPr>
                <w:p>
                  <w:pPr>
                    <w:pStyle w:val="26"/>
                    <w:bidi w:val="0"/>
                    <w:jc w:val="center"/>
                    <w:rPr>
                      <w:rFonts w:hint="eastAsia"/>
                      <w:lang w:eastAsia="zh-CN"/>
                    </w:rPr>
                  </w:pPr>
                </w:p>
              </w:tc>
              <w:tc>
                <w:tcPr>
                  <w:tcW w:w="1146" w:type="pct"/>
                  <w:gridSpan w:val="2"/>
                  <w:noWrap w:val="0"/>
                  <w:vAlign w:val="center"/>
                </w:tcPr>
                <w:p>
                  <w:pPr>
                    <w:pStyle w:val="26"/>
                    <w:bidi w:val="0"/>
                    <w:jc w:val="center"/>
                    <w:rPr>
                      <w:rFonts w:hint="eastAsia"/>
                      <w:lang w:eastAsia="zh-CN"/>
                    </w:rPr>
                  </w:pPr>
                  <w:r>
                    <w:rPr>
                      <w:rFonts w:hint="eastAsia"/>
                      <w:lang w:eastAsia="zh-CN"/>
                    </w:rPr>
                    <w:t>食堂</w:t>
                  </w:r>
                </w:p>
              </w:tc>
              <w:tc>
                <w:tcPr>
                  <w:tcW w:w="1618" w:type="pct"/>
                  <w:noWrap w:val="0"/>
                  <w:vAlign w:val="center"/>
                </w:tcPr>
                <w:p>
                  <w:pPr>
                    <w:pStyle w:val="26"/>
                    <w:bidi w:val="0"/>
                    <w:jc w:val="center"/>
                    <w:rPr>
                      <w:rFonts w:hint="eastAsia"/>
                      <w:lang w:val="en-US" w:eastAsia="zh-CN"/>
                    </w:rPr>
                  </w:pPr>
                  <w:r>
                    <w:rPr>
                      <w:rFonts w:hint="eastAsia"/>
                      <w:lang w:val="en-US" w:eastAsia="zh-CN"/>
                    </w:rPr>
                    <w:t>位于综合楼一楼，总建筑面积792.68</w:t>
                  </w:r>
                  <w:r>
                    <w:rPr>
                      <w:rFonts w:hint="eastAsia"/>
                    </w:rPr>
                    <w:t>m</w:t>
                  </w:r>
                  <w:r>
                    <w:rPr>
                      <w:rFonts w:hint="eastAsia"/>
                      <w:vertAlign w:val="superscript"/>
                    </w:rPr>
                    <w:t>2</w:t>
                  </w:r>
                </w:p>
              </w:tc>
              <w:tc>
                <w:tcPr>
                  <w:tcW w:w="1844" w:type="pct"/>
                  <w:noWrap w:val="0"/>
                  <w:vAlign w:val="center"/>
                </w:tcPr>
                <w:p>
                  <w:pPr>
                    <w:pStyle w:val="26"/>
                    <w:bidi w:val="0"/>
                    <w:jc w:val="center"/>
                    <w:rPr>
                      <w:rFonts w:hint="eastAsia"/>
                      <w:lang w:val="en-US" w:eastAsia="zh-CN"/>
                    </w:rPr>
                  </w:pPr>
                  <w:r>
                    <w:rPr>
                      <w:rFonts w:hint="eastAsia"/>
                      <w:lang w:val="en-US" w:eastAsia="zh-CN"/>
                    </w:rPr>
                    <w:t>用于生产人员用餐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91" w:type="pct"/>
                  <w:vMerge w:val="restart"/>
                  <w:noWrap w:val="0"/>
                  <w:vAlign w:val="center"/>
                </w:tcPr>
                <w:p>
                  <w:pPr>
                    <w:pStyle w:val="26"/>
                    <w:bidi w:val="0"/>
                    <w:jc w:val="center"/>
                    <w:rPr>
                      <w:rFonts w:hint="eastAsia"/>
                      <w:lang w:eastAsia="zh-CN"/>
                    </w:rPr>
                  </w:pPr>
                  <w:r>
                    <w:rPr>
                      <w:rFonts w:hint="eastAsia"/>
                      <w:lang w:eastAsia="zh-CN"/>
                    </w:rPr>
                    <w:t>公用工程</w:t>
                  </w:r>
                </w:p>
              </w:tc>
              <w:tc>
                <w:tcPr>
                  <w:tcW w:w="1146" w:type="pct"/>
                  <w:gridSpan w:val="2"/>
                  <w:noWrap w:val="0"/>
                  <w:vAlign w:val="center"/>
                </w:tcPr>
                <w:p>
                  <w:pPr>
                    <w:pStyle w:val="26"/>
                    <w:bidi w:val="0"/>
                    <w:jc w:val="center"/>
                    <w:rPr>
                      <w:rFonts w:hint="eastAsia"/>
                      <w:lang w:eastAsia="zh-CN"/>
                    </w:rPr>
                  </w:pPr>
                  <w:r>
                    <w:rPr>
                      <w:rFonts w:hint="eastAsia"/>
                      <w:lang w:val="en-US" w:eastAsia="zh-CN"/>
                    </w:rPr>
                    <w:t>给水</w:t>
                  </w:r>
                </w:p>
              </w:tc>
              <w:tc>
                <w:tcPr>
                  <w:tcW w:w="3462" w:type="pct"/>
                  <w:gridSpan w:val="2"/>
                  <w:noWrap w:val="0"/>
                  <w:vAlign w:val="center"/>
                </w:tcPr>
                <w:p>
                  <w:pPr>
                    <w:pStyle w:val="26"/>
                    <w:bidi w:val="0"/>
                    <w:jc w:val="center"/>
                    <w:rPr>
                      <w:rFonts w:hint="default"/>
                      <w:lang w:val="en-US" w:eastAsia="zh-CN"/>
                    </w:rPr>
                  </w:pPr>
                  <w:r>
                    <w:rPr>
                      <w:rFonts w:hint="eastAsia"/>
                      <w:lang w:val="en-US" w:eastAsia="zh-CN"/>
                    </w:rPr>
                    <w:t xml:space="preserve"> 生产及生活用水均来源于城市自来水管网，产品质检用纯水由厂区制水设备制备。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Merge w:val="continue"/>
                  <w:noWrap w:val="0"/>
                  <w:vAlign w:val="center"/>
                </w:tcPr>
                <w:p>
                  <w:pPr>
                    <w:pStyle w:val="26"/>
                    <w:bidi w:val="0"/>
                    <w:jc w:val="center"/>
                    <w:rPr>
                      <w:rFonts w:hint="eastAsia"/>
                      <w:lang w:eastAsia="zh-CN"/>
                    </w:rPr>
                  </w:pPr>
                </w:p>
              </w:tc>
              <w:tc>
                <w:tcPr>
                  <w:tcW w:w="1146" w:type="pct"/>
                  <w:gridSpan w:val="2"/>
                  <w:noWrap w:val="0"/>
                  <w:vAlign w:val="center"/>
                </w:tcPr>
                <w:p>
                  <w:pPr>
                    <w:pStyle w:val="26"/>
                    <w:bidi w:val="0"/>
                    <w:jc w:val="center"/>
                    <w:rPr>
                      <w:rFonts w:hint="eastAsia"/>
                    </w:rPr>
                  </w:pPr>
                  <w:r>
                    <w:rPr>
                      <w:rFonts w:hint="eastAsia"/>
                      <w:lang w:val="en-US" w:eastAsia="zh-CN"/>
                    </w:rPr>
                    <w:t>排水</w:t>
                  </w:r>
                </w:p>
              </w:tc>
              <w:tc>
                <w:tcPr>
                  <w:tcW w:w="3462" w:type="pct"/>
                  <w:gridSpan w:val="2"/>
                  <w:noWrap w:val="0"/>
                  <w:vAlign w:val="center"/>
                </w:tcPr>
                <w:p>
                  <w:pPr>
                    <w:pStyle w:val="26"/>
                    <w:bidi w:val="0"/>
                    <w:jc w:val="center"/>
                    <w:rPr>
                      <w:rFonts w:hint="eastAsia"/>
                      <w:lang w:val="en-US" w:eastAsia="zh-CN"/>
                    </w:rPr>
                  </w:pPr>
                  <w:r>
                    <w:rPr>
                      <w:rFonts w:hint="eastAsia"/>
                      <w:lang w:val="en-US" w:eastAsia="zh-CN"/>
                    </w:rPr>
                    <w:t>厂区雨污分流、污污分流，生活废水经化粪池处理后再进入厂区污水处理站，与生产废水一并处理后排入市政污水管网，最后进入德山污水处理厂。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391" w:type="pct"/>
                  <w:vMerge w:val="continue"/>
                  <w:noWrap w:val="0"/>
                  <w:vAlign w:val="center"/>
                </w:tcPr>
                <w:p>
                  <w:pPr>
                    <w:pStyle w:val="26"/>
                    <w:bidi w:val="0"/>
                    <w:jc w:val="center"/>
                    <w:rPr>
                      <w:rFonts w:hint="eastAsia"/>
                      <w:lang w:eastAsia="zh-CN"/>
                    </w:rPr>
                  </w:pPr>
                </w:p>
              </w:tc>
              <w:tc>
                <w:tcPr>
                  <w:tcW w:w="1146" w:type="pct"/>
                  <w:gridSpan w:val="2"/>
                  <w:noWrap w:val="0"/>
                  <w:vAlign w:val="center"/>
                </w:tcPr>
                <w:p>
                  <w:pPr>
                    <w:pStyle w:val="26"/>
                    <w:bidi w:val="0"/>
                    <w:jc w:val="center"/>
                    <w:rPr>
                      <w:rFonts w:hint="eastAsia"/>
                    </w:rPr>
                  </w:pPr>
                  <w:r>
                    <w:rPr>
                      <w:rFonts w:hint="eastAsia"/>
                      <w:lang w:val="en-US" w:eastAsia="zh-CN"/>
                    </w:rPr>
                    <w:t>供热</w:t>
                  </w:r>
                </w:p>
              </w:tc>
              <w:tc>
                <w:tcPr>
                  <w:tcW w:w="3462" w:type="pct"/>
                  <w:gridSpan w:val="2"/>
                  <w:noWrap w:val="0"/>
                  <w:vAlign w:val="center"/>
                </w:tcPr>
                <w:p>
                  <w:pPr>
                    <w:pStyle w:val="26"/>
                    <w:bidi w:val="0"/>
                    <w:jc w:val="center"/>
                    <w:rPr>
                      <w:rFonts w:hint="eastAsia"/>
                      <w:lang w:val="en-US" w:eastAsia="zh-CN"/>
                    </w:rPr>
                  </w:pPr>
                  <w:r>
                    <w:rPr>
                      <w:rFonts w:hint="eastAsia"/>
                      <w:lang w:val="en-US" w:eastAsia="zh-CN"/>
                    </w:rPr>
                    <w:t>本项目不设锅炉，项目所用蒸汽来源于常德北控生物质能发电有限公司。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Merge w:val="continue"/>
                  <w:noWrap w:val="0"/>
                  <w:vAlign w:val="center"/>
                </w:tcPr>
                <w:p>
                  <w:pPr>
                    <w:pStyle w:val="26"/>
                    <w:bidi w:val="0"/>
                    <w:jc w:val="center"/>
                    <w:rPr>
                      <w:rFonts w:hint="eastAsia"/>
                      <w:lang w:eastAsia="zh-CN"/>
                    </w:rPr>
                  </w:pPr>
                </w:p>
              </w:tc>
              <w:tc>
                <w:tcPr>
                  <w:tcW w:w="1146" w:type="pct"/>
                  <w:gridSpan w:val="2"/>
                  <w:noWrap w:val="0"/>
                  <w:vAlign w:val="center"/>
                </w:tcPr>
                <w:p>
                  <w:pPr>
                    <w:pStyle w:val="26"/>
                    <w:bidi w:val="0"/>
                    <w:jc w:val="center"/>
                    <w:rPr>
                      <w:rFonts w:hint="eastAsia"/>
                    </w:rPr>
                  </w:pPr>
                  <w:r>
                    <w:rPr>
                      <w:rFonts w:hint="eastAsia"/>
                      <w:lang w:val="en-US" w:eastAsia="zh-CN"/>
                    </w:rPr>
                    <w:t>供电</w:t>
                  </w:r>
                </w:p>
              </w:tc>
              <w:tc>
                <w:tcPr>
                  <w:tcW w:w="3462" w:type="pct"/>
                  <w:gridSpan w:val="2"/>
                  <w:noWrap w:val="0"/>
                  <w:vAlign w:val="center"/>
                </w:tcPr>
                <w:p>
                  <w:pPr>
                    <w:pStyle w:val="26"/>
                    <w:bidi w:val="0"/>
                    <w:jc w:val="center"/>
                    <w:rPr>
                      <w:rFonts w:hint="eastAsia" w:eastAsia="宋体"/>
                      <w:lang w:val="en-US" w:eastAsia="zh-CN"/>
                    </w:rPr>
                  </w:pPr>
                  <w:r>
                    <w:rPr>
                      <w:rFonts w:hint="eastAsia"/>
                      <w:lang w:val="en-US" w:eastAsia="zh-CN"/>
                    </w:rPr>
                    <w:t>直接从市政电网接入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91" w:type="pct"/>
                  <w:vMerge w:val="restart"/>
                  <w:noWrap w:val="0"/>
                  <w:vAlign w:val="center"/>
                </w:tcPr>
                <w:p>
                  <w:pPr>
                    <w:pStyle w:val="26"/>
                    <w:bidi w:val="0"/>
                    <w:jc w:val="center"/>
                    <w:rPr>
                      <w:rFonts w:hint="eastAsia"/>
                      <w:lang w:val="en-US" w:eastAsia="zh-CN"/>
                    </w:rPr>
                  </w:pPr>
                  <w:r>
                    <w:rPr>
                      <w:rFonts w:hint="eastAsia"/>
                      <w:lang w:val="en-US" w:eastAsia="zh-CN"/>
                    </w:rPr>
                    <w:t>环保工程</w:t>
                  </w:r>
                </w:p>
              </w:tc>
              <w:tc>
                <w:tcPr>
                  <w:tcW w:w="430" w:type="pct"/>
                  <w:vMerge w:val="restart"/>
                  <w:noWrap w:val="0"/>
                  <w:vAlign w:val="center"/>
                </w:tcPr>
                <w:p>
                  <w:pPr>
                    <w:pStyle w:val="26"/>
                    <w:bidi w:val="0"/>
                    <w:jc w:val="center"/>
                    <w:rPr>
                      <w:rFonts w:hint="eastAsia"/>
                      <w:lang w:val="en-US" w:eastAsia="zh-CN"/>
                    </w:rPr>
                  </w:pPr>
                  <w:r>
                    <w:rPr>
                      <w:rFonts w:hint="eastAsia"/>
                      <w:lang w:val="en-US" w:eastAsia="zh-CN"/>
                    </w:rPr>
                    <w:t>废气</w:t>
                  </w:r>
                </w:p>
              </w:tc>
              <w:tc>
                <w:tcPr>
                  <w:tcW w:w="716" w:type="pct"/>
                  <w:noWrap w:val="0"/>
                  <w:vAlign w:val="center"/>
                </w:tcPr>
                <w:p>
                  <w:pPr>
                    <w:pStyle w:val="26"/>
                    <w:bidi w:val="0"/>
                    <w:jc w:val="center"/>
                    <w:rPr>
                      <w:rFonts w:hint="eastAsia"/>
                      <w:lang w:val="en-US" w:eastAsia="zh-CN"/>
                    </w:rPr>
                  </w:pPr>
                  <w:r>
                    <w:rPr>
                      <w:rFonts w:hint="eastAsia"/>
                      <w:lang w:val="en-US" w:eastAsia="zh-CN"/>
                    </w:rPr>
                    <w:t>生产车间废气</w:t>
                  </w:r>
                </w:p>
              </w:tc>
              <w:tc>
                <w:tcPr>
                  <w:tcW w:w="3462" w:type="pct"/>
                  <w:gridSpan w:val="2"/>
                  <w:noWrap w:val="0"/>
                  <w:vAlign w:val="center"/>
                </w:tcPr>
                <w:p>
                  <w:pPr>
                    <w:pStyle w:val="26"/>
                    <w:bidi w:val="0"/>
                    <w:jc w:val="center"/>
                    <w:rPr>
                      <w:rFonts w:hint="eastAsia"/>
                      <w:lang w:val="en-US" w:eastAsia="zh-CN"/>
                    </w:rPr>
                  </w:pPr>
                  <w:r>
                    <w:rPr>
                      <w:rFonts w:hint="eastAsia"/>
                      <w:lang w:val="en-US" w:eastAsia="zh-CN"/>
                    </w:rPr>
                    <w:t>生产车间：生产设备自带布袋除尘器+车间整体通风除尘系统+DA001排气筒（厂房屋顶20m）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Merge w:val="continue"/>
                  <w:noWrap w:val="0"/>
                  <w:vAlign w:val="center"/>
                </w:tcPr>
                <w:p>
                  <w:pPr>
                    <w:pStyle w:val="26"/>
                    <w:bidi w:val="0"/>
                    <w:jc w:val="center"/>
                    <w:rPr>
                      <w:rFonts w:hint="eastAsia"/>
                      <w:lang w:val="en-US" w:eastAsia="zh-CN"/>
                    </w:rPr>
                  </w:pPr>
                </w:p>
              </w:tc>
              <w:tc>
                <w:tcPr>
                  <w:tcW w:w="430" w:type="pct"/>
                  <w:vMerge w:val="continue"/>
                  <w:noWrap w:val="0"/>
                  <w:vAlign w:val="center"/>
                </w:tcPr>
                <w:p>
                  <w:pPr>
                    <w:pStyle w:val="26"/>
                    <w:bidi w:val="0"/>
                    <w:jc w:val="center"/>
                    <w:rPr>
                      <w:rFonts w:hint="eastAsia"/>
                      <w:lang w:val="en-US" w:eastAsia="zh-CN"/>
                    </w:rPr>
                  </w:pPr>
                </w:p>
              </w:tc>
              <w:tc>
                <w:tcPr>
                  <w:tcW w:w="716" w:type="pct"/>
                  <w:noWrap w:val="0"/>
                  <w:vAlign w:val="center"/>
                </w:tcPr>
                <w:p>
                  <w:pPr>
                    <w:pStyle w:val="26"/>
                    <w:bidi w:val="0"/>
                    <w:jc w:val="center"/>
                    <w:rPr>
                      <w:rFonts w:hint="eastAsia"/>
                      <w:lang w:val="en-US" w:eastAsia="zh-CN"/>
                    </w:rPr>
                  </w:pPr>
                  <w:r>
                    <w:rPr>
                      <w:rFonts w:hint="eastAsia"/>
                      <w:lang w:val="en-US" w:eastAsia="zh-CN"/>
                    </w:rPr>
                    <w:t>实验室废气</w:t>
                  </w:r>
                </w:p>
              </w:tc>
              <w:tc>
                <w:tcPr>
                  <w:tcW w:w="3462" w:type="pct"/>
                  <w:gridSpan w:val="2"/>
                  <w:noWrap w:val="0"/>
                  <w:vAlign w:val="center"/>
                </w:tcPr>
                <w:p>
                  <w:pPr>
                    <w:pStyle w:val="26"/>
                    <w:bidi w:val="0"/>
                    <w:jc w:val="center"/>
                    <w:rPr>
                      <w:rFonts w:hint="eastAsia"/>
                      <w:lang w:val="en-US" w:eastAsia="zh-CN"/>
                    </w:rPr>
                  </w:pPr>
                  <w:r>
                    <w:rPr>
                      <w:rFonts w:hint="eastAsia"/>
                      <w:lang w:val="en-US" w:eastAsia="zh-CN"/>
                    </w:rPr>
                    <w:t>通风橱收集过滤棉+活性炭吸附+DA002排气筒（厂房屋顶25m）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91" w:type="pct"/>
                  <w:vMerge w:val="continue"/>
                  <w:noWrap w:val="0"/>
                  <w:vAlign w:val="center"/>
                </w:tcPr>
                <w:p>
                  <w:pPr>
                    <w:pStyle w:val="26"/>
                    <w:bidi w:val="0"/>
                    <w:jc w:val="center"/>
                    <w:rPr>
                      <w:rFonts w:hint="eastAsia"/>
                      <w:lang w:val="en-US" w:eastAsia="zh-CN"/>
                    </w:rPr>
                  </w:pPr>
                </w:p>
              </w:tc>
              <w:tc>
                <w:tcPr>
                  <w:tcW w:w="430" w:type="pct"/>
                  <w:vMerge w:val="restart"/>
                  <w:noWrap w:val="0"/>
                  <w:vAlign w:val="center"/>
                </w:tcPr>
                <w:p>
                  <w:pPr>
                    <w:pStyle w:val="26"/>
                    <w:bidi w:val="0"/>
                    <w:jc w:val="center"/>
                    <w:rPr>
                      <w:rFonts w:hint="eastAsia"/>
                      <w:lang w:val="en-US" w:eastAsia="zh-CN"/>
                    </w:rPr>
                  </w:pPr>
                  <w:r>
                    <w:rPr>
                      <w:rFonts w:hint="eastAsia"/>
                      <w:lang w:val="en-US" w:eastAsia="zh-CN"/>
                    </w:rPr>
                    <w:t>废水</w:t>
                  </w:r>
                </w:p>
              </w:tc>
              <w:tc>
                <w:tcPr>
                  <w:tcW w:w="716" w:type="pct"/>
                  <w:noWrap w:val="0"/>
                  <w:vAlign w:val="center"/>
                </w:tcPr>
                <w:p>
                  <w:pPr>
                    <w:pStyle w:val="26"/>
                    <w:bidi w:val="0"/>
                    <w:jc w:val="center"/>
                    <w:rPr>
                      <w:rFonts w:hint="eastAsia"/>
                      <w:lang w:val="en-US" w:eastAsia="zh-CN"/>
                    </w:rPr>
                  </w:pPr>
                  <w:r>
                    <w:rPr>
                      <w:rFonts w:hint="eastAsia"/>
                      <w:lang w:val="en-US" w:eastAsia="zh-CN"/>
                    </w:rPr>
                    <w:t>生产废水</w:t>
                  </w:r>
                </w:p>
              </w:tc>
              <w:tc>
                <w:tcPr>
                  <w:tcW w:w="3462" w:type="pct"/>
                  <w:gridSpan w:val="2"/>
                  <w:noWrap w:val="0"/>
                  <w:vAlign w:val="center"/>
                </w:tcPr>
                <w:p>
                  <w:pPr>
                    <w:pStyle w:val="26"/>
                    <w:bidi w:val="0"/>
                    <w:jc w:val="center"/>
                    <w:rPr>
                      <w:rFonts w:hint="eastAsia"/>
                      <w:lang w:val="en-US" w:eastAsia="zh-CN"/>
                    </w:rPr>
                  </w:pPr>
                  <w:r>
                    <w:rPr>
                      <w:rFonts w:hint="eastAsia"/>
                      <w:lang w:val="en-US" w:eastAsia="zh-CN"/>
                    </w:rPr>
                    <w:t>污水站（混凝沉淀+厌氧水解+A/O）设计规模100m</w:t>
                  </w:r>
                  <w:r>
                    <w:rPr>
                      <w:rFonts w:hint="eastAsia"/>
                      <w:vertAlign w:val="superscript"/>
                      <w:lang w:val="en-US" w:eastAsia="zh-CN"/>
                    </w:rPr>
                    <w:t>3</w:t>
                  </w:r>
                  <w:r>
                    <w:rPr>
                      <w:rFonts w:hint="eastAsia"/>
                      <w:lang w:val="en-US" w:eastAsia="zh-CN"/>
                    </w:rPr>
                    <w:t>/d，位于地块西北侧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vMerge w:val="continue"/>
                  <w:noWrap w:val="0"/>
                  <w:vAlign w:val="center"/>
                </w:tcPr>
                <w:p>
                  <w:pPr>
                    <w:pStyle w:val="26"/>
                    <w:bidi w:val="0"/>
                    <w:jc w:val="center"/>
                    <w:rPr>
                      <w:rFonts w:hint="eastAsia"/>
                      <w:lang w:val="en-US" w:eastAsia="zh-CN"/>
                    </w:rPr>
                  </w:pPr>
                </w:p>
              </w:tc>
              <w:tc>
                <w:tcPr>
                  <w:tcW w:w="430" w:type="pct"/>
                  <w:vMerge w:val="continue"/>
                  <w:noWrap w:val="0"/>
                  <w:vAlign w:val="center"/>
                </w:tcPr>
                <w:p>
                  <w:pPr>
                    <w:pStyle w:val="26"/>
                    <w:bidi w:val="0"/>
                    <w:jc w:val="center"/>
                    <w:rPr>
                      <w:rFonts w:hint="eastAsia"/>
                      <w:lang w:val="en-US" w:eastAsia="zh-CN"/>
                    </w:rPr>
                  </w:pPr>
                </w:p>
              </w:tc>
              <w:tc>
                <w:tcPr>
                  <w:tcW w:w="716" w:type="pct"/>
                  <w:noWrap w:val="0"/>
                  <w:vAlign w:val="center"/>
                </w:tcPr>
                <w:p>
                  <w:pPr>
                    <w:pStyle w:val="26"/>
                    <w:bidi w:val="0"/>
                    <w:jc w:val="center"/>
                    <w:rPr>
                      <w:rFonts w:hint="eastAsia"/>
                      <w:lang w:val="en-US" w:eastAsia="zh-CN"/>
                    </w:rPr>
                  </w:pPr>
                  <w:r>
                    <w:rPr>
                      <w:rFonts w:hint="eastAsia"/>
                      <w:lang w:val="en-US" w:eastAsia="zh-CN"/>
                    </w:rPr>
                    <w:t>生活废水</w:t>
                  </w:r>
                </w:p>
              </w:tc>
              <w:tc>
                <w:tcPr>
                  <w:tcW w:w="3462" w:type="pct"/>
                  <w:gridSpan w:val="2"/>
                  <w:noWrap w:val="0"/>
                  <w:vAlign w:val="center"/>
                </w:tcPr>
                <w:p>
                  <w:pPr>
                    <w:pStyle w:val="26"/>
                    <w:bidi w:val="0"/>
                    <w:jc w:val="center"/>
                    <w:rPr>
                      <w:rFonts w:hint="default" w:eastAsia="宋体"/>
                      <w:lang w:val="en-US" w:eastAsia="zh-CN"/>
                    </w:rPr>
                  </w:pPr>
                  <w:r>
                    <w:rPr>
                      <w:rFonts w:hint="eastAsia"/>
                      <w:lang w:val="en-US" w:eastAsia="zh-CN"/>
                    </w:rPr>
                    <w:t>隔油池+三级化粪池（15m</w:t>
                  </w:r>
                  <w:r>
                    <w:rPr>
                      <w:rFonts w:hint="eastAsia"/>
                      <w:vertAlign w:val="superscript"/>
                      <w:lang w:val="en-US" w:eastAsia="zh-CN"/>
                    </w:rPr>
                    <w:t>3</w:t>
                  </w:r>
                  <w:r>
                    <w:rPr>
                      <w:rFonts w:hint="eastAsia"/>
                      <w:lang w:val="en-US" w:eastAsia="zh-CN"/>
                    </w:rPr>
                    <w:t>/d）处理后进入厂区污水处理站处理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91" w:type="pct"/>
                  <w:vMerge w:val="continue"/>
                  <w:noWrap w:val="0"/>
                  <w:vAlign w:val="center"/>
                </w:tcPr>
                <w:p>
                  <w:pPr>
                    <w:pStyle w:val="26"/>
                    <w:bidi w:val="0"/>
                    <w:jc w:val="center"/>
                    <w:rPr>
                      <w:rFonts w:hint="eastAsia"/>
                      <w:lang w:val="en-US" w:eastAsia="zh-CN"/>
                    </w:rPr>
                  </w:pPr>
                </w:p>
              </w:tc>
              <w:tc>
                <w:tcPr>
                  <w:tcW w:w="430" w:type="pct"/>
                  <w:noWrap w:val="0"/>
                  <w:vAlign w:val="center"/>
                </w:tcPr>
                <w:p>
                  <w:pPr>
                    <w:pStyle w:val="26"/>
                    <w:bidi w:val="0"/>
                    <w:jc w:val="center"/>
                    <w:rPr>
                      <w:rFonts w:hint="eastAsia"/>
                      <w:lang w:val="en-US" w:eastAsia="zh-CN"/>
                    </w:rPr>
                  </w:pPr>
                  <w:r>
                    <w:rPr>
                      <w:rFonts w:hint="eastAsia"/>
                      <w:lang w:val="en-US" w:eastAsia="zh-CN"/>
                    </w:rPr>
                    <w:t>噪声</w:t>
                  </w:r>
                </w:p>
              </w:tc>
              <w:tc>
                <w:tcPr>
                  <w:tcW w:w="4178" w:type="pct"/>
                  <w:gridSpan w:val="3"/>
                  <w:noWrap w:val="0"/>
                  <w:vAlign w:val="center"/>
                </w:tcPr>
                <w:p>
                  <w:pPr>
                    <w:pStyle w:val="26"/>
                    <w:bidi w:val="0"/>
                    <w:jc w:val="center"/>
                    <w:rPr>
                      <w:rFonts w:hint="eastAsia"/>
                      <w:lang w:val="en-US" w:eastAsia="zh-CN"/>
                    </w:rPr>
                  </w:pPr>
                  <w:r>
                    <w:rPr>
                      <w:rFonts w:hint="eastAsia"/>
                      <w:lang w:val="en-US" w:eastAsia="zh-CN"/>
                    </w:rPr>
                    <w:t>优选低噪声设备、基础减振、厂房隔声等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Merge w:val="continue"/>
                  <w:noWrap w:val="0"/>
                  <w:vAlign w:val="center"/>
                </w:tcPr>
                <w:p>
                  <w:pPr>
                    <w:pStyle w:val="26"/>
                    <w:bidi w:val="0"/>
                    <w:jc w:val="center"/>
                    <w:rPr>
                      <w:rFonts w:hint="eastAsia"/>
                      <w:lang w:val="en-US" w:eastAsia="zh-CN"/>
                    </w:rPr>
                  </w:pPr>
                </w:p>
              </w:tc>
              <w:tc>
                <w:tcPr>
                  <w:tcW w:w="430" w:type="pct"/>
                  <w:noWrap w:val="0"/>
                  <w:vAlign w:val="center"/>
                </w:tcPr>
                <w:p>
                  <w:pPr>
                    <w:pStyle w:val="26"/>
                    <w:bidi w:val="0"/>
                    <w:jc w:val="center"/>
                    <w:rPr>
                      <w:rFonts w:hint="eastAsia"/>
                      <w:lang w:val="en-US" w:eastAsia="zh-CN"/>
                    </w:rPr>
                  </w:pPr>
                  <w:r>
                    <w:rPr>
                      <w:rFonts w:hint="eastAsia"/>
                      <w:lang w:val="en-US" w:eastAsia="zh-CN"/>
                    </w:rPr>
                    <w:t>固废</w:t>
                  </w:r>
                </w:p>
              </w:tc>
              <w:tc>
                <w:tcPr>
                  <w:tcW w:w="4178" w:type="pct"/>
                  <w:gridSpan w:val="3"/>
                  <w:noWrap w:val="0"/>
                  <w:vAlign w:val="center"/>
                </w:tcPr>
                <w:p>
                  <w:pPr>
                    <w:pStyle w:val="26"/>
                    <w:bidi w:val="0"/>
                    <w:jc w:val="center"/>
                    <w:rPr>
                      <w:rFonts w:hint="eastAsia"/>
                      <w:lang w:val="en-US" w:eastAsia="zh-CN"/>
                    </w:rPr>
                  </w:pPr>
                  <w:r>
                    <w:rPr>
                      <w:rFonts w:hint="eastAsia"/>
                      <w:lang w:val="en-US" w:eastAsia="zh-CN"/>
                    </w:rPr>
                    <w:t>生活垃圾环卫定期收集处理；一般固废存放于废弃物仓库（面积570.32m</w:t>
                  </w:r>
                  <w:r>
                    <w:rPr>
                      <w:rFonts w:hint="eastAsia"/>
                      <w:vertAlign w:val="superscript"/>
                      <w:lang w:val="en-US" w:eastAsia="zh-CN"/>
                    </w:rPr>
                    <w:t>2</w:t>
                  </w:r>
                  <w:r>
                    <w:rPr>
                      <w:rFonts w:hint="eastAsia"/>
                      <w:lang w:val="en-US" w:eastAsia="zh-CN"/>
                    </w:rPr>
                    <w:t>，位于地块北侧），收集后外售；危废存放于危废存储间（面积15m</w:t>
                  </w:r>
                  <w:r>
                    <w:rPr>
                      <w:rFonts w:hint="eastAsia"/>
                      <w:vertAlign w:val="superscript"/>
                      <w:lang w:val="en-US" w:eastAsia="zh-CN"/>
                    </w:rPr>
                    <w:t>2</w:t>
                  </w:r>
                  <w:r>
                    <w:rPr>
                      <w:rFonts w:hint="eastAsia"/>
                      <w:lang w:val="en-US" w:eastAsia="zh-CN"/>
                    </w:rPr>
                    <w:t>，位于废弃物仓库内），委托有资质单位处理。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noWrap w:val="0"/>
                  <w:vAlign w:val="center"/>
                </w:tcPr>
                <w:p>
                  <w:pPr>
                    <w:pStyle w:val="26"/>
                    <w:bidi w:val="0"/>
                    <w:jc w:val="center"/>
                    <w:rPr>
                      <w:rFonts w:hint="eastAsia"/>
                      <w:lang w:val="en-US" w:eastAsia="zh-CN"/>
                    </w:rPr>
                  </w:pPr>
                  <w:r>
                    <w:rPr>
                      <w:rFonts w:hint="eastAsia"/>
                      <w:lang w:val="en-US" w:eastAsia="zh-CN"/>
                    </w:rPr>
                    <w:t>储运工程</w:t>
                  </w:r>
                </w:p>
              </w:tc>
              <w:tc>
                <w:tcPr>
                  <w:tcW w:w="1146" w:type="pct"/>
                  <w:gridSpan w:val="2"/>
                  <w:noWrap w:val="0"/>
                  <w:vAlign w:val="center"/>
                </w:tcPr>
                <w:p>
                  <w:pPr>
                    <w:pStyle w:val="26"/>
                    <w:bidi w:val="0"/>
                    <w:jc w:val="center"/>
                    <w:rPr>
                      <w:rFonts w:hint="eastAsia"/>
                      <w:lang w:val="en-US" w:eastAsia="zh-CN"/>
                    </w:rPr>
                  </w:pPr>
                  <w:r>
                    <w:rPr>
                      <w:rFonts w:hint="eastAsia"/>
                      <w:lang w:val="en-US" w:eastAsia="zh-CN"/>
                    </w:rPr>
                    <w:t>综合仓库</w:t>
                  </w:r>
                </w:p>
              </w:tc>
              <w:tc>
                <w:tcPr>
                  <w:tcW w:w="1618" w:type="pct"/>
                  <w:noWrap w:val="0"/>
                  <w:vAlign w:val="center"/>
                </w:tcPr>
                <w:p>
                  <w:pPr>
                    <w:pStyle w:val="26"/>
                    <w:bidi w:val="0"/>
                    <w:jc w:val="center"/>
                    <w:rPr>
                      <w:rFonts w:hint="eastAsia"/>
                      <w:lang w:val="en-US" w:eastAsia="zh-CN"/>
                    </w:rPr>
                  </w:pPr>
                  <w:r>
                    <w:rPr>
                      <w:rFonts w:hint="eastAsia"/>
                      <w:lang w:val="en-US" w:eastAsia="zh-CN"/>
                    </w:rPr>
                    <w:t>一栋，共2层，框架结构，总建筑面积7541.15</w:t>
                  </w:r>
                  <w:r>
                    <w:rPr>
                      <w:rFonts w:hint="eastAsia"/>
                    </w:rPr>
                    <w:t>m</w:t>
                  </w:r>
                  <w:r>
                    <w:rPr>
                      <w:rFonts w:hint="eastAsia"/>
                      <w:vertAlign w:val="superscript"/>
                    </w:rPr>
                    <w:t>2</w:t>
                  </w:r>
                </w:p>
              </w:tc>
              <w:tc>
                <w:tcPr>
                  <w:tcW w:w="1844" w:type="pct"/>
                  <w:noWrap w:val="0"/>
                  <w:vAlign w:val="center"/>
                </w:tcPr>
                <w:p>
                  <w:pPr>
                    <w:pStyle w:val="26"/>
                    <w:bidi w:val="0"/>
                    <w:jc w:val="center"/>
                    <w:rPr>
                      <w:rFonts w:hint="eastAsia"/>
                      <w:lang w:val="en-US" w:eastAsia="zh-CN"/>
                    </w:rPr>
                  </w:pPr>
                  <w:r>
                    <w:rPr>
                      <w:rFonts w:hint="eastAsia"/>
                      <w:lang w:val="en-US" w:eastAsia="zh-CN"/>
                    </w:rPr>
                    <w:t>用于原辅材料及产品存放</w:t>
                  </w:r>
                </w:p>
              </w:tc>
            </w:tr>
          </w:tbl>
          <w:p>
            <w:pPr>
              <w:pStyle w:val="6"/>
              <w:numPr>
                <w:ilvl w:val="0"/>
                <w:numId w:val="0"/>
              </w:numPr>
              <w:bidi w:val="0"/>
              <w:rPr>
                <w:rFonts w:hint="default" w:ascii="Times New Roman" w:hAnsi="Times New Roman" w:eastAsia="宋体" w:cs="Times New Roman"/>
                <w:b/>
                <w:lang w:val="en-US" w:eastAsia="zh-CN"/>
              </w:rPr>
            </w:pPr>
            <w:r>
              <w:rPr>
                <w:rFonts w:hint="eastAsia" w:ascii="Times New Roman" w:hAnsi="Times New Roman" w:eastAsia="宋体" w:cs="Times New Roman"/>
                <w:b/>
                <w:lang w:val="en-US" w:eastAsia="zh-CN"/>
              </w:rPr>
              <w:t>2</w:t>
            </w:r>
            <w:r>
              <w:rPr>
                <w:rFonts w:hint="default" w:ascii="Times New Roman" w:hAnsi="Times New Roman" w:eastAsia="宋体" w:cs="Times New Roman"/>
                <w:b/>
                <w:lang w:val="en-US" w:eastAsia="zh-CN"/>
              </w:rPr>
              <w:t>、产品方案</w:t>
            </w:r>
          </w:p>
          <w:p>
            <w:pPr>
              <w:adjustRightInd w:val="0"/>
              <w:snapToGrid w:val="0"/>
              <w:spacing w:line="360" w:lineRule="auto"/>
              <w:ind w:firstLine="480" w:firstLineChars="200"/>
              <w:jc w:val="both"/>
              <w:rPr>
                <w:rFonts w:hint="eastAsia" w:cs="Times New Roman"/>
                <w:bCs/>
                <w:color w:val="auto"/>
                <w:sz w:val="24"/>
                <w:szCs w:val="24"/>
                <w:lang w:val="en-US" w:eastAsia="zh-CN"/>
              </w:rPr>
            </w:pPr>
            <w:r>
              <w:rPr>
                <w:rFonts w:hint="eastAsia" w:cs="Times New Roman"/>
                <w:bCs/>
                <w:color w:val="auto"/>
                <w:sz w:val="24"/>
                <w:szCs w:val="24"/>
                <w:lang w:val="en-US" w:eastAsia="zh-CN"/>
              </w:rPr>
              <w:t>（1）注射液产品清单</w:t>
            </w:r>
          </w:p>
          <w:p>
            <w:pPr>
              <w:pStyle w:val="27"/>
              <w:bidi w:val="0"/>
              <w:rPr>
                <w:rFonts w:hint="default"/>
                <w:lang w:val="en-US" w:eastAsia="zh-CN"/>
              </w:rPr>
            </w:pPr>
            <w:r>
              <w:rPr>
                <w:rFonts w:hint="default"/>
                <w:lang w:val="en-US" w:eastAsia="zh-CN"/>
              </w:rPr>
              <w:t>表2-</w:t>
            </w:r>
            <w:r>
              <w:rPr>
                <w:rFonts w:hint="eastAsia"/>
                <w:lang w:val="en-US" w:eastAsia="zh-CN"/>
              </w:rPr>
              <w:t>2</w:t>
            </w:r>
            <w:r>
              <w:rPr>
                <w:rFonts w:hint="default"/>
                <w:lang w:val="en-US" w:eastAsia="zh-CN"/>
              </w:rPr>
              <w:t xml:space="preserve">  </w:t>
            </w:r>
            <w:r>
              <w:rPr>
                <w:rFonts w:hint="eastAsia"/>
                <w:lang w:val="en-US" w:eastAsia="zh-CN"/>
              </w:rPr>
              <w:t>注射液</w:t>
            </w:r>
            <w:r>
              <w:rPr>
                <w:rFonts w:hint="default"/>
                <w:lang w:val="en-US" w:eastAsia="zh-CN"/>
              </w:rPr>
              <w:t>产品清单一览表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2768"/>
              <w:gridCol w:w="1256"/>
              <w:gridCol w:w="707"/>
              <w:gridCol w:w="1493"/>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noWrap w:val="0"/>
                  <w:vAlign w:val="center"/>
                </w:tcPr>
                <w:p>
                  <w:pPr>
                    <w:pStyle w:val="26"/>
                    <w:jc w:val="center"/>
                    <w:rPr>
                      <w:rFonts w:hint="eastAsia"/>
                      <w:b/>
                      <w:bCs/>
                    </w:rPr>
                  </w:pPr>
                  <w:r>
                    <w:rPr>
                      <w:rFonts w:hint="eastAsia"/>
                      <w:b/>
                      <w:bCs/>
                    </w:rPr>
                    <w:t>序号</w:t>
                  </w:r>
                </w:p>
              </w:tc>
              <w:tc>
                <w:tcPr>
                  <w:tcW w:w="2768" w:type="dxa"/>
                  <w:noWrap w:val="0"/>
                  <w:vAlign w:val="center"/>
                </w:tcPr>
                <w:p>
                  <w:pPr>
                    <w:pStyle w:val="26"/>
                    <w:jc w:val="center"/>
                    <w:rPr>
                      <w:rFonts w:hint="eastAsia"/>
                      <w:b/>
                      <w:bCs/>
                    </w:rPr>
                  </w:pPr>
                  <w:r>
                    <w:rPr>
                      <w:rFonts w:hint="eastAsia"/>
                      <w:b/>
                      <w:bCs/>
                    </w:rPr>
                    <w:t>品名</w:t>
                  </w:r>
                </w:p>
              </w:tc>
              <w:tc>
                <w:tcPr>
                  <w:tcW w:w="1256" w:type="dxa"/>
                  <w:noWrap w:val="0"/>
                  <w:vAlign w:val="center"/>
                </w:tcPr>
                <w:p>
                  <w:pPr>
                    <w:pStyle w:val="26"/>
                    <w:jc w:val="center"/>
                    <w:rPr>
                      <w:rFonts w:hint="eastAsia"/>
                      <w:b/>
                      <w:bCs/>
                    </w:rPr>
                  </w:pPr>
                  <w:r>
                    <w:rPr>
                      <w:rFonts w:hint="eastAsia"/>
                      <w:b/>
                      <w:bCs/>
                    </w:rPr>
                    <w:t>批量（万支/批）</w:t>
                  </w:r>
                </w:p>
              </w:tc>
              <w:tc>
                <w:tcPr>
                  <w:tcW w:w="707" w:type="dxa"/>
                  <w:noWrap w:val="0"/>
                  <w:vAlign w:val="center"/>
                </w:tcPr>
                <w:p>
                  <w:pPr>
                    <w:pStyle w:val="26"/>
                    <w:jc w:val="center"/>
                    <w:rPr>
                      <w:rFonts w:hint="eastAsia"/>
                      <w:b/>
                      <w:bCs/>
                    </w:rPr>
                  </w:pPr>
                  <w:r>
                    <w:rPr>
                      <w:rFonts w:hint="eastAsia"/>
                      <w:b/>
                      <w:bCs/>
                    </w:rPr>
                    <w:t>批/年</w:t>
                  </w:r>
                </w:p>
              </w:tc>
              <w:tc>
                <w:tcPr>
                  <w:tcW w:w="1493" w:type="dxa"/>
                  <w:noWrap w:val="0"/>
                  <w:vAlign w:val="center"/>
                </w:tcPr>
                <w:p>
                  <w:pPr>
                    <w:pStyle w:val="26"/>
                    <w:jc w:val="center"/>
                    <w:rPr>
                      <w:rFonts w:hint="eastAsia"/>
                      <w:b/>
                      <w:bCs/>
                    </w:rPr>
                  </w:pPr>
                  <w:r>
                    <w:rPr>
                      <w:rFonts w:hint="eastAsia"/>
                      <w:b/>
                      <w:bCs/>
                    </w:rPr>
                    <w:t>年产量（万支）</w:t>
                  </w:r>
                </w:p>
              </w:tc>
              <w:tc>
                <w:tcPr>
                  <w:tcW w:w="1295" w:type="dxa"/>
                  <w:noWrap w:val="0"/>
                  <w:vAlign w:val="center"/>
                </w:tcPr>
                <w:p>
                  <w:pPr>
                    <w:pStyle w:val="26"/>
                    <w:jc w:val="center"/>
                    <w:rPr>
                      <w:rFonts w:hint="eastAsia"/>
                      <w:b/>
                      <w:bCs/>
                    </w:rPr>
                  </w:pPr>
                  <w:r>
                    <w:rPr>
                      <w:rFonts w:hint="eastAsia"/>
                      <w:b/>
                      <w:bCs/>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Merge w:val="restart"/>
                  <w:noWrap w:val="0"/>
                  <w:vAlign w:val="center"/>
                </w:tcPr>
                <w:p>
                  <w:pPr>
                    <w:pStyle w:val="26"/>
                    <w:jc w:val="center"/>
                  </w:pPr>
                  <w:r>
                    <w:rPr>
                      <w:rFonts w:hint="eastAsia"/>
                    </w:rPr>
                    <w:t>1</w:t>
                  </w:r>
                </w:p>
              </w:tc>
              <w:tc>
                <w:tcPr>
                  <w:tcW w:w="2768" w:type="dxa"/>
                  <w:noWrap w:val="0"/>
                  <w:vAlign w:val="center"/>
                </w:tcPr>
                <w:p>
                  <w:pPr>
                    <w:pStyle w:val="26"/>
                    <w:jc w:val="center"/>
                    <w:rPr>
                      <w:rFonts w:hint="eastAsia"/>
                    </w:rPr>
                  </w:pPr>
                  <w:r>
                    <w:rPr>
                      <w:rFonts w:hint="eastAsia"/>
                    </w:rPr>
                    <w:t>氟马西尼注射液-5ml</w:t>
                  </w:r>
                </w:p>
              </w:tc>
              <w:tc>
                <w:tcPr>
                  <w:tcW w:w="1256" w:type="dxa"/>
                  <w:noWrap w:val="0"/>
                  <w:vAlign w:val="center"/>
                </w:tcPr>
                <w:p>
                  <w:pPr>
                    <w:pStyle w:val="26"/>
                    <w:jc w:val="center"/>
                  </w:pPr>
                  <w:r>
                    <w:rPr>
                      <w:rFonts w:hint="eastAsia"/>
                    </w:rPr>
                    <w:t>15</w:t>
                  </w:r>
                </w:p>
              </w:tc>
              <w:tc>
                <w:tcPr>
                  <w:tcW w:w="707" w:type="dxa"/>
                  <w:noWrap w:val="0"/>
                  <w:vAlign w:val="center"/>
                </w:tcPr>
                <w:p>
                  <w:pPr>
                    <w:pStyle w:val="26"/>
                    <w:jc w:val="center"/>
                  </w:pPr>
                  <w:r>
                    <w:rPr>
                      <w:rFonts w:hint="eastAsia"/>
                    </w:rPr>
                    <w:t>20</w:t>
                  </w:r>
                </w:p>
              </w:tc>
              <w:tc>
                <w:tcPr>
                  <w:tcW w:w="1493" w:type="dxa"/>
                  <w:vMerge w:val="restart"/>
                  <w:noWrap w:val="0"/>
                  <w:vAlign w:val="center"/>
                </w:tcPr>
                <w:p>
                  <w:pPr>
                    <w:pStyle w:val="26"/>
                    <w:jc w:val="center"/>
                  </w:pPr>
                  <w:r>
                    <w:rPr>
                      <w:rFonts w:hint="eastAsia"/>
                    </w:rPr>
                    <w:t>340</w:t>
                  </w:r>
                </w:p>
              </w:tc>
              <w:tc>
                <w:tcPr>
                  <w:tcW w:w="1295" w:type="dxa"/>
                  <w:vMerge w:val="restart"/>
                  <w:noWrap w:val="0"/>
                  <w:vAlign w:val="center"/>
                </w:tcPr>
                <w:p>
                  <w:pPr>
                    <w:pStyle w:val="26"/>
                    <w:jc w:val="center"/>
                    <w:rPr>
                      <w:rFonts w:hint="eastAsia"/>
                    </w:rPr>
                  </w:pPr>
                  <w:r>
                    <w:rPr>
                      <w:rFonts w:hint="eastAsia"/>
                    </w:rPr>
                    <w:t>玻璃瓶包装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Merge w:val="continue"/>
                  <w:noWrap w:val="0"/>
                  <w:vAlign w:val="center"/>
                </w:tcPr>
                <w:p>
                  <w:pPr>
                    <w:pStyle w:val="26"/>
                    <w:jc w:val="center"/>
                    <w:rPr>
                      <w:rFonts w:hint="eastAsia"/>
                    </w:rPr>
                  </w:pPr>
                </w:p>
              </w:tc>
              <w:tc>
                <w:tcPr>
                  <w:tcW w:w="2768" w:type="dxa"/>
                  <w:noWrap w:val="0"/>
                  <w:vAlign w:val="center"/>
                </w:tcPr>
                <w:p>
                  <w:pPr>
                    <w:pStyle w:val="26"/>
                    <w:jc w:val="center"/>
                    <w:rPr>
                      <w:rFonts w:hint="eastAsia"/>
                    </w:rPr>
                  </w:pPr>
                  <w:r>
                    <w:rPr>
                      <w:rFonts w:hint="eastAsia"/>
                    </w:rPr>
                    <w:t>氟马西尼注射液-10ml</w:t>
                  </w:r>
                </w:p>
              </w:tc>
              <w:tc>
                <w:tcPr>
                  <w:tcW w:w="1256" w:type="dxa"/>
                  <w:noWrap w:val="0"/>
                  <w:vAlign w:val="center"/>
                </w:tcPr>
                <w:p>
                  <w:pPr>
                    <w:pStyle w:val="26"/>
                    <w:jc w:val="center"/>
                    <w:rPr>
                      <w:rFonts w:hint="eastAsia"/>
                    </w:rPr>
                  </w:pPr>
                  <w:r>
                    <w:rPr>
                      <w:rFonts w:hint="eastAsia"/>
                    </w:rPr>
                    <w:t>8</w:t>
                  </w:r>
                </w:p>
              </w:tc>
              <w:tc>
                <w:tcPr>
                  <w:tcW w:w="707" w:type="dxa"/>
                  <w:noWrap w:val="0"/>
                  <w:vAlign w:val="center"/>
                </w:tcPr>
                <w:p>
                  <w:pPr>
                    <w:pStyle w:val="26"/>
                    <w:jc w:val="center"/>
                  </w:pPr>
                  <w:r>
                    <w:rPr>
                      <w:rFonts w:hint="eastAsia"/>
                    </w:rPr>
                    <w:t>5</w:t>
                  </w:r>
                </w:p>
              </w:tc>
              <w:tc>
                <w:tcPr>
                  <w:tcW w:w="1493" w:type="dxa"/>
                  <w:vMerge w:val="continue"/>
                  <w:noWrap w:val="0"/>
                  <w:vAlign w:val="center"/>
                </w:tcPr>
                <w:p>
                  <w:pPr>
                    <w:pStyle w:val="26"/>
                    <w:jc w:val="center"/>
                    <w:rPr>
                      <w:rFonts w:hint="eastAsia"/>
                    </w:rPr>
                  </w:pPr>
                </w:p>
              </w:tc>
              <w:tc>
                <w:tcPr>
                  <w:tcW w:w="1295" w:type="dxa"/>
                  <w:vMerge w:val="continue"/>
                  <w:noWrap w:val="0"/>
                  <w:vAlign w:val="center"/>
                </w:tcPr>
                <w:p>
                  <w:pPr>
                    <w:pStyle w:val="26"/>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5" w:type="dxa"/>
                  <w:vMerge w:val="restart"/>
                  <w:noWrap w:val="0"/>
                  <w:vAlign w:val="center"/>
                </w:tcPr>
                <w:p>
                  <w:pPr>
                    <w:pStyle w:val="26"/>
                    <w:jc w:val="center"/>
                    <w:rPr>
                      <w:rFonts w:hint="eastAsia"/>
                    </w:rPr>
                  </w:pPr>
                  <w:r>
                    <w:rPr>
                      <w:rFonts w:hint="eastAsia"/>
                    </w:rPr>
                    <w:t>2</w:t>
                  </w:r>
                </w:p>
              </w:tc>
              <w:tc>
                <w:tcPr>
                  <w:tcW w:w="2768" w:type="dxa"/>
                  <w:noWrap w:val="0"/>
                  <w:vAlign w:val="center"/>
                </w:tcPr>
                <w:p>
                  <w:pPr>
                    <w:pStyle w:val="26"/>
                    <w:jc w:val="center"/>
                    <w:rPr>
                      <w:rFonts w:hint="eastAsia"/>
                    </w:rPr>
                  </w:pPr>
                  <w:r>
                    <w:rPr>
                      <w:rFonts w:hint="eastAsia"/>
                    </w:rPr>
                    <w:t>盐酸利多卡因注射液-5ml</w:t>
                  </w:r>
                </w:p>
              </w:tc>
              <w:tc>
                <w:tcPr>
                  <w:tcW w:w="1256" w:type="dxa"/>
                  <w:noWrap w:val="0"/>
                  <w:vAlign w:val="center"/>
                </w:tcPr>
                <w:p>
                  <w:pPr>
                    <w:pStyle w:val="26"/>
                    <w:jc w:val="center"/>
                  </w:pPr>
                  <w:r>
                    <w:rPr>
                      <w:rFonts w:hint="eastAsia"/>
                    </w:rPr>
                    <w:t>10</w:t>
                  </w:r>
                </w:p>
              </w:tc>
              <w:tc>
                <w:tcPr>
                  <w:tcW w:w="707" w:type="dxa"/>
                  <w:noWrap w:val="0"/>
                  <w:vAlign w:val="center"/>
                </w:tcPr>
                <w:p>
                  <w:pPr>
                    <w:pStyle w:val="26"/>
                    <w:jc w:val="center"/>
                  </w:pPr>
                  <w:r>
                    <w:rPr>
                      <w:rFonts w:hint="eastAsia"/>
                    </w:rPr>
                    <w:t>6</w:t>
                  </w:r>
                </w:p>
              </w:tc>
              <w:tc>
                <w:tcPr>
                  <w:tcW w:w="1493" w:type="dxa"/>
                  <w:vMerge w:val="restart"/>
                  <w:noWrap w:val="0"/>
                  <w:vAlign w:val="center"/>
                </w:tcPr>
                <w:p>
                  <w:pPr>
                    <w:pStyle w:val="26"/>
                    <w:jc w:val="center"/>
                  </w:pPr>
                  <w:r>
                    <w:rPr>
                      <w:rFonts w:hint="eastAsia"/>
                    </w:rPr>
                    <w:t>120</w:t>
                  </w:r>
                </w:p>
              </w:tc>
              <w:tc>
                <w:tcPr>
                  <w:tcW w:w="1295" w:type="dxa"/>
                  <w:vMerge w:val="restart"/>
                  <w:noWrap w:val="0"/>
                  <w:vAlign w:val="center"/>
                </w:tcPr>
                <w:p>
                  <w:pPr>
                    <w:pStyle w:val="26"/>
                    <w:jc w:val="center"/>
                    <w:rPr>
                      <w:rFonts w:hint="eastAsia"/>
                    </w:rPr>
                  </w:pPr>
                  <w:r>
                    <w:rPr>
                      <w:rFonts w:hint="eastAsia"/>
                    </w:rPr>
                    <w:t>玻璃瓶包装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Merge w:val="continue"/>
                  <w:noWrap w:val="0"/>
                  <w:vAlign w:val="center"/>
                </w:tcPr>
                <w:p>
                  <w:pPr>
                    <w:pStyle w:val="26"/>
                    <w:jc w:val="center"/>
                    <w:rPr>
                      <w:rFonts w:hint="eastAsia"/>
                    </w:rPr>
                  </w:pPr>
                </w:p>
              </w:tc>
              <w:tc>
                <w:tcPr>
                  <w:tcW w:w="2768" w:type="dxa"/>
                  <w:noWrap w:val="0"/>
                  <w:vAlign w:val="center"/>
                </w:tcPr>
                <w:p>
                  <w:pPr>
                    <w:pStyle w:val="26"/>
                    <w:jc w:val="center"/>
                    <w:rPr>
                      <w:rFonts w:hint="eastAsia"/>
                    </w:rPr>
                  </w:pPr>
                  <w:r>
                    <w:rPr>
                      <w:rFonts w:hint="eastAsia"/>
                    </w:rPr>
                    <w:t>盐酸利多卡因注射液-10ml</w:t>
                  </w:r>
                </w:p>
              </w:tc>
              <w:tc>
                <w:tcPr>
                  <w:tcW w:w="1256" w:type="dxa"/>
                  <w:noWrap w:val="0"/>
                  <w:vAlign w:val="center"/>
                </w:tcPr>
                <w:p>
                  <w:pPr>
                    <w:pStyle w:val="26"/>
                    <w:jc w:val="center"/>
                    <w:rPr>
                      <w:rFonts w:hint="eastAsia"/>
                    </w:rPr>
                  </w:pPr>
                  <w:r>
                    <w:rPr>
                      <w:rFonts w:hint="eastAsia"/>
                    </w:rPr>
                    <w:t>9</w:t>
                  </w:r>
                </w:p>
              </w:tc>
              <w:tc>
                <w:tcPr>
                  <w:tcW w:w="707" w:type="dxa"/>
                  <w:noWrap w:val="0"/>
                  <w:vAlign w:val="center"/>
                </w:tcPr>
                <w:p>
                  <w:pPr>
                    <w:pStyle w:val="26"/>
                    <w:jc w:val="center"/>
                  </w:pPr>
                  <w:r>
                    <w:rPr>
                      <w:rFonts w:hint="eastAsia"/>
                    </w:rPr>
                    <w:t>6</w:t>
                  </w:r>
                </w:p>
              </w:tc>
              <w:tc>
                <w:tcPr>
                  <w:tcW w:w="1493" w:type="dxa"/>
                  <w:vMerge w:val="continue"/>
                  <w:noWrap w:val="0"/>
                  <w:vAlign w:val="center"/>
                </w:tcPr>
                <w:p>
                  <w:pPr>
                    <w:pStyle w:val="26"/>
                    <w:jc w:val="center"/>
                    <w:rPr>
                      <w:rFonts w:hint="eastAsia"/>
                    </w:rPr>
                  </w:pPr>
                </w:p>
              </w:tc>
              <w:tc>
                <w:tcPr>
                  <w:tcW w:w="1295" w:type="dxa"/>
                  <w:vMerge w:val="continue"/>
                  <w:noWrap w:val="0"/>
                  <w:vAlign w:val="center"/>
                </w:tcPr>
                <w:p>
                  <w:pPr>
                    <w:pStyle w:val="26"/>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Merge w:val="restart"/>
                  <w:noWrap w:val="0"/>
                  <w:vAlign w:val="center"/>
                </w:tcPr>
                <w:p>
                  <w:pPr>
                    <w:pStyle w:val="26"/>
                    <w:jc w:val="center"/>
                    <w:rPr>
                      <w:rFonts w:hint="eastAsia"/>
                    </w:rPr>
                  </w:pPr>
                  <w:r>
                    <w:rPr>
                      <w:rFonts w:hint="eastAsia"/>
                    </w:rPr>
                    <w:t>3</w:t>
                  </w:r>
                </w:p>
              </w:tc>
              <w:tc>
                <w:tcPr>
                  <w:tcW w:w="2768" w:type="dxa"/>
                  <w:noWrap w:val="0"/>
                  <w:vAlign w:val="center"/>
                </w:tcPr>
                <w:p>
                  <w:pPr>
                    <w:pStyle w:val="26"/>
                    <w:jc w:val="center"/>
                    <w:rPr>
                      <w:rFonts w:hint="eastAsia"/>
                    </w:rPr>
                  </w:pPr>
                  <w:r>
                    <w:rPr>
                      <w:rFonts w:hint="eastAsia"/>
                    </w:rPr>
                    <w:t>甲硫酸新斯的明注射液-1ml</w:t>
                  </w:r>
                </w:p>
              </w:tc>
              <w:tc>
                <w:tcPr>
                  <w:tcW w:w="1256" w:type="dxa"/>
                  <w:noWrap w:val="0"/>
                  <w:vAlign w:val="center"/>
                </w:tcPr>
                <w:p>
                  <w:pPr>
                    <w:pStyle w:val="26"/>
                    <w:jc w:val="center"/>
                  </w:pPr>
                  <w:r>
                    <w:rPr>
                      <w:rFonts w:hint="eastAsia"/>
                    </w:rPr>
                    <w:t>10</w:t>
                  </w:r>
                </w:p>
              </w:tc>
              <w:tc>
                <w:tcPr>
                  <w:tcW w:w="707" w:type="dxa"/>
                  <w:noWrap w:val="0"/>
                  <w:vAlign w:val="center"/>
                </w:tcPr>
                <w:p>
                  <w:pPr>
                    <w:pStyle w:val="26"/>
                    <w:jc w:val="center"/>
                  </w:pPr>
                  <w:r>
                    <w:rPr>
                      <w:rFonts w:hint="eastAsia"/>
                    </w:rPr>
                    <w:t>13</w:t>
                  </w:r>
                </w:p>
              </w:tc>
              <w:tc>
                <w:tcPr>
                  <w:tcW w:w="1493" w:type="dxa"/>
                  <w:vMerge w:val="restart"/>
                  <w:noWrap w:val="0"/>
                  <w:vAlign w:val="center"/>
                </w:tcPr>
                <w:p>
                  <w:pPr>
                    <w:pStyle w:val="26"/>
                    <w:jc w:val="center"/>
                  </w:pPr>
                  <w:r>
                    <w:rPr>
                      <w:rFonts w:hint="eastAsia"/>
                    </w:rPr>
                    <w:t>200</w:t>
                  </w:r>
                </w:p>
              </w:tc>
              <w:tc>
                <w:tcPr>
                  <w:tcW w:w="1295" w:type="dxa"/>
                  <w:vMerge w:val="restart"/>
                  <w:noWrap w:val="0"/>
                  <w:vAlign w:val="center"/>
                </w:tcPr>
                <w:p>
                  <w:pPr>
                    <w:pStyle w:val="26"/>
                    <w:jc w:val="center"/>
                    <w:rPr>
                      <w:rFonts w:hint="eastAsia"/>
                    </w:rPr>
                  </w:pPr>
                  <w:r>
                    <w:rPr>
                      <w:rFonts w:hint="eastAsia"/>
                    </w:rPr>
                    <w:t>玻璃瓶包装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Merge w:val="continue"/>
                  <w:noWrap w:val="0"/>
                  <w:vAlign w:val="center"/>
                </w:tcPr>
                <w:p>
                  <w:pPr>
                    <w:pStyle w:val="26"/>
                    <w:jc w:val="center"/>
                    <w:rPr>
                      <w:rFonts w:hint="eastAsia"/>
                    </w:rPr>
                  </w:pPr>
                </w:p>
              </w:tc>
              <w:tc>
                <w:tcPr>
                  <w:tcW w:w="2768" w:type="dxa"/>
                  <w:noWrap w:val="0"/>
                  <w:vAlign w:val="center"/>
                </w:tcPr>
                <w:p>
                  <w:pPr>
                    <w:pStyle w:val="26"/>
                    <w:jc w:val="center"/>
                    <w:rPr>
                      <w:rFonts w:hint="eastAsia"/>
                    </w:rPr>
                  </w:pPr>
                  <w:r>
                    <w:rPr>
                      <w:rFonts w:hint="eastAsia"/>
                    </w:rPr>
                    <w:t>甲硫酸新斯的明注射液-2ml</w:t>
                  </w:r>
                </w:p>
              </w:tc>
              <w:tc>
                <w:tcPr>
                  <w:tcW w:w="1256" w:type="dxa"/>
                  <w:noWrap w:val="0"/>
                  <w:vAlign w:val="center"/>
                </w:tcPr>
                <w:p>
                  <w:pPr>
                    <w:pStyle w:val="26"/>
                    <w:jc w:val="center"/>
                    <w:rPr>
                      <w:rFonts w:hint="eastAsia"/>
                    </w:rPr>
                  </w:pPr>
                  <w:r>
                    <w:rPr>
                      <w:rFonts w:hint="eastAsia"/>
                    </w:rPr>
                    <w:t>5</w:t>
                  </w:r>
                </w:p>
              </w:tc>
              <w:tc>
                <w:tcPr>
                  <w:tcW w:w="707" w:type="dxa"/>
                  <w:noWrap w:val="0"/>
                  <w:vAlign w:val="center"/>
                </w:tcPr>
                <w:p>
                  <w:pPr>
                    <w:pStyle w:val="26"/>
                    <w:jc w:val="center"/>
                  </w:pPr>
                  <w:r>
                    <w:rPr>
                      <w:rFonts w:hint="eastAsia"/>
                    </w:rPr>
                    <w:t>13</w:t>
                  </w:r>
                </w:p>
              </w:tc>
              <w:tc>
                <w:tcPr>
                  <w:tcW w:w="1493" w:type="dxa"/>
                  <w:vMerge w:val="continue"/>
                  <w:noWrap w:val="0"/>
                  <w:vAlign w:val="center"/>
                </w:tcPr>
                <w:p>
                  <w:pPr>
                    <w:pStyle w:val="26"/>
                    <w:jc w:val="center"/>
                    <w:rPr>
                      <w:rFonts w:hint="eastAsia"/>
                    </w:rPr>
                  </w:pPr>
                </w:p>
              </w:tc>
              <w:tc>
                <w:tcPr>
                  <w:tcW w:w="1295" w:type="dxa"/>
                  <w:vMerge w:val="continue"/>
                  <w:noWrap w:val="0"/>
                  <w:vAlign w:val="center"/>
                </w:tcPr>
                <w:p>
                  <w:pPr>
                    <w:pStyle w:val="26"/>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5" w:type="dxa"/>
                  <w:noWrap w:val="0"/>
                  <w:vAlign w:val="center"/>
                </w:tcPr>
                <w:p>
                  <w:pPr>
                    <w:pStyle w:val="26"/>
                    <w:jc w:val="center"/>
                    <w:rPr>
                      <w:rFonts w:hint="eastAsia"/>
                    </w:rPr>
                  </w:pPr>
                  <w:r>
                    <w:rPr>
                      <w:rFonts w:hint="eastAsia"/>
                    </w:rPr>
                    <w:t>4</w:t>
                  </w:r>
                </w:p>
              </w:tc>
              <w:tc>
                <w:tcPr>
                  <w:tcW w:w="2768" w:type="dxa"/>
                  <w:noWrap w:val="0"/>
                  <w:vAlign w:val="center"/>
                </w:tcPr>
                <w:p>
                  <w:pPr>
                    <w:pStyle w:val="26"/>
                    <w:jc w:val="center"/>
                  </w:pPr>
                  <w:r>
                    <w:rPr>
                      <w:rFonts w:hint="eastAsia"/>
                    </w:rPr>
                    <w:t>ZZ007-50ml</w:t>
                  </w:r>
                </w:p>
              </w:tc>
              <w:tc>
                <w:tcPr>
                  <w:tcW w:w="1256" w:type="dxa"/>
                  <w:noWrap w:val="0"/>
                  <w:vAlign w:val="center"/>
                </w:tcPr>
                <w:p>
                  <w:pPr>
                    <w:pStyle w:val="26"/>
                    <w:jc w:val="center"/>
                    <w:rPr>
                      <w:rFonts w:hint="eastAsia"/>
                    </w:rPr>
                  </w:pPr>
                  <w:r>
                    <w:rPr>
                      <w:rFonts w:hint="eastAsia"/>
                    </w:rPr>
                    <w:t>5</w:t>
                  </w:r>
                </w:p>
              </w:tc>
              <w:tc>
                <w:tcPr>
                  <w:tcW w:w="707" w:type="dxa"/>
                  <w:noWrap w:val="0"/>
                  <w:vAlign w:val="center"/>
                </w:tcPr>
                <w:p>
                  <w:pPr>
                    <w:pStyle w:val="26"/>
                    <w:jc w:val="center"/>
                  </w:pPr>
                  <w:r>
                    <w:rPr>
                      <w:rFonts w:hint="eastAsia"/>
                    </w:rPr>
                    <w:t>10</w:t>
                  </w:r>
                </w:p>
              </w:tc>
              <w:tc>
                <w:tcPr>
                  <w:tcW w:w="1493" w:type="dxa"/>
                  <w:noWrap w:val="0"/>
                  <w:vAlign w:val="center"/>
                </w:tcPr>
                <w:p>
                  <w:pPr>
                    <w:pStyle w:val="26"/>
                    <w:jc w:val="center"/>
                  </w:pPr>
                  <w:r>
                    <w:rPr>
                      <w:rFonts w:hint="eastAsia"/>
                    </w:rPr>
                    <w:t>50</w:t>
                  </w:r>
                </w:p>
              </w:tc>
              <w:tc>
                <w:tcPr>
                  <w:tcW w:w="1295" w:type="dxa"/>
                  <w:noWrap w:val="0"/>
                  <w:vAlign w:val="center"/>
                </w:tcPr>
                <w:p>
                  <w:pPr>
                    <w:pStyle w:val="26"/>
                    <w:jc w:val="center"/>
                    <w:rPr>
                      <w:rFonts w:hint="eastAsia"/>
                    </w:rPr>
                  </w:pPr>
                  <w:r>
                    <w:rPr>
                      <w:rFonts w:hint="eastAsia"/>
                    </w:rPr>
                    <w:t>玻璃瓶包装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noWrap w:val="0"/>
                  <w:vAlign w:val="center"/>
                </w:tcPr>
                <w:p>
                  <w:pPr>
                    <w:pStyle w:val="26"/>
                    <w:jc w:val="center"/>
                  </w:pPr>
                  <w:r>
                    <w:rPr>
                      <w:rFonts w:hint="eastAsia"/>
                    </w:rPr>
                    <w:t>5</w:t>
                  </w:r>
                </w:p>
              </w:tc>
              <w:tc>
                <w:tcPr>
                  <w:tcW w:w="2768" w:type="dxa"/>
                  <w:noWrap w:val="0"/>
                  <w:vAlign w:val="center"/>
                </w:tcPr>
                <w:p>
                  <w:pPr>
                    <w:pStyle w:val="26"/>
                    <w:jc w:val="center"/>
                  </w:pPr>
                  <w:r>
                    <w:rPr>
                      <w:rFonts w:hint="eastAsia"/>
                    </w:rPr>
                    <w:t>氯化钙注射液-10ml</w:t>
                  </w:r>
                </w:p>
              </w:tc>
              <w:tc>
                <w:tcPr>
                  <w:tcW w:w="1256" w:type="dxa"/>
                  <w:noWrap w:val="0"/>
                  <w:vAlign w:val="center"/>
                </w:tcPr>
                <w:p>
                  <w:pPr>
                    <w:pStyle w:val="26"/>
                    <w:jc w:val="center"/>
                  </w:pPr>
                  <w:r>
                    <w:rPr>
                      <w:rFonts w:hint="eastAsia"/>
                    </w:rPr>
                    <w:t>5</w:t>
                  </w:r>
                </w:p>
              </w:tc>
              <w:tc>
                <w:tcPr>
                  <w:tcW w:w="707" w:type="dxa"/>
                  <w:noWrap w:val="0"/>
                  <w:vAlign w:val="center"/>
                </w:tcPr>
                <w:p>
                  <w:pPr>
                    <w:pStyle w:val="26"/>
                    <w:jc w:val="center"/>
                  </w:pPr>
                  <w:r>
                    <w:rPr>
                      <w:rFonts w:hint="eastAsia"/>
                    </w:rPr>
                    <w:t>20</w:t>
                  </w:r>
                </w:p>
              </w:tc>
              <w:tc>
                <w:tcPr>
                  <w:tcW w:w="1493" w:type="dxa"/>
                  <w:noWrap w:val="0"/>
                  <w:vAlign w:val="center"/>
                </w:tcPr>
                <w:p>
                  <w:pPr>
                    <w:pStyle w:val="26"/>
                    <w:jc w:val="center"/>
                  </w:pPr>
                  <w:r>
                    <w:rPr>
                      <w:rFonts w:hint="eastAsia"/>
                    </w:rPr>
                    <w:t>100</w:t>
                  </w:r>
                </w:p>
              </w:tc>
              <w:tc>
                <w:tcPr>
                  <w:tcW w:w="1295" w:type="dxa"/>
                  <w:noWrap w:val="0"/>
                  <w:vAlign w:val="center"/>
                </w:tcPr>
                <w:p>
                  <w:pPr>
                    <w:pStyle w:val="26"/>
                    <w:jc w:val="center"/>
                    <w:rPr>
                      <w:rFonts w:hint="eastAsia"/>
                    </w:rPr>
                  </w:pPr>
                  <w:r>
                    <w:rPr>
                      <w:rFonts w:hint="eastAsia"/>
                    </w:rPr>
                    <w:t>塑料瓶包装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noWrap w:val="0"/>
                  <w:vAlign w:val="center"/>
                </w:tcPr>
                <w:p>
                  <w:pPr>
                    <w:pStyle w:val="26"/>
                    <w:jc w:val="center"/>
                    <w:rPr>
                      <w:rFonts w:hint="eastAsia"/>
                    </w:rPr>
                  </w:pPr>
                  <w:r>
                    <w:rPr>
                      <w:rFonts w:hint="eastAsia"/>
                    </w:rPr>
                    <w:t>6</w:t>
                  </w:r>
                </w:p>
              </w:tc>
              <w:tc>
                <w:tcPr>
                  <w:tcW w:w="2768" w:type="dxa"/>
                  <w:noWrap w:val="0"/>
                  <w:vAlign w:val="center"/>
                </w:tcPr>
                <w:p>
                  <w:pPr>
                    <w:pStyle w:val="26"/>
                    <w:jc w:val="center"/>
                    <w:rPr>
                      <w:rFonts w:hint="eastAsia"/>
                    </w:rPr>
                  </w:pPr>
                  <w:r>
                    <w:rPr>
                      <w:rFonts w:hint="eastAsia"/>
                    </w:rPr>
                    <w:t>米库氯铵注射液5ml/10ml</w:t>
                  </w:r>
                </w:p>
              </w:tc>
              <w:tc>
                <w:tcPr>
                  <w:tcW w:w="1256" w:type="dxa"/>
                  <w:noWrap w:val="0"/>
                  <w:vAlign w:val="center"/>
                </w:tcPr>
                <w:p>
                  <w:pPr>
                    <w:pStyle w:val="26"/>
                    <w:jc w:val="center"/>
                  </w:pPr>
                  <w:r>
                    <w:rPr>
                      <w:rFonts w:hint="eastAsia"/>
                    </w:rPr>
                    <w:t>10</w:t>
                  </w:r>
                </w:p>
              </w:tc>
              <w:tc>
                <w:tcPr>
                  <w:tcW w:w="707" w:type="dxa"/>
                  <w:noWrap w:val="0"/>
                  <w:vAlign w:val="center"/>
                </w:tcPr>
                <w:p>
                  <w:pPr>
                    <w:pStyle w:val="26"/>
                    <w:jc w:val="center"/>
                  </w:pPr>
                  <w:r>
                    <w:rPr>
                      <w:rFonts w:hint="eastAsia"/>
                    </w:rPr>
                    <w:t>10</w:t>
                  </w:r>
                </w:p>
              </w:tc>
              <w:tc>
                <w:tcPr>
                  <w:tcW w:w="1493" w:type="dxa"/>
                  <w:noWrap w:val="0"/>
                  <w:vAlign w:val="center"/>
                </w:tcPr>
                <w:p>
                  <w:pPr>
                    <w:pStyle w:val="26"/>
                    <w:jc w:val="center"/>
                  </w:pPr>
                  <w:r>
                    <w:rPr>
                      <w:rFonts w:hint="eastAsia"/>
                    </w:rPr>
                    <w:t>100</w:t>
                  </w:r>
                </w:p>
              </w:tc>
              <w:tc>
                <w:tcPr>
                  <w:tcW w:w="1295" w:type="dxa"/>
                  <w:noWrap w:val="0"/>
                  <w:vAlign w:val="center"/>
                </w:tcPr>
                <w:p>
                  <w:pPr>
                    <w:pStyle w:val="26"/>
                    <w:jc w:val="center"/>
                    <w:rPr>
                      <w:rFonts w:hint="eastAsia"/>
                    </w:rPr>
                  </w:pPr>
                  <w:r>
                    <w:rPr>
                      <w:rFonts w:hint="eastAsia"/>
                    </w:rPr>
                    <w:t>玻璃瓶包装</w:t>
                  </w:r>
                </w:p>
              </w:tc>
            </w:tr>
          </w:tbl>
          <w:p>
            <w:pPr>
              <w:numPr>
                <w:ilvl w:val="0"/>
                <w:numId w:val="0"/>
              </w:numPr>
              <w:adjustRightInd w:val="0"/>
              <w:snapToGrid w:val="0"/>
              <w:spacing w:line="360" w:lineRule="auto"/>
              <w:ind w:firstLine="480" w:firstLineChars="200"/>
              <w:jc w:val="both"/>
              <w:rPr>
                <w:rFonts w:hint="eastAsia" w:cs="Times New Roman"/>
                <w:bCs/>
                <w:color w:val="auto"/>
                <w:sz w:val="24"/>
                <w:szCs w:val="24"/>
                <w:lang w:val="en-US" w:eastAsia="zh-CN"/>
              </w:rPr>
            </w:pPr>
            <w:r>
              <w:rPr>
                <w:rFonts w:hint="eastAsia" w:cs="Times New Roman"/>
                <w:bCs/>
                <w:color w:val="auto"/>
                <w:sz w:val="24"/>
                <w:szCs w:val="24"/>
                <w:lang w:val="en-US" w:eastAsia="zh-CN"/>
              </w:rPr>
              <w:t>（2）冻干产品清单</w:t>
            </w:r>
          </w:p>
          <w:p>
            <w:pPr>
              <w:pStyle w:val="27"/>
              <w:bidi w:val="0"/>
              <w:rPr>
                <w:rFonts w:hint="default"/>
                <w:lang w:val="en-US" w:eastAsia="zh-CN"/>
              </w:rPr>
            </w:pPr>
            <w:r>
              <w:rPr>
                <w:rFonts w:hint="default"/>
                <w:lang w:val="en-US" w:eastAsia="zh-CN"/>
              </w:rPr>
              <w:t>表2-</w:t>
            </w:r>
            <w:r>
              <w:rPr>
                <w:rFonts w:hint="eastAsia"/>
                <w:lang w:val="en-US" w:eastAsia="zh-CN"/>
              </w:rPr>
              <w:t>3</w:t>
            </w:r>
            <w:r>
              <w:rPr>
                <w:rFonts w:hint="default"/>
                <w:lang w:val="en-US" w:eastAsia="zh-CN"/>
              </w:rPr>
              <w:t xml:space="preserve">  </w:t>
            </w:r>
            <w:r>
              <w:rPr>
                <w:rFonts w:hint="eastAsia"/>
                <w:lang w:val="en-US" w:eastAsia="zh-CN"/>
              </w:rPr>
              <w:t>冻干</w:t>
            </w:r>
            <w:r>
              <w:rPr>
                <w:rFonts w:hint="default"/>
                <w:lang w:val="en-US" w:eastAsia="zh-CN"/>
              </w:rPr>
              <w:t>产品清单一览表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745"/>
              <w:gridCol w:w="1076"/>
              <w:gridCol w:w="887"/>
              <w:gridCol w:w="118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noWrap w:val="0"/>
                  <w:vAlign w:val="center"/>
                </w:tcPr>
                <w:p>
                  <w:pPr>
                    <w:pStyle w:val="26"/>
                    <w:jc w:val="center"/>
                    <w:rPr>
                      <w:rFonts w:hint="eastAsia"/>
                      <w:b/>
                      <w:bCs/>
                    </w:rPr>
                  </w:pPr>
                  <w:r>
                    <w:rPr>
                      <w:rFonts w:hint="eastAsia"/>
                      <w:b/>
                      <w:bCs/>
                    </w:rPr>
                    <w:t>序号</w:t>
                  </w:r>
                </w:p>
              </w:tc>
              <w:tc>
                <w:tcPr>
                  <w:tcW w:w="2745" w:type="dxa"/>
                  <w:noWrap w:val="0"/>
                  <w:vAlign w:val="center"/>
                </w:tcPr>
                <w:p>
                  <w:pPr>
                    <w:pStyle w:val="26"/>
                    <w:jc w:val="center"/>
                    <w:rPr>
                      <w:rFonts w:hint="eastAsia"/>
                      <w:b/>
                      <w:bCs/>
                    </w:rPr>
                  </w:pPr>
                  <w:r>
                    <w:rPr>
                      <w:rFonts w:hint="eastAsia"/>
                      <w:b/>
                      <w:bCs/>
                    </w:rPr>
                    <w:t>品名</w:t>
                  </w:r>
                </w:p>
              </w:tc>
              <w:tc>
                <w:tcPr>
                  <w:tcW w:w="1076" w:type="dxa"/>
                  <w:noWrap w:val="0"/>
                  <w:vAlign w:val="center"/>
                </w:tcPr>
                <w:p>
                  <w:pPr>
                    <w:pStyle w:val="26"/>
                    <w:jc w:val="center"/>
                    <w:rPr>
                      <w:rFonts w:hint="eastAsia"/>
                      <w:b/>
                      <w:bCs/>
                    </w:rPr>
                  </w:pPr>
                  <w:r>
                    <w:rPr>
                      <w:rFonts w:hint="eastAsia"/>
                      <w:b/>
                      <w:bCs/>
                    </w:rPr>
                    <w:t>批量（万支/批）</w:t>
                  </w:r>
                </w:p>
              </w:tc>
              <w:tc>
                <w:tcPr>
                  <w:tcW w:w="887" w:type="dxa"/>
                  <w:noWrap w:val="0"/>
                  <w:vAlign w:val="center"/>
                </w:tcPr>
                <w:p>
                  <w:pPr>
                    <w:pStyle w:val="26"/>
                    <w:jc w:val="center"/>
                    <w:rPr>
                      <w:rFonts w:hint="eastAsia"/>
                      <w:b/>
                      <w:bCs/>
                    </w:rPr>
                  </w:pPr>
                  <w:r>
                    <w:rPr>
                      <w:rFonts w:hint="eastAsia"/>
                      <w:b/>
                      <w:bCs/>
                    </w:rPr>
                    <w:t>批/年</w:t>
                  </w:r>
                </w:p>
              </w:tc>
              <w:tc>
                <w:tcPr>
                  <w:tcW w:w="1186" w:type="dxa"/>
                  <w:noWrap w:val="0"/>
                  <w:vAlign w:val="center"/>
                </w:tcPr>
                <w:p>
                  <w:pPr>
                    <w:pStyle w:val="26"/>
                    <w:jc w:val="center"/>
                    <w:rPr>
                      <w:rFonts w:hint="eastAsia"/>
                      <w:b/>
                      <w:bCs/>
                    </w:rPr>
                  </w:pPr>
                  <w:r>
                    <w:rPr>
                      <w:rFonts w:hint="eastAsia"/>
                      <w:b/>
                      <w:bCs/>
                    </w:rPr>
                    <w:t>年产量（万支）</w:t>
                  </w:r>
                </w:p>
              </w:tc>
              <w:tc>
                <w:tcPr>
                  <w:tcW w:w="1602" w:type="dxa"/>
                  <w:noWrap w:val="0"/>
                  <w:vAlign w:val="center"/>
                </w:tcPr>
                <w:p>
                  <w:pPr>
                    <w:pStyle w:val="26"/>
                    <w:jc w:val="center"/>
                    <w:rPr>
                      <w:rFonts w:hint="eastAsia"/>
                      <w:b/>
                      <w:bCs/>
                    </w:rPr>
                  </w:pPr>
                  <w:r>
                    <w:rPr>
                      <w:rFonts w:hint="eastAsia"/>
                      <w:b/>
                      <w:bCs/>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noWrap w:val="0"/>
                  <w:vAlign w:val="center"/>
                </w:tcPr>
                <w:p>
                  <w:pPr>
                    <w:pStyle w:val="26"/>
                    <w:jc w:val="center"/>
                    <w:rPr>
                      <w:rFonts w:hint="eastAsia" w:eastAsia="宋体"/>
                      <w:lang w:eastAsia="zh-CN"/>
                    </w:rPr>
                  </w:pPr>
                  <w:r>
                    <w:rPr>
                      <w:rFonts w:hint="eastAsia"/>
                      <w:lang w:val="en-US" w:eastAsia="zh-CN"/>
                    </w:rPr>
                    <w:t>1</w:t>
                  </w:r>
                </w:p>
              </w:tc>
              <w:tc>
                <w:tcPr>
                  <w:tcW w:w="2745" w:type="dxa"/>
                  <w:noWrap w:val="0"/>
                  <w:vAlign w:val="center"/>
                </w:tcPr>
                <w:p>
                  <w:pPr>
                    <w:pStyle w:val="26"/>
                    <w:jc w:val="center"/>
                  </w:pPr>
                  <w:r>
                    <w:rPr>
                      <w:rFonts w:hint="eastAsia"/>
                    </w:rPr>
                    <w:t>注射用硫酸多粘菌素B-15ml冻干</w:t>
                  </w:r>
                </w:p>
              </w:tc>
              <w:tc>
                <w:tcPr>
                  <w:tcW w:w="1076" w:type="dxa"/>
                  <w:noWrap w:val="0"/>
                  <w:vAlign w:val="center"/>
                </w:tcPr>
                <w:p>
                  <w:pPr>
                    <w:pStyle w:val="26"/>
                    <w:jc w:val="center"/>
                  </w:pPr>
                  <w:r>
                    <w:rPr>
                      <w:rFonts w:hint="eastAsia"/>
                    </w:rPr>
                    <w:t>5</w:t>
                  </w:r>
                </w:p>
              </w:tc>
              <w:tc>
                <w:tcPr>
                  <w:tcW w:w="887" w:type="dxa"/>
                  <w:noWrap w:val="0"/>
                  <w:vAlign w:val="center"/>
                </w:tcPr>
                <w:p>
                  <w:pPr>
                    <w:pStyle w:val="26"/>
                    <w:jc w:val="center"/>
                  </w:pPr>
                  <w:r>
                    <w:rPr>
                      <w:rFonts w:hint="eastAsia"/>
                    </w:rPr>
                    <w:t>20</w:t>
                  </w:r>
                </w:p>
              </w:tc>
              <w:tc>
                <w:tcPr>
                  <w:tcW w:w="1186" w:type="dxa"/>
                  <w:noWrap w:val="0"/>
                  <w:vAlign w:val="center"/>
                </w:tcPr>
                <w:p>
                  <w:pPr>
                    <w:pStyle w:val="26"/>
                    <w:jc w:val="center"/>
                  </w:pPr>
                  <w:r>
                    <w:rPr>
                      <w:rFonts w:hint="eastAsia"/>
                    </w:rPr>
                    <w:t>100</w:t>
                  </w:r>
                </w:p>
              </w:tc>
              <w:tc>
                <w:tcPr>
                  <w:tcW w:w="1602" w:type="dxa"/>
                  <w:noWrap w:val="0"/>
                  <w:vAlign w:val="center"/>
                </w:tcPr>
                <w:p>
                  <w:pPr>
                    <w:pStyle w:val="26"/>
                    <w:jc w:val="center"/>
                    <w:rPr>
                      <w:rFonts w:hint="eastAsia"/>
                    </w:rPr>
                  </w:pPr>
                  <w:r>
                    <w:rPr>
                      <w:rFonts w:hint="eastAsia"/>
                    </w:rPr>
                    <w:t>玻璃瓶包装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noWrap w:val="0"/>
                  <w:vAlign w:val="center"/>
                </w:tcPr>
                <w:p>
                  <w:pPr>
                    <w:pStyle w:val="26"/>
                    <w:jc w:val="center"/>
                    <w:rPr>
                      <w:rFonts w:hint="eastAsia" w:eastAsia="宋体"/>
                      <w:lang w:eastAsia="zh-CN"/>
                    </w:rPr>
                  </w:pPr>
                  <w:r>
                    <w:rPr>
                      <w:rFonts w:hint="eastAsia"/>
                      <w:lang w:val="en-US" w:eastAsia="zh-CN"/>
                    </w:rPr>
                    <w:t>2</w:t>
                  </w:r>
                </w:p>
              </w:tc>
              <w:tc>
                <w:tcPr>
                  <w:tcW w:w="2745" w:type="dxa"/>
                  <w:noWrap w:val="0"/>
                  <w:vAlign w:val="center"/>
                </w:tcPr>
                <w:p>
                  <w:pPr>
                    <w:pStyle w:val="26"/>
                    <w:jc w:val="center"/>
                  </w:pPr>
                  <w:r>
                    <w:rPr>
                      <w:rFonts w:hint="eastAsia"/>
                    </w:rPr>
                    <w:t>ZZ011-2ml</w:t>
                  </w:r>
                </w:p>
              </w:tc>
              <w:tc>
                <w:tcPr>
                  <w:tcW w:w="1076" w:type="dxa"/>
                  <w:noWrap w:val="0"/>
                  <w:vAlign w:val="center"/>
                </w:tcPr>
                <w:p>
                  <w:pPr>
                    <w:pStyle w:val="26"/>
                    <w:jc w:val="center"/>
                  </w:pPr>
                  <w:r>
                    <w:rPr>
                      <w:rFonts w:hint="eastAsia"/>
                    </w:rPr>
                    <w:t>5</w:t>
                  </w:r>
                </w:p>
              </w:tc>
              <w:tc>
                <w:tcPr>
                  <w:tcW w:w="887" w:type="dxa"/>
                  <w:noWrap w:val="0"/>
                  <w:vAlign w:val="center"/>
                </w:tcPr>
                <w:p>
                  <w:pPr>
                    <w:pStyle w:val="26"/>
                    <w:jc w:val="center"/>
                  </w:pPr>
                  <w:r>
                    <w:rPr>
                      <w:rFonts w:hint="eastAsia"/>
                    </w:rPr>
                    <w:t>20</w:t>
                  </w:r>
                </w:p>
              </w:tc>
              <w:tc>
                <w:tcPr>
                  <w:tcW w:w="1186" w:type="dxa"/>
                  <w:noWrap w:val="0"/>
                  <w:vAlign w:val="center"/>
                </w:tcPr>
                <w:p>
                  <w:pPr>
                    <w:pStyle w:val="26"/>
                    <w:jc w:val="center"/>
                  </w:pPr>
                  <w:r>
                    <w:rPr>
                      <w:rFonts w:hint="eastAsia"/>
                    </w:rPr>
                    <w:t>100</w:t>
                  </w:r>
                </w:p>
              </w:tc>
              <w:tc>
                <w:tcPr>
                  <w:tcW w:w="1602" w:type="dxa"/>
                  <w:noWrap w:val="0"/>
                  <w:vAlign w:val="center"/>
                </w:tcPr>
                <w:p>
                  <w:pPr>
                    <w:pStyle w:val="26"/>
                    <w:jc w:val="center"/>
                    <w:rPr>
                      <w:rFonts w:hint="eastAsia"/>
                    </w:rPr>
                  </w:pPr>
                  <w:r>
                    <w:rPr>
                      <w:rFonts w:hint="eastAsia"/>
                    </w:rPr>
                    <w:t>玻璃瓶包装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noWrap w:val="0"/>
                  <w:vAlign w:val="center"/>
                </w:tcPr>
                <w:p>
                  <w:pPr>
                    <w:pStyle w:val="26"/>
                    <w:jc w:val="center"/>
                    <w:rPr>
                      <w:rFonts w:hint="eastAsia" w:eastAsia="宋体"/>
                      <w:lang w:eastAsia="zh-CN"/>
                    </w:rPr>
                  </w:pPr>
                  <w:r>
                    <w:rPr>
                      <w:rFonts w:hint="eastAsia"/>
                      <w:lang w:val="en-US" w:eastAsia="zh-CN"/>
                    </w:rPr>
                    <w:t>3</w:t>
                  </w:r>
                </w:p>
              </w:tc>
              <w:tc>
                <w:tcPr>
                  <w:tcW w:w="2745" w:type="dxa"/>
                  <w:noWrap w:val="0"/>
                  <w:vAlign w:val="center"/>
                </w:tcPr>
                <w:p>
                  <w:pPr>
                    <w:pStyle w:val="26"/>
                    <w:jc w:val="center"/>
                  </w:pPr>
                  <w:r>
                    <w:rPr>
                      <w:rFonts w:hint="eastAsia"/>
                    </w:rPr>
                    <w:t>ZZ012-10ml冻干</w:t>
                  </w:r>
                </w:p>
              </w:tc>
              <w:tc>
                <w:tcPr>
                  <w:tcW w:w="1076" w:type="dxa"/>
                  <w:noWrap w:val="0"/>
                  <w:vAlign w:val="center"/>
                </w:tcPr>
                <w:p>
                  <w:pPr>
                    <w:pStyle w:val="26"/>
                    <w:jc w:val="center"/>
                  </w:pPr>
                  <w:r>
                    <w:rPr>
                      <w:rFonts w:hint="eastAsia"/>
                    </w:rPr>
                    <w:t>5</w:t>
                  </w:r>
                </w:p>
              </w:tc>
              <w:tc>
                <w:tcPr>
                  <w:tcW w:w="887" w:type="dxa"/>
                  <w:noWrap w:val="0"/>
                  <w:vAlign w:val="center"/>
                </w:tcPr>
                <w:p>
                  <w:pPr>
                    <w:pStyle w:val="26"/>
                    <w:jc w:val="center"/>
                  </w:pPr>
                  <w:r>
                    <w:rPr>
                      <w:rFonts w:hint="eastAsia"/>
                    </w:rPr>
                    <w:t>20</w:t>
                  </w:r>
                </w:p>
              </w:tc>
              <w:tc>
                <w:tcPr>
                  <w:tcW w:w="1186" w:type="dxa"/>
                  <w:noWrap w:val="0"/>
                  <w:vAlign w:val="center"/>
                </w:tcPr>
                <w:p>
                  <w:pPr>
                    <w:pStyle w:val="26"/>
                    <w:jc w:val="center"/>
                  </w:pPr>
                  <w:r>
                    <w:rPr>
                      <w:rFonts w:hint="eastAsia"/>
                    </w:rPr>
                    <w:t>100</w:t>
                  </w:r>
                </w:p>
              </w:tc>
              <w:tc>
                <w:tcPr>
                  <w:tcW w:w="1602" w:type="dxa"/>
                  <w:noWrap w:val="0"/>
                  <w:vAlign w:val="center"/>
                </w:tcPr>
                <w:p>
                  <w:pPr>
                    <w:pStyle w:val="26"/>
                    <w:jc w:val="center"/>
                    <w:rPr>
                      <w:rFonts w:hint="eastAsia"/>
                    </w:rPr>
                  </w:pPr>
                  <w:r>
                    <w:rPr>
                      <w:rFonts w:hint="eastAsia"/>
                    </w:rPr>
                    <w:t>玻璃瓶包装</w:t>
                  </w:r>
                </w:p>
              </w:tc>
            </w:tr>
          </w:tbl>
          <w:p>
            <w:pPr>
              <w:numPr>
                <w:ilvl w:val="0"/>
                <w:numId w:val="0"/>
              </w:numPr>
              <w:adjustRightInd w:val="0"/>
              <w:snapToGrid w:val="0"/>
              <w:spacing w:line="360" w:lineRule="auto"/>
              <w:ind w:firstLine="480" w:firstLineChars="200"/>
              <w:jc w:val="both"/>
              <w:rPr>
                <w:rFonts w:hint="eastAsia"/>
                <w:lang w:val="en-US" w:eastAsia="zh-CN"/>
              </w:rPr>
            </w:pPr>
            <w:r>
              <w:rPr>
                <w:rFonts w:hint="eastAsia" w:cs="Times New Roman"/>
                <w:bCs/>
                <w:color w:val="auto"/>
                <w:sz w:val="24"/>
                <w:szCs w:val="24"/>
                <w:lang w:val="en-US" w:eastAsia="zh-CN"/>
              </w:rPr>
              <w:t>（3）胶囊剂产品清单</w:t>
            </w:r>
          </w:p>
          <w:p>
            <w:pPr>
              <w:pStyle w:val="27"/>
              <w:bidi w:val="0"/>
              <w:rPr>
                <w:rFonts w:hint="default"/>
                <w:lang w:val="en-US" w:eastAsia="zh-CN"/>
              </w:rPr>
            </w:pPr>
            <w:r>
              <w:rPr>
                <w:rFonts w:hint="default"/>
                <w:lang w:val="en-US" w:eastAsia="zh-CN"/>
              </w:rPr>
              <w:t>表2-</w:t>
            </w:r>
            <w:r>
              <w:rPr>
                <w:rFonts w:hint="eastAsia"/>
                <w:lang w:val="en-US" w:eastAsia="zh-CN"/>
              </w:rPr>
              <w:t>4</w:t>
            </w:r>
            <w:r>
              <w:rPr>
                <w:rFonts w:hint="default"/>
                <w:lang w:val="en-US" w:eastAsia="zh-CN"/>
              </w:rPr>
              <w:t xml:space="preserve">  胶囊剂产品清单一览表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730"/>
              <w:gridCol w:w="1179"/>
              <w:gridCol w:w="800"/>
              <w:gridCol w:w="981"/>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noWrap w:val="0"/>
                  <w:vAlign w:val="center"/>
                </w:tcPr>
                <w:p>
                  <w:pPr>
                    <w:pStyle w:val="26"/>
                    <w:jc w:val="center"/>
                    <w:rPr>
                      <w:rFonts w:hint="eastAsia"/>
                      <w:b/>
                      <w:bCs/>
                    </w:rPr>
                  </w:pPr>
                  <w:r>
                    <w:rPr>
                      <w:rFonts w:hint="eastAsia"/>
                      <w:b/>
                      <w:bCs/>
                    </w:rPr>
                    <w:t>序号</w:t>
                  </w:r>
                </w:p>
              </w:tc>
              <w:tc>
                <w:tcPr>
                  <w:tcW w:w="2730" w:type="dxa"/>
                  <w:noWrap w:val="0"/>
                  <w:vAlign w:val="center"/>
                </w:tcPr>
                <w:p>
                  <w:pPr>
                    <w:pStyle w:val="26"/>
                    <w:jc w:val="center"/>
                    <w:rPr>
                      <w:rFonts w:hint="eastAsia"/>
                      <w:b/>
                      <w:bCs/>
                    </w:rPr>
                  </w:pPr>
                  <w:r>
                    <w:rPr>
                      <w:rFonts w:hint="eastAsia"/>
                      <w:b/>
                      <w:bCs/>
                    </w:rPr>
                    <w:t>品名</w:t>
                  </w:r>
                </w:p>
              </w:tc>
              <w:tc>
                <w:tcPr>
                  <w:tcW w:w="1179" w:type="dxa"/>
                  <w:noWrap w:val="0"/>
                  <w:vAlign w:val="center"/>
                </w:tcPr>
                <w:p>
                  <w:pPr>
                    <w:pStyle w:val="26"/>
                    <w:jc w:val="center"/>
                    <w:rPr>
                      <w:rFonts w:hint="eastAsia"/>
                      <w:b/>
                      <w:bCs/>
                    </w:rPr>
                  </w:pPr>
                  <w:r>
                    <w:rPr>
                      <w:rFonts w:hint="eastAsia"/>
                      <w:b/>
                      <w:bCs/>
                    </w:rPr>
                    <w:t>批量（万粒/批）</w:t>
                  </w:r>
                </w:p>
              </w:tc>
              <w:tc>
                <w:tcPr>
                  <w:tcW w:w="800" w:type="dxa"/>
                  <w:noWrap w:val="0"/>
                  <w:vAlign w:val="center"/>
                </w:tcPr>
                <w:p>
                  <w:pPr>
                    <w:pStyle w:val="26"/>
                    <w:jc w:val="center"/>
                    <w:rPr>
                      <w:rFonts w:hint="eastAsia"/>
                      <w:b/>
                      <w:bCs/>
                    </w:rPr>
                  </w:pPr>
                  <w:r>
                    <w:rPr>
                      <w:rFonts w:hint="eastAsia"/>
                      <w:b/>
                      <w:bCs/>
                    </w:rPr>
                    <w:t>批/年</w:t>
                  </w:r>
                </w:p>
              </w:tc>
              <w:tc>
                <w:tcPr>
                  <w:tcW w:w="981" w:type="dxa"/>
                  <w:noWrap w:val="0"/>
                  <w:vAlign w:val="center"/>
                </w:tcPr>
                <w:p>
                  <w:pPr>
                    <w:pStyle w:val="26"/>
                    <w:jc w:val="center"/>
                    <w:rPr>
                      <w:rFonts w:hint="eastAsia"/>
                      <w:b/>
                      <w:bCs/>
                    </w:rPr>
                  </w:pPr>
                  <w:r>
                    <w:rPr>
                      <w:rFonts w:hint="eastAsia"/>
                      <w:b/>
                      <w:bCs/>
                    </w:rPr>
                    <w:t>年产量（万粒）</w:t>
                  </w:r>
                </w:p>
              </w:tc>
              <w:tc>
                <w:tcPr>
                  <w:tcW w:w="1792" w:type="dxa"/>
                  <w:noWrap w:val="0"/>
                  <w:vAlign w:val="center"/>
                </w:tcPr>
                <w:p>
                  <w:pPr>
                    <w:pStyle w:val="26"/>
                    <w:jc w:val="center"/>
                    <w:rPr>
                      <w:rFonts w:hint="eastAsia"/>
                      <w:b/>
                      <w:bCs/>
                    </w:rPr>
                  </w:pPr>
                  <w:r>
                    <w:rPr>
                      <w:rFonts w:hint="eastAsia"/>
                      <w:b/>
                      <w:bCs/>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noWrap w:val="0"/>
                  <w:vAlign w:val="center"/>
                </w:tcPr>
                <w:p>
                  <w:pPr>
                    <w:pStyle w:val="26"/>
                    <w:jc w:val="center"/>
                    <w:rPr>
                      <w:rFonts w:hint="eastAsia"/>
                    </w:rPr>
                  </w:pPr>
                  <w:r>
                    <w:rPr>
                      <w:rFonts w:hint="eastAsia"/>
                    </w:rPr>
                    <w:t>1</w:t>
                  </w:r>
                </w:p>
              </w:tc>
              <w:tc>
                <w:tcPr>
                  <w:tcW w:w="2730" w:type="dxa"/>
                  <w:noWrap w:val="0"/>
                  <w:vAlign w:val="center"/>
                </w:tcPr>
                <w:p>
                  <w:pPr>
                    <w:pStyle w:val="26"/>
                    <w:jc w:val="center"/>
                    <w:rPr>
                      <w:rFonts w:hint="eastAsia"/>
                    </w:rPr>
                  </w:pPr>
                  <w:r>
                    <w:rPr>
                      <w:rFonts w:hint="eastAsia"/>
                    </w:rPr>
                    <w:t>环丝氨酸胶囊-250mg</w:t>
                  </w:r>
                </w:p>
              </w:tc>
              <w:tc>
                <w:tcPr>
                  <w:tcW w:w="1179" w:type="dxa"/>
                  <w:noWrap w:val="0"/>
                  <w:vAlign w:val="center"/>
                </w:tcPr>
                <w:p>
                  <w:pPr>
                    <w:pStyle w:val="26"/>
                    <w:jc w:val="center"/>
                  </w:pPr>
                  <w:r>
                    <w:rPr>
                      <w:rFonts w:hint="eastAsia"/>
                    </w:rPr>
                    <w:t>20</w:t>
                  </w:r>
                </w:p>
              </w:tc>
              <w:tc>
                <w:tcPr>
                  <w:tcW w:w="800" w:type="dxa"/>
                  <w:noWrap w:val="0"/>
                  <w:vAlign w:val="center"/>
                </w:tcPr>
                <w:p>
                  <w:pPr>
                    <w:pStyle w:val="26"/>
                    <w:jc w:val="center"/>
                  </w:pPr>
                  <w:r>
                    <w:rPr>
                      <w:rFonts w:hint="eastAsia"/>
                    </w:rPr>
                    <w:t>20</w:t>
                  </w:r>
                </w:p>
              </w:tc>
              <w:tc>
                <w:tcPr>
                  <w:tcW w:w="981" w:type="dxa"/>
                  <w:noWrap w:val="0"/>
                  <w:vAlign w:val="center"/>
                </w:tcPr>
                <w:p>
                  <w:pPr>
                    <w:pStyle w:val="26"/>
                    <w:jc w:val="center"/>
                  </w:pPr>
                  <w:r>
                    <w:rPr>
                      <w:rFonts w:hint="eastAsia"/>
                    </w:rPr>
                    <w:t>400</w:t>
                  </w:r>
                </w:p>
              </w:tc>
              <w:tc>
                <w:tcPr>
                  <w:tcW w:w="1792" w:type="dxa"/>
                  <w:noWrap w:val="0"/>
                  <w:vAlign w:val="center"/>
                </w:tcPr>
                <w:p>
                  <w:pPr>
                    <w:pStyle w:val="26"/>
                    <w:jc w:val="center"/>
                    <w:rPr>
                      <w:rFonts w:hint="eastAsia"/>
                    </w:rPr>
                  </w:pPr>
                  <w:r>
                    <w:rPr>
                      <w:rFonts w:hint="eastAsia"/>
                    </w:rPr>
                    <w:t>铝塑泡罩包装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noWrap w:val="0"/>
                  <w:vAlign w:val="center"/>
                </w:tcPr>
                <w:p>
                  <w:pPr>
                    <w:pStyle w:val="26"/>
                    <w:jc w:val="center"/>
                    <w:rPr>
                      <w:rFonts w:hint="eastAsia"/>
                    </w:rPr>
                  </w:pPr>
                  <w:r>
                    <w:rPr>
                      <w:rFonts w:hint="eastAsia"/>
                    </w:rPr>
                    <w:t>2</w:t>
                  </w:r>
                </w:p>
              </w:tc>
              <w:tc>
                <w:tcPr>
                  <w:tcW w:w="2730" w:type="dxa"/>
                  <w:noWrap w:val="0"/>
                  <w:vAlign w:val="center"/>
                </w:tcPr>
                <w:p>
                  <w:pPr>
                    <w:pStyle w:val="26"/>
                    <w:jc w:val="center"/>
                    <w:rPr>
                      <w:rFonts w:hint="eastAsia"/>
                    </w:rPr>
                  </w:pPr>
                  <w:r>
                    <w:rPr>
                      <w:rFonts w:hint="eastAsia"/>
                    </w:rPr>
                    <w:t>罗沙司他胶囊-20mg</w:t>
                  </w:r>
                </w:p>
              </w:tc>
              <w:tc>
                <w:tcPr>
                  <w:tcW w:w="1179" w:type="dxa"/>
                  <w:noWrap w:val="0"/>
                  <w:vAlign w:val="center"/>
                </w:tcPr>
                <w:p>
                  <w:pPr>
                    <w:pStyle w:val="26"/>
                    <w:jc w:val="center"/>
                  </w:pPr>
                  <w:r>
                    <w:rPr>
                      <w:rFonts w:hint="eastAsia"/>
                    </w:rPr>
                    <w:t>20</w:t>
                  </w:r>
                </w:p>
              </w:tc>
              <w:tc>
                <w:tcPr>
                  <w:tcW w:w="800" w:type="dxa"/>
                  <w:vMerge w:val="restart"/>
                  <w:noWrap w:val="0"/>
                  <w:vAlign w:val="center"/>
                </w:tcPr>
                <w:p>
                  <w:pPr>
                    <w:pStyle w:val="26"/>
                    <w:jc w:val="center"/>
                  </w:pPr>
                  <w:r>
                    <w:rPr>
                      <w:rFonts w:hint="eastAsia"/>
                    </w:rPr>
                    <w:t>33</w:t>
                  </w:r>
                </w:p>
              </w:tc>
              <w:tc>
                <w:tcPr>
                  <w:tcW w:w="981" w:type="dxa"/>
                  <w:vMerge w:val="restart"/>
                  <w:noWrap w:val="0"/>
                  <w:vAlign w:val="center"/>
                </w:tcPr>
                <w:p>
                  <w:pPr>
                    <w:pStyle w:val="26"/>
                    <w:jc w:val="center"/>
                  </w:pPr>
                  <w:r>
                    <w:rPr>
                      <w:rFonts w:hint="eastAsia"/>
                    </w:rPr>
                    <w:t>100</w:t>
                  </w:r>
                </w:p>
              </w:tc>
              <w:tc>
                <w:tcPr>
                  <w:tcW w:w="1792" w:type="dxa"/>
                  <w:vMerge w:val="restart"/>
                  <w:noWrap w:val="0"/>
                  <w:vAlign w:val="center"/>
                </w:tcPr>
                <w:p>
                  <w:pPr>
                    <w:pStyle w:val="26"/>
                    <w:jc w:val="center"/>
                    <w:rPr>
                      <w:rFonts w:hint="eastAsia"/>
                    </w:rPr>
                  </w:pPr>
                  <w:r>
                    <w:rPr>
                      <w:rFonts w:hint="eastAsia"/>
                    </w:rPr>
                    <w:t>铝塑泡罩包装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2" w:type="dxa"/>
                  <w:noWrap w:val="0"/>
                  <w:vAlign w:val="center"/>
                </w:tcPr>
                <w:p>
                  <w:pPr>
                    <w:pStyle w:val="26"/>
                    <w:jc w:val="center"/>
                    <w:rPr>
                      <w:rFonts w:hint="eastAsia"/>
                    </w:rPr>
                  </w:pPr>
                  <w:r>
                    <w:rPr>
                      <w:rFonts w:hint="eastAsia"/>
                    </w:rPr>
                    <w:t>3</w:t>
                  </w:r>
                </w:p>
              </w:tc>
              <w:tc>
                <w:tcPr>
                  <w:tcW w:w="2730" w:type="dxa"/>
                  <w:noWrap w:val="0"/>
                  <w:vAlign w:val="center"/>
                </w:tcPr>
                <w:p>
                  <w:pPr>
                    <w:pStyle w:val="26"/>
                    <w:jc w:val="center"/>
                    <w:rPr>
                      <w:rFonts w:hint="eastAsia"/>
                    </w:rPr>
                  </w:pPr>
                  <w:r>
                    <w:rPr>
                      <w:rFonts w:hint="eastAsia"/>
                    </w:rPr>
                    <w:t>罗沙司他胶囊-50mg</w:t>
                  </w:r>
                </w:p>
              </w:tc>
              <w:tc>
                <w:tcPr>
                  <w:tcW w:w="1179" w:type="dxa"/>
                  <w:noWrap w:val="0"/>
                  <w:vAlign w:val="center"/>
                </w:tcPr>
                <w:p>
                  <w:pPr>
                    <w:pStyle w:val="26"/>
                    <w:jc w:val="center"/>
                  </w:pPr>
                  <w:r>
                    <w:rPr>
                      <w:rFonts w:hint="eastAsia"/>
                    </w:rPr>
                    <w:t>10</w:t>
                  </w:r>
                </w:p>
              </w:tc>
              <w:tc>
                <w:tcPr>
                  <w:tcW w:w="800" w:type="dxa"/>
                  <w:vMerge w:val="continue"/>
                  <w:noWrap w:val="0"/>
                  <w:vAlign w:val="center"/>
                </w:tcPr>
                <w:p>
                  <w:pPr>
                    <w:pStyle w:val="26"/>
                    <w:jc w:val="center"/>
                    <w:rPr>
                      <w:rFonts w:hint="eastAsia"/>
                    </w:rPr>
                  </w:pPr>
                </w:p>
              </w:tc>
              <w:tc>
                <w:tcPr>
                  <w:tcW w:w="981" w:type="dxa"/>
                  <w:vMerge w:val="continue"/>
                  <w:noWrap w:val="0"/>
                  <w:vAlign w:val="center"/>
                </w:tcPr>
                <w:p>
                  <w:pPr>
                    <w:pStyle w:val="26"/>
                    <w:jc w:val="center"/>
                    <w:rPr>
                      <w:rFonts w:hint="eastAsia"/>
                    </w:rPr>
                  </w:pPr>
                </w:p>
              </w:tc>
              <w:tc>
                <w:tcPr>
                  <w:tcW w:w="1792" w:type="dxa"/>
                  <w:vMerge w:val="continue"/>
                  <w:noWrap w:val="0"/>
                  <w:vAlign w:val="center"/>
                </w:tcPr>
                <w:p>
                  <w:pPr>
                    <w:pStyle w:val="26"/>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noWrap w:val="0"/>
                  <w:vAlign w:val="center"/>
                </w:tcPr>
                <w:p>
                  <w:pPr>
                    <w:pStyle w:val="26"/>
                    <w:jc w:val="center"/>
                  </w:pPr>
                  <w:r>
                    <w:rPr>
                      <w:rFonts w:hint="eastAsia"/>
                    </w:rPr>
                    <w:t>4</w:t>
                  </w:r>
                </w:p>
              </w:tc>
              <w:tc>
                <w:tcPr>
                  <w:tcW w:w="2730" w:type="dxa"/>
                  <w:noWrap w:val="0"/>
                  <w:vAlign w:val="center"/>
                </w:tcPr>
                <w:p>
                  <w:pPr>
                    <w:pStyle w:val="26"/>
                    <w:jc w:val="center"/>
                  </w:pPr>
                  <w:r>
                    <w:rPr>
                      <w:rFonts w:hint="eastAsia"/>
                    </w:rPr>
                    <w:t>ZZ010-4mg</w:t>
                  </w:r>
                </w:p>
              </w:tc>
              <w:tc>
                <w:tcPr>
                  <w:tcW w:w="1179" w:type="dxa"/>
                  <w:noWrap w:val="0"/>
                  <w:vAlign w:val="center"/>
                </w:tcPr>
                <w:p>
                  <w:pPr>
                    <w:pStyle w:val="26"/>
                    <w:jc w:val="center"/>
                  </w:pPr>
                  <w:r>
                    <w:rPr>
                      <w:rFonts w:hint="eastAsia"/>
                    </w:rPr>
                    <w:t>10</w:t>
                  </w:r>
                </w:p>
              </w:tc>
              <w:tc>
                <w:tcPr>
                  <w:tcW w:w="800" w:type="dxa"/>
                  <w:noWrap w:val="0"/>
                  <w:vAlign w:val="center"/>
                </w:tcPr>
                <w:p>
                  <w:pPr>
                    <w:pStyle w:val="26"/>
                    <w:jc w:val="center"/>
                  </w:pPr>
                  <w:r>
                    <w:rPr>
                      <w:rFonts w:hint="eastAsia"/>
                    </w:rPr>
                    <w:t>10</w:t>
                  </w:r>
                </w:p>
              </w:tc>
              <w:tc>
                <w:tcPr>
                  <w:tcW w:w="981" w:type="dxa"/>
                  <w:noWrap w:val="0"/>
                  <w:vAlign w:val="center"/>
                </w:tcPr>
                <w:p>
                  <w:pPr>
                    <w:pStyle w:val="26"/>
                    <w:jc w:val="center"/>
                  </w:pPr>
                  <w:r>
                    <w:rPr>
                      <w:rFonts w:hint="eastAsia"/>
                    </w:rPr>
                    <w:t>100</w:t>
                  </w:r>
                </w:p>
              </w:tc>
              <w:tc>
                <w:tcPr>
                  <w:tcW w:w="1792" w:type="dxa"/>
                  <w:noWrap w:val="0"/>
                  <w:vAlign w:val="center"/>
                </w:tcPr>
                <w:p>
                  <w:pPr>
                    <w:pStyle w:val="26"/>
                    <w:jc w:val="center"/>
                    <w:rPr>
                      <w:rFonts w:hint="eastAsia"/>
                    </w:rPr>
                  </w:pPr>
                  <w:r>
                    <w:rPr>
                      <w:rFonts w:hint="eastAsia"/>
                    </w:rPr>
                    <w:t>铝塑泡罩包装</w:t>
                  </w:r>
                </w:p>
              </w:tc>
            </w:tr>
          </w:tbl>
          <w:p>
            <w:pPr>
              <w:numPr>
                <w:ilvl w:val="0"/>
                <w:numId w:val="0"/>
              </w:numPr>
              <w:adjustRightInd w:val="0"/>
              <w:snapToGrid w:val="0"/>
              <w:spacing w:line="360" w:lineRule="auto"/>
              <w:ind w:firstLine="480" w:firstLineChars="200"/>
              <w:jc w:val="both"/>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（4）颗粒剂产品</w:t>
            </w:r>
          </w:p>
          <w:p>
            <w:pPr>
              <w:numPr>
                <w:ilvl w:val="0"/>
                <w:numId w:val="0"/>
              </w:numPr>
              <w:adjustRightInd w:val="0"/>
              <w:snapToGrid w:val="0"/>
              <w:spacing w:line="360" w:lineRule="auto"/>
              <w:jc w:val="center"/>
              <w:rPr>
                <w:rFonts w:hint="default"/>
                <w:b/>
                <w:bCs/>
                <w:sz w:val="21"/>
                <w:szCs w:val="21"/>
                <w:lang w:val="en-US" w:eastAsia="zh-CN"/>
              </w:rPr>
            </w:pPr>
            <w:r>
              <w:rPr>
                <w:rFonts w:hint="default"/>
                <w:b/>
                <w:bCs/>
                <w:sz w:val="21"/>
                <w:szCs w:val="21"/>
                <w:lang w:val="en-US" w:eastAsia="zh-CN"/>
              </w:rPr>
              <w:t>表2-</w:t>
            </w:r>
            <w:r>
              <w:rPr>
                <w:rFonts w:hint="eastAsia"/>
                <w:b/>
                <w:bCs/>
                <w:sz w:val="21"/>
                <w:szCs w:val="21"/>
                <w:lang w:val="en-US" w:eastAsia="zh-CN"/>
              </w:rPr>
              <w:t>5</w:t>
            </w:r>
            <w:r>
              <w:rPr>
                <w:rFonts w:hint="default"/>
                <w:b/>
                <w:bCs/>
                <w:sz w:val="21"/>
                <w:szCs w:val="21"/>
                <w:lang w:val="en-US" w:eastAsia="zh-CN"/>
              </w:rPr>
              <w:t xml:space="preserve">  </w:t>
            </w:r>
            <w:r>
              <w:rPr>
                <w:rFonts w:hint="eastAsia"/>
                <w:b/>
                <w:bCs/>
                <w:sz w:val="21"/>
                <w:szCs w:val="21"/>
                <w:lang w:val="en-US" w:eastAsia="zh-CN"/>
              </w:rPr>
              <w:t>颗粒剂</w:t>
            </w:r>
            <w:r>
              <w:rPr>
                <w:rFonts w:hint="default"/>
                <w:b/>
                <w:bCs/>
                <w:sz w:val="21"/>
                <w:szCs w:val="21"/>
                <w:lang w:val="en-US" w:eastAsia="zh-CN"/>
              </w:rPr>
              <w:t>产品清单一览表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518"/>
              <w:gridCol w:w="1648"/>
              <w:gridCol w:w="696"/>
              <w:gridCol w:w="1621"/>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noWrap w:val="0"/>
                  <w:vAlign w:val="center"/>
                </w:tcPr>
                <w:p>
                  <w:pPr>
                    <w:pStyle w:val="26"/>
                    <w:jc w:val="center"/>
                    <w:rPr>
                      <w:rFonts w:hint="eastAsia"/>
                      <w:b/>
                      <w:bCs/>
                    </w:rPr>
                  </w:pPr>
                  <w:r>
                    <w:rPr>
                      <w:rFonts w:hint="eastAsia"/>
                      <w:b/>
                      <w:bCs/>
                    </w:rPr>
                    <w:t>序号</w:t>
                  </w:r>
                </w:p>
              </w:tc>
              <w:tc>
                <w:tcPr>
                  <w:tcW w:w="1563" w:type="dxa"/>
                  <w:noWrap w:val="0"/>
                  <w:vAlign w:val="center"/>
                </w:tcPr>
                <w:p>
                  <w:pPr>
                    <w:pStyle w:val="26"/>
                    <w:jc w:val="center"/>
                    <w:rPr>
                      <w:rFonts w:hint="eastAsia"/>
                      <w:b/>
                      <w:bCs/>
                    </w:rPr>
                  </w:pPr>
                  <w:r>
                    <w:rPr>
                      <w:rFonts w:hint="eastAsia"/>
                      <w:b/>
                      <w:bCs/>
                    </w:rPr>
                    <w:t>品名</w:t>
                  </w:r>
                </w:p>
              </w:tc>
              <w:tc>
                <w:tcPr>
                  <w:tcW w:w="1697" w:type="dxa"/>
                  <w:noWrap w:val="0"/>
                  <w:vAlign w:val="center"/>
                </w:tcPr>
                <w:p>
                  <w:pPr>
                    <w:pStyle w:val="26"/>
                    <w:jc w:val="center"/>
                    <w:rPr>
                      <w:rFonts w:hint="eastAsia"/>
                      <w:b/>
                      <w:bCs/>
                    </w:rPr>
                  </w:pPr>
                  <w:r>
                    <w:rPr>
                      <w:rFonts w:hint="eastAsia"/>
                      <w:b/>
                      <w:bCs/>
                    </w:rPr>
                    <w:t>批量（万袋/批）</w:t>
                  </w:r>
                </w:p>
              </w:tc>
              <w:tc>
                <w:tcPr>
                  <w:tcW w:w="712" w:type="dxa"/>
                  <w:noWrap w:val="0"/>
                  <w:vAlign w:val="center"/>
                </w:tcPr>
                <w:p>
                  <w:pPr>
                    <w:pStyle w:val="26"/>
                    <w:jc w:val="center"/>
                    <w:rPr>
                      <w:rFonts w:hint="eastAsia"/>
                      <w:b/>
                      <w:bCs/>
                    </w:rPr>
                  </w:pPr>
                  <w:r>
                    <w:rPr>
                      <w:rFonts w:hint="eastAsia"/>
                      <w:b/>
                      <w:bCs/>
                    </w:rPr>
                    <w:t>批/年</w:t>
                  </w:r>
                </w:p>
              </w:tc>
              <w:tc>
                <w:tcPr>
                  <w:tcW w:w="1669" w:type="dxa"/>
                  <w:noWrap w:val="0"/>
                  <w:vAlign w:val="center"/>
                </w:tcPr>
                <w:p>
                  <w:pPr>
                    <w:pStyle w:val="26"/>
                    <w:jc w:val="center"/>
                    <w:rPr>
                      <w:rFonts w:hint="eastAsia"/>
                      <w:b/>
                      <w:bCs/>
                    </w:rPr>
                  </w:pPr>
                  <w:r>
                    <w:rPr>
                      <w:rFonts w:hint="eastAsia"/>
                      <w:b/>
                      <w:bCs/>
                    </w:rPr>
                    <w:t>年产量（万袋）</w:t>
                  </w:r>
                </w:p>
              </w:tc>
              <w:tc>
                <w:tcPr>
                  <w:tcW w:w="2075" w:type="dxa"/>
                  <w:noWrap w:val="0"/>
                  <w:vAlign w:val="center"/>
                </w:tcPr>
                <w:p>
                  <w:pPr>
                    <w:pStyle w:val="26"/>
                    <w:jc w:val="center"/>
                    <w:rPr>
                      <w:rFonts w:hint="eastAsia"/>
                      <w:b/>
                      <w:bCs/>
                    </w:rPr>
                  </w:pPr>
                  <w:r>
                    <w:rPr>
                      <w:rFonts w:hint="eastAsia"/>
                      <w:b/>
                      <w:bCs/>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noWrap w:val="0"/>
                  <w:vAlign w:val="center"/>
                </w:tcPr>
                <w:p>
                  <w:pPr>
                    <w:pStyle w:val="26"/>
                    <w:jc w:val="center"/>
                    <w:rPr>
                      <w:rFonts w:hint="eastAsia"/>
                    </w:rPr>
                  </w:pPr>
                  <w:r>
                    <w:rPr>
                      <w:rFonts w:hint="eastAsia"/>
                    </w:rPr>
                    <w:t>1</w:t>
                  </w:r>
                </w:p>
              </w:tc>
              <w:tc>
                <w:tcPr>
                  <w:tcW w:w="1563" w:type="dxa"/>
                  <w:noWrap w:val="0"/>
                  <w:vAlign w:val="center"/>
                </w:tcPr>
                <w:p>
                  <w:pPr>
                    <w:pStyle w:val="26"/>
                    <w:jc w:val="center"/>
                    <w:rPr>
                      <w:rFonts w:hint="eastAsia"/>
                    </w:rPr>
                  </w:pPr>
                  <w:r>
                    <w:rPr>
                      <w:rFonts w:hint="eastAsia"/>
                    </w:rPr>
                    <w:t>洛索洛芬钠颗粒剂-60mg</w:t>
                  </w:r>
                </w:p>
              </w:tc>
              <w:tc>
                <w:tcPr>
                  <w:tcW w:w="1697" w:type="dxa"/>
                  <w:noWrap w:val="0"/>
                  <w:vAlign w:val="center"/>
                </w:tcPr>
                <w:p>
                  <w:pPr>
                    <w:pStyle w:val="26"/>
                    <w:jc w:val="center"/>
                  </w:pPr>
                  <w:r>
                    <w:rPr>
                      <w:rFonts w:hint="eastAsia"/>
                    </w:rPr>
                    <w:t>10</w:t>
                  </w:r>
                </w:p>
              </w:tc>
              <w:tc>
                <w:tcPr>
                  <w:tcW w:w="712" w:type="dxa"/>
                  <w:noWrap w:val="0"/>
                  <w:vAlign w:val="center"/>
                </w:tcPr>
                <w:p>
                  <w:pPr>
                    <w:pStyle w:val="26"/>
                    <w:jc w:val="center"/>
                  </w:pPr>
                  <w:r>
                    <w:rPr>
                      <w:rFonts w:hint="eastAsia"/>
                    </w:rPr>
                    <w:t>10</w:t>
                  </w:r>
                </w:p>
              </w:tc>
              <w:tc>
                <w:tcPr>
                  <w:tcW w:w="1669" w:type="dxa"/>
                  <w:noWrap w:val="0"/>
                  <w:vAlign w:val="center"/>
                </w:tcPr>
                <w:p>
                  <w:pPr>
                    <w:pStyle w:val="26"/>
                    <w:jc w:val="center"/>
                  </w:pPr>
                  <w:r>
                    <w:rPr>
                      <w:rFonts w:hint="eastAsia"/>
                    </w:rPr>
                    <w:t>100</w:t>
                  </w:r>
                </w:p>
              </w:tc>
              <w:tc>
                <w:tcPr>
                  <w:tcW w:w="2075" w:type="dxa"/>
                  <w:noWrap w:val="0"/>
                  <w:vAlign w:val="center"/>
                </w:tcPr>
                <w:p>
                  <w:pPr>
                    <w:pStyle w:val="26"/>
                    <w:jc w:val="center"/>
                    <w:rPr>
                      <w:rFonts w:hint="eastAsia"/>
                    </w:rPr>
                  </w:pPr>
                  <w:r>
                    <w:rPr>
                      <w:rFonts w:hint="eastAsia"/>
                    </w:rPr>
                    <w:t>聚乙烯药用复合袋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noWrap w:val="0"/>
                  <w:vAlign w:val="center"/>
                </w:tcPr>
                <w:p>
                  <w:pPr>
                    <w:pStyle w:val="26"/>
                    <w:jc w:val="center"/>
                  </w:pPr>
                  <w:r>
                    <w:rPr>
                      <w:rFonts w:hint="eastAsia"/>
                    </w:rPr>
                    <w:t>2</w:t>
                  </w:r>
                </w:p>
              </w:tc>
              <w:tc>
                <w:tcPr>
                  <w:tcW w:w="1563" w:type="dxa"/>
                  <w:noWrap w:val="0"/>
                  <w:vAlign w:val="center"/>
                </w:tcPr>
                <w:p>
                  <w:pPr>
                    <w:pStyle w:val="26"/>
                    <w:jc w:val="center"/>
                  </w:pPr>
                  <w:r>
                    <w:rPr>
                      <w:rFonts w:hint="eastAsia"/>
                    </w:rPr>
                    <w:t>ZZ014-0.5g</w:t>
                  </w:r>
                </w:p>
              </w:tc>
              <w:tc>
                <w:tcPr>
                  <w:tcW w:w="1697" w:type="dxa"/>
                  <w:noWrap w:val="0"/>
                  <w:vAlign w:val="center"/>
                </w:tcPr>
                <w:p>
                  <w:pPr>
                    <w:pStyle w:val="26"/>
                    <w:jc w:val="center"/>
                  </w:pPr>
                  <w:r>
                    <w:rPr>
                      <w:rFonts w:hint="eastAsia"/>
                    </w:rPr>
                    <w:t>10</w:t>
                  </w:r>
                </w:p>
              </w:tc>
              <w:tc>
                <w:tcPr>
                  <w:tcW w:w="712" w:type="dxa"/>
                  <w:noWrap w:val="0"/>
                  <w:vAlign w:val="center"/>
                </w:tcPr>
                <w:p>
                  <w:pPr>
                    <w:pStyle w:val="26"/>
                    <w:jc w:val="center"/>
                  </w:pPr>
                  <w:r>
                    <w:rPr>
                      <w:rFonts w:hint="eastAsia"/>
                    </w:rPr>
                    <w:t>10</w:t>
                  </w:r>
                </w:p>
              </w:tc>
              <w:tc>
                <w:tcPr>
                  <w:tcW w:w="1669" w:type="dxa"/>
                  <w:noWrap w:val="0"/>
                  <w:vAlign w:val="center"/>
                </w:tcPr>
                <w:p>
                  <w:pPr>
                    <w:pStyle w:val="26"/>
                    <w:jc w:val="center"/>
                  </w:pPr>
                  <w:r>
                    <w:rPr>
                      <w:rFonts w:hint="eastAsia"/>
                    </w:rPr>
                    <w:t>100</w:t>
                  </w:r>
                </w:p>
              </w:tc>
              <w:tc>
                <w:tcPr>
                  <w:tcW w:w="2075" w:type="dxa"/>
                  <w:noWrap w:val="0"/>
                  <w:vAlign w:val="center"/>
                </w:tcPr>
                <w:p>
                  <w:pPr>
                    <w:pStyle w:val="26"/>
                    <w:jc w:val="center"/>
                    <w:rPr>
                      <w:rFonts w:hint="eastAsia"/>
                    </w:rPr>
                  </w:pPr>
                  <w:r>
                    <w:rPr>
                      <w:rFonts w:hint="eastAsia"/>
                    </w:rPr>
                    <w:t>聚乙烯药用复合袋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4" w:type="dxa"/>
                  <w:noWrap w:val="0"/>
                  <w:vAlign w:val="center"/>
                </w:tcPr>
                <w:p>
                  <w:pPr>
                    <w:pStyle w:val="26"/>
                    <w:jc w:val="center"/>
                  </w:pPr>
                  <w:r>
                    <w:rPr>
                      <w:rFonts w:hint="eastAsia"/>
                    </w:rPr>
                    <w:t>3</w:t>
                  </w:r>
                </w:p>
              </w:tc>
              <w:tc>
                <w:tcPr>
                  <w:tcW w:w="1563" w:type="dxa"/>
                  <w:noWrap w:val="0"/>
                  <w:vAlign w:val="center"/>
                </w:tcPr>
                <w:p>
                  <w:pPr>
                    <w:pStyle w:val="26"/>
                    <w:jc w:val="center"/>
                  </w:pPr>
                  <w:r>
                    <w:rPr>
                      <w:rFonts w:hint="eastAsia"/>
                    </w:rPr>
                    <w:t>ZZ015-0.5g</w:t>
                  </w:r>
                </w:p>
              </w:tc>
              <w:tc>
                <w:tcPr>
                  <w:tcW w:w="1697" w:type="dxa"/>
                  <w:noWrap w:val="0"/>
                  <w:vAlign w:val="center"/>
                </w:tcPr>
                <w:p>
                  <w:pPr>
                    <w:pStyle w:val="26"/>
                    <w:jc w:val="center"/>
                  </w:pPr>
                  <w:r>
                    <w:rPr>
                      <w:rFonts w:hint="eastAsia"/>
                    </w:rPr>
                    <w:t>10</w:t>
                  </w:r>
                </w:p>
              </w:tc>
              <w:tc>
                <w:tcPr>
                  <w:tcW w:w="712" w:type="dxa"/>
                  <w:noWrap w:val="0"/>
                  <w:vAlign w:val="center"/>
                </w:tcPr>
                <w:p>
                  <w:pPr>
                    <w:pStyle w:val="26"/>
                    <w:jc w:val="center"/>
                  </w:pPr>
                  <w:r>
                    <w:rPr>
                      <w:rFonts w:hint="eastAsia"/>
                    </w:rPr>
                    <w:t>10</w:t>
                  </w:r>
                </w:p>
              </w:tc>
              <w:tc>
                <w:tcPr>
                  <w:tcW w:w="1669" w:type="dxa"/>
                  <w:noWrap w:val="0"/>
                  <w:vAlign w:val="center"/>
                </w:tcPr>
                <w:p>
                  <w:pPr>
                    <w:pStyle w:val="26"/>
                    <w:jc w:val="center"/>
                  </w:pPr>
                  <w:r>
                    <w:rPr>
                      <w:rFonts w:hint="eastAsia"/>
                    </w:rPr>
                    <w:t>100</w:t>
                  </w:r>
                </w:p>
              </w:tc>
              <w:tc>
                <w:tcPr>
                  <w:tcW w:w="2075" w:type="dxa"/>
                  <w:noWrap w:val="0"/>
                  <w:vAlign w:val="center"/>
                </w:tcPr>
                <w:p>
                  <w:pPr>
                    <w:pStyle w:val="26"/>
                    <w:jc w:val="center"/>
                    <w:rPr>
                      <w:rFonts w:hint="eastAsia"/>
                    </w:rPr>
                  </w:pPr>
                  <w:r>
                    <w:rPr>
                      <w:rFonts w:hint="eastAsia"/>
                    </w:rPr>
                    <w:t>聚乙烯药用复合袋</w:t>
                  </w:r>
                </w:p>
              </w:tc>
            </w:tr>
          </w:tbl>
          <w:p>
            <w:pPr>
              <w:numPr>
                <w:ilvl w:val="0"/>
                <w:numId w:val="0"/>
              </w:numPr>
              <w:adjustRightInd w:val="0"/>
              <w:snapToGrid w:val="0"/>
              <w:spacing w:line="360" w:lineRule="auto"/>
              <w:ind w:firstLine="480" w:firstLineChars="200"/>
              <w:jc w:val="both"/>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（5）片剂产品</w:t>
            </w:r>
          </w:p>
          <w:p>
            <w:pPr>
              <w:numPr>
                <w:ilvl w:val="0"/>
                <w:numId w:val="0"/>
              </w:numPr>
              <w:adjustRightInd w:val="0"/>
              <w:snapToGrid w:val="0"/>
              <w:spacing w:line="360" w:lineRule="auto"/>
              <w:jc w:val="center"/>
              <w:rPr>
                <w:rFonts w:hint="default"/>
                <w:b/>
                <w:bCs/>
                <w:sz w:val="21"/>
                <w:szCs w:val="21"/>
                <w:lang w:val="en-US" w:eastAsia="zh-CN"/>
              </w:rPr>
            </w:pPr>
            <w:r>
              <w:rPr>
                <w:rFonts w:hint="default"/>
                <w:b/>
                <w:bCs/>
                <w:sz w:val="21"/>
                <w:szCs w:val="21"/>
                <w:lang w:val="en-US" w:eastAsia="zh-CN"/>
              </w:rPr>
              <w:t>表2-</w:t>
            </w:r>
            <w:r>
              <w:rPr>
                <w:rFonts w:hint="eastAsia"/>
                <w:b/>
                <w:bCs/>
                <w:sz w:val="21"/>
                <w:szCs w:val="21"/>
                <w:lang w:val="en-US" w:eastAsia="zh-CN"/>
              </w:rPr>
              <w:t>6</w:t>
            </w:r>
            <w:r>
              <w:rPr>
                <w:rFonts w:hint="default"/>
                <w:b/>
                <w:bCs/>
                <w:sz w:val="21"/>
                <w:szCs w:val="21"/>
                <w:lang w:val="en-US" w:eastAsia="zh-CN"/>
              </w:rPr>
              <w:t xml:space="preserve">  </w:t>
            </w:r>
            <w:r>
              <w:rPr>
                <w:rFonts w:hint="eastAsia"/>
                <w:b/>
                <w:bCs/>
                <w:sz w:val="21"/>
                <w:szCs w:val="21"/>
                <w:lang w:val="en-US" w:eastAsia="zh-CN"/>
              </w:rPr>
              <w:t>片剂</w:t>
            </w:r>
            <w:r>
              <w:rPr>
                <w:rFonts w:hint="default"/>
                <w:b/>
                <w:bCs/>
                <w:sz w:val="21"/>
                <w:szCs w:val="21"/>
                <w:lang w:val="en-US" w:eastAsia="zh-CN"/>
              </w:rPr>
              <w:t>产品清单一览表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518"/>
              <w:gridCol w:w="1648"/>
              <w:gridCol w:w="696"/>
              <w:gridCol w:w="1621"/>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noWrap w:val="0"/>
                  <w:vAlign w:val="center"/>
                </w:tcPr>
                <w:p>
                  <w:pPr>
                    <w:pStyle w:val="26"/>
                    <w:jc w:val="center"/>
                    <w:rPr>
                      <w:rFonts w:hint="eastAsia"/>
                      <w:b/>
                      <w:bCs/>
                    </w:rPr>
                  </w:pPr>
                  <w:r>
                    <w:rPr>
                      <w:rFonts w:hint="eastAsia"/>
                      <w:b/>
                      <w:bCs/>
                    </w:rPr>
                    <w:t>序号</w:t>
                  </w:r>
                </w:p>
              </w:tc>
              <w:tc>
                <w:tcPr>
                  <w:tcW w:w="1563" w:type="dxa"/>
                  <w:noWrap w:val="0"/>
                  <w:vAlign w:val="center"/>
                </w:tcPr>
                <w:p>
                  <w:pPr>
                    <w:pStyle w:val="26"/>
                    <w:jc w:val="center"/>
                    <w:rPr>
                      <w:rFonts w:hint="eastAsia"/>
                      <w:b/>
                      <w:bCs/>
                    </w:rPr>
                  </w:pPr>
                  <w:r>
                    <w:rPr>
                      <w:rFonts w:hint="eastAsia"/>
                      <w:b/>
                      <w:bCs/>
                    </w:rPr>
                    <w:t>品名</w:t>
                  </w:r>
                </w:p>
              </w:tc>
              <w:tc>
                <w:tcPr>
                  <w:tcW w:w="1697" w:type="dxa"/>
                  <w:noWrap w:val="0"/>
                  <w:vAlign w:val="center"/>
                </w:tcPr>
                <w:p>
                  <w:pPr>
                    <w:pStyle w:val="26"/>
                    <w:jc w:val="center"/>
                    <w:rPr>
                      <w:rFonts w:hint="eastAsia"/>
                      <w:b/>
                      <w:bCs/>
                    </w:rPr>
                  </w:pPr>
                  <w:r>
                    <w:rPr>
                      <w:rFonts w:hint="eastAsia"/>
                      <w:b/>
                      <w:bCs/>
                    </w:rPr>
                    <w:t>批量（万片/批）</w:t>
                  </w:r>
                </w:p>
              </w:tc>
              <w:tc>
                <w:tcPr>
                  <w:tcW w:w="712" w:type="dxa"/>
                  <w:noWrap w:val="0"/>
                  <w:vAlign w:val="center"/>
                </w:tcPr>
                <w:p>
                  <w:pPr>
                    <w:pStyle w:val="26"/>
                    <w:jc w:val="center"/>
                    <w:rPr>
                      <w:rFonts w:hint="eastAsia"/>
                      <w:b/>
                      <w:bCs/>
                    </w:rPr>
                  </w:pPr>
                  <w:r>
                    <w:rPr>
                      <w:rFonts w:hint="eastAsia"/>
                      <w:b/>
                      <w:bCs/>
                    </w:rPr>
                    <w:t>批/年</w:t>
                  </w:r>
                </w:p>
              </w:tc>
              <w:tc>
                <w:tcPr>
                  <w:tcW w:w="1669" w:type="dxa"/>
                  <w:noWrap w:val="0"/>
                  <w:vAlign w:val="center"/>
                </w:tcPr>
                <w:p>
                  <w:pPr>
                    <w:pStyle w:val="26"/>
                    <w:jc w:val="center"/>
                    <w:rPr>
                      <w:rFonts w:hint="eastAsia"/>
                      <w:b/>
                      <w:bCs/>
                    </w:rPr>
                  </w:pPr>
                  <w:r>
                    <w:rPr>
                      <w:rFonts w:hint="eastAsia"/>
                      <w:b/>
                      <w:bCs/>
                    </w:rPr>
                    <w:t>年产量（万片）</w:t>
                  </w:r>
                </w:p>
              </w:tc>
              <w:tc>
                <w:tcPr>
                  <w:tcW w:w="2075" w:type="dxa"/>
                  <w:noWrap w:val="0"/>
                  <w:vAlign w:val="center"/>
                </w:tcPr>
                <w:p>
                  <w:pPr>
                    <w:pStyle w:val="26"/>
                    <w:jc w:val="center"/>
                    <w:rPr>
                      <w:rFonts w:hint="eastAsia"/>
                      <w:b/>
                      <w:bCs/>
                    </w:rPr>
                  </w:pPr>
                  <w:r>
                    <w:rPr>
                      <w:rFonts w:hint="eastAsia"/>
                      <w:b/>
                      <w:bCs/>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noWrap w:val="0"/>
                  <w:vAlign w:val="center"/>
                </w:tcPr>
                <w:p>
                  <w:pPr>
                    <w:pStyle w:val="26"/>
                    <w:jc w:val="center"/>
                    <w:rPr>
                      <w:rFonts w:hint="eastAsia"/>
                    </w:rPr>
                  </w:pPr>
                  <w:r>
                    <w:rPr>
                      <w:rFonts w:hint="eastAsia"/>
                    </w:rPr>
                    <w:t>1</w:t>
                  </w:r>
                </w:p>
              </w:tc>
              <w:tc>
                <w:tcPr>
                  <w:tcW w:w="1563" w:type="dxa"/>
                  <w:noWrap w:val="0"/>
                  <w:vAlign w:val="center"/>
                </w:tcPr>
                <w:p>
                  <w:pPr>
                    <w:pStyle w:val="26"/>
                    <w:jc w:val="center"/>
                    <w:rPr>
                      <w:rFonts w:hint="eastAsia"/>
                    </w:rPr>
                  </w:pPr>
                  <w:r>
                    <w:rPr>
                      <w:rFonts w:hint="eastAsia"/>
                    </w:rPr>
                    <w:t>ZZ004-100mg</w:t>
                  </w:r>
                </w:p>
              </w:tc>
              <w:tc>
                <w:tcPr>
                  <w:tcW w:w="1697" w:type="dxa"/>
                  <w:noWrap w:val="0"/>
                  <w:vAlign w:val="center"/>
                </w:tcPr>
                <w:p>
                  <w:pPr>
                    <w:pStyle w:val="26"/>
                    <w:jc w:val="center"/>
                  </w:pPr>
                  <w:r>
                    <w:rPr>
                      <w:rFonts w:hint="eastAsia"/>
                    </w:rPr>
                    <w:t>20</w:t>
                  </w:r>
                </w:p>
              </w:tc>
              <w:tc>
                <w:tcPr>
                  <w:tcW w:w="712" w:type="dxa"/>
                  <w:noWrap w:val="0"/>
                  <w:vAlign w:val="center"/>
                </w:tcPr>
                <w:p>
                  <w:pPr>
                    <w:pStyle w:val="26"/>
                    <w:jc w:val="center"/>
                  </w:pPr>
                  <w:r>
                    <w:rPr>
                      <w:rFonts w:hint="eastAsia"/>
                    </w:rPr>
                    <w:t>20</w:t>
                  </w:r>
                </w:p>
              </w:tc>
              <w:tc>
                <w:tcPr>
                  <w:tcW w:w="1669" w:type="dxa"/>
                  <w:noWrap w:val="0"/>
                  <w:vAlign w:val="center"/>
                </w:tcPr>
                <w:p>
                  <w:pPr>
                    <w:pStyle w:val="26"/>
                    <w:jc w:val="center"/>
                  </w:pPr>
                  <w:r>
                    <w:rPr>
                      <w:rFonts w:hint="eastAsia"/>
                    </w:rPr>
                    <w:t>400</w:t>
                  </w:r>
                </w:p>
              </w:tc>
              <w:tc>
                <w:tcPr>
                  <w:tcW w:w="2075" w:type="dxa"/>
                  <w:noWrap w:val="0"/>
                  <w:vAlign w:val="center"/>
                </w:tcPr>
                <w:p>
                  <w:pPr>
                    <w:pStyle w:val="26"/>
                    <w:jc w:val="center"/>
                    <w:rPr>
                      <w:rFonts w:hint="eastAsia"/>
                    </w:rPr>
                  </w:pPr>
                  <w:r>
                    <w:rPr>
                      <w:rFonts w:hint="eastAsia"/>
                    </w:rPr>
                    <w:t>铝塑泡罩包装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noWrap w:val="0"/>
                  <w:vAlign w:val="center"/>
                </w:tcPr>
                <w:p>
                  <w:pPr>
                    <w:pStyle w:val="26"/>
                    <w:jc w:val="center"/>
                  </w:pPr>
                  <w:r>
                    <w:rPr>
                      <w:rFonts w:hint="eastAsia"/>
                    </w:rPr>
                    <w:t>2</w:t>
                  </w:r>
                </w:p>
              </w:tc>
              <w:tc>
                <w:tcPr>
                  <w:tcW w:w="1563" w:type="dxa"/>
                  <w:noWrap w:val="0"/>
                  <w:vAlign w:val="center"/>
                </w:tcPr>
                <w:p>
                  <w:pPr>
                    <w:pStyle w:val="26"/>
                    <w:jc w:val="center"/>
                  </w:pPr>
                  <w:r>
                    <w:rPr>
                      <w:rFonts w:hint="eastAsia"/>
                    </w:rPr>
                    <w:t>ZZ009-10mg/20mg</w:t>
                  </w:r>
                </w:p>
              </w:tc>
              <w:tc>
                <w:tcPr>
                  <w:tcW w:w="1697" w:type="dxa"/>
                  <w:noWrap w:val="0"/>
                  <w:vAlign w:val="center"/>
                </w:tcPr>
                <w:p>
                  <w:pPr>
                    <w:pStyle w:val="26"/>
                    <w:jc w:val="center"/>
                  </w:pPr>
                  <w:r>
                    <w:rPr>
                      <w:rFonts w:hint="eastAsia"/>
                    </w:rPr>
                    <w:t>20</w:t>
                  </w:r>
                </w:p>
              </w:tc>
              <w:tc>
                <w:tcPr>
                  <w:tcW w:w="712" w:type="dxa"/>
                  <w:noWrap w:val="0"/>
                  <w:vAlign w:val="center"/>
                </w:tcPr>
                <w:p>
                  <w:pPr>
                    <w:pStyle w:val="26"/>
                    <w:jc w:val="center"/>
                  </w:pPr>
                  <w:r>
                    <w:rPr>
                      <w:rFonts w:hint="eastAsia"/>
                    </w:rPr>
                    <w:t>10</w:t>
                  </w:r>
                </w:p>
              </w:tc>
              <w:tc>
                <w:tcPr>
                  <w:tcW w:w="1669" w:type="dxa"/>
                  <w:noWrap w:val="0"/>
                  <w:vAlign w:val="center"/>
                </w:tcPr>
                <w:p>
                  <w:pPr>
                    <w:pStyle w:val="26"/>
                    <w:jc w:val="center"/>
                  </w:pPr>
                  <w:r>
                    <w:rPr>
                      <w:rFonts w:hint="eastAsia"/>
                    </w:rPr>
                    <w:t>200</w:t>
                  </w:r>
                </w:p>
              </w:tc>
              <w:tc>
                <w:tcPr>
                  <w:tcW w:w="2075" w:type="dxa"/>
                  <w:noWrap w:val="0"/>
                  <w:vAlign w:val="center"/>
                </w:tcPr>
                <w:p>
                  <w:pPr>
                    <w:pStyle w:val="26"/>
                    <w:jc w:val="center"/>
                    <w:rPr>
                      <w:rFonts w:hint="eastAsia"/>
                    </w:rPr>
                  </w:pPr>
                  <w:r>
                    <w:rPr>
                      <w:rFonts w:hint="eastAsia"/>
                    </w:rPr>
                    <w:t>铝塑泡罩包装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noWrap w:val="0"/>
                  <w:vAlign w:val="center"/>
                </w:tcPr>
                <w:p>
                  <w:pPr>
                    <w:pStyle w:val="26"/>
                    <w:jc w:val="center"/>
                  </w:pPr>
                  <w:r>
                    <w:rPr>
                      <w:rFonts w:hint="eastAsia"/>
                    </w:rPr>
                    <w:t>3</w:t>
                  </w:r>
                </w:p>
              </w:tc>
              <w:tc>
                <w:tcPr>
                  <w:tcW w:w="1563" w:type="dxa"/>
                  <w:noWrap w:val="0"/>
                  <w:vAlign w:val="center"/>
                </w:tcPr>
                <w:p>
                  <w:pPr>
                    <w:pStyle w:val="26"/>
                    <w:jc w:val="center"/>
                  </w:pPr>
                  <w:r>
                    <w:rPr>
                      <w:rFonts w:hint="eastAsia"/>
                    </w:rPr>
                    <w:t>ZZ013-0.5g</w:t>
                  </w:r>
                </w:p>
              </w:tc>
              <w:tc>
                <w:tcPr>
                  <w:tcW w:w="1697" w:type="dxa"/>
                  <w:noWrap w:val="0"/>
                  <w:vAlign w:val="center"/>
                </w:tcPr>
                <w:p>
                  <w:pPr>
                    <w:pStyle w:val="26"/>
                    <w:jc w:val="center"/>
                  </w:pPr>
                  <w:r>
                    <w:rPr>
                      <w:rFonts w:hint="eastAsia"/>
                    </w:rPr>
                    <w:t>20</w:t>
                  </w:r>
                </w:p>
              </w:tc>
              <w:tc>
                <w:tcPr>
                  <w:tcW w:w="712" w:type="dxa"/>
                  <w:noWrap w:val="0"/>
                  <w:vAlign w:val="center"/>
                </w:tcPr>
                <w:p>
                  <w:pPr>
                    <w:pStyle w:val="26"/>
                    <w:jc w:val="center"/>
                  </w:pPr>
                  <w:r>
                    <w:rPr>
                      <w:rFonts w:hint="eastAsia"/>
                    </w:rPr>
                    <w:t>5</w:t>
                  </w:r>
                </w:p>
              </w:tc>
              <w:tc>
                <w:tcPr>
                  <w:tcW w:w="1669" w:type="dxa"/>
                  <w:noWrap w:val="0"/>
                  <w:vAlign w:val="center"/>
                </w:tcPr>
                <w:p>
                  <w:pPr>
                    <w:pStyle w:val="26"/>
                    <w:jc w:val="center"/>
                  </w:pPr>
                  <w:r>
                    <w:rPr>
                      <w:rFonts w:hint="eastAsia"/>
                    </w:rPr>
                    <w:t>100</w:t>
                  </w:r>
                </w:p>
              </w:tc>
              <w:tc>
                <w:tcPr>
                  <w:tcW w:w="2075" w:type="dxa"/>
                  <w:noWrap w:val="0"/>
                  <w:vAlign w:val="center"/>
                </w:tcPr>
                <w:p>
                  <w:pPr>
                    <w:pStyle w:val="26"/>
                    <w:jc w:val="center"/>
                    <w:rPr>
                      <w:rFonts w:hint="eastAsia"/>
                    </w:rPr>
                  </w:pPr>
                  <w:r>
                    <w:rPr>
                      <w:rFonts w:hint="eastAsia"/>
                    </w:rPr>
                    <w:t>铝塑泡罩包装</w:t>
                  </w: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3、主要生产设备</w:t>
            </w:r>
          </w:p>
          <w:p>
            <w:pPr>
              <w:adjustRightInd w:val="0"/>
              <w:snapToGrid w:val="0"/>
              <w:spacing w:line="360" w:lineRule="auto"/>
              <w:ind w:firstLine="480" w:firstLineChars="200"/>
              <w:jc w:val="both"/>
              <w:rPr>
                <w:rFonts w:hint="default" w:ascii="Times New Roman" w:hAnsi="Times New Roman" w:cs="Times New Roman"/>
                <w:bCs/>
                <w:color w:val="auto"/>
                <w:sz w:val="24"/>
                <w:szCs w:val="24"/>
                <w:u w:val="none"/>
                <w:lang w:val="en-US" w:eastAsia="zh-CN"/>
              </w:rPr>
            </w:pPr>
            <w:r>
              <w:rPr>
                <w:rFonts w:hint="default" w:ascii="Times New Roman" w:hAnsi="Times New Roman" w:cs="Times New Roman"/>
                <w:bCs/>
                <w:color w:val="auto"/>
                <w:sz w:val="24"/>
                <w:szCs w:val="24"/>
                <w:u w:val="none"/>
                <w:lang w:val="en-US" w:eastAsia="zh-CN"/>
              </w:rPr>
              <w:t>本项目主要生产设备如下表所示：</w:t>
            </w:r>
          </w:p>
          <w:p>
            <w:pPr>
              <w:numPr>
                <w:ilvl w:val="0"/>
                <w:numId w:val="0"/>
              </w:numPr>
              <w:adjustRightInd w:val="0"/>
              <w:snapToGrid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表2-</w:t>
            </w:r>
            <w:r>
              <w:rPr>
                <w:rFonts w:hint="eastAsia"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lang w:val="en-US" w:eastAsia="zh-CN"/>
              </w:rPr>
              <w:t xml:space="preserve">  厂区主要生产设备一览表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2824"/>
              <w:gridCol w:w="2307"/>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noWrap w:val="0"/>
                  <w:vAlign w:val="center"/>
                </w:tcPr>
                <w:p>
                  <w:pPr>
                    <w:pStyle w:val="26"/>
                    <w:jc w:val="center"/>
                    <w:rPr>
                      <w:rFonts w:hint="eastAsia"/>
                      <w:b/>
                      <w:bCs/>
                    </w:rPr>
                  </w:pPr>
                  <w:r>
                    <w:rPr>
                      <w:rFonts w:hint="eastAsia"/>
                      <w:b/>
                      <w:bCs/>
                    </w:rPr>
                    <w:t>产品名称</w:t>
                  </w:r>
                </w:p>
              </w:tc>
              <w:tc>
                <w:tcPr>
                  <w:tcW w:w="1728" w:type="pct"/>
                  <w:noWrap w:val="0"/>
                  <w:vAlign w:val="center"/>
                </w:tcPr>
                <w:p>
                  <w:pPr>
                    <w:pStyle w:val="26"/>
                    <w:jc w:val="center"/>
                    <w:rPr>
                      <w:rFonts w:hint="eastAsia"/>
                      <w:b/>
                      <w:bCs/>
                    </w:rPr>
                  </w:pPr>
                  <w:r>
                    <w:rPr>
                      <w:rFonts w:hint="eastAsia"/>
                      <w:b/>
                      <w:bCs/>
                    </w:rPr>
                    <w:t>设备名称</w:t>
                  </w:r>
                </w:p>
              </w:tc>
              <w:tc>
                <w:tcPr>
                  <w:tcW w:w="1411" w:type="pct"/>
                  <w:noWrap w:val="0"/>
                  <w:vAlign w:val="center"/>
                </w:tcPr>
                <w:p>
                  <w:pPr>
                    <w:pStyle w:val="26"/>
                    <w:jc w:val="center"/>
                    <w:rPr>
                      <w:rFonts w:hint="eastAsia"/>
                      <w:b/>
                      <w:bCs/>
                    </w:rPr>
                  </w:pPr>
                  <w:r>
                    <w:rPr>
                      <w:rFonts w:hint="eastAsia"/>
                      <w:b/>
                      <w:bCs/>
                    </w:rPr>
                    <w:t>设备型号</w:t>
                  </w:r>
                </w:p>
              </w:tc>
              <w:tc>
                <w:tcPr>
                  <w:tcW w:w="1097" w:type="pct"/>
                  <w:noWrap w:val="0"/>
                  <w:vAlign w:val="center"/>
                </w:tcPr>
                <w:p>
                  <w:pPr>
                    <w:pStyle w:val="26"/>
                    <w:jc w:val="center"/>
                    <w:rPr>
                      <w:rFonts w:hint="eastAsia"/>
                      <w:b/>
                      <w:bCs/>
                    </w:rPr>
                  </w:pPr>
                  <w:r>
                    <w:rPr>
                      <w:rFonts w:hint="eastAsia"/>
                      <w:b/>
                      <w:bCs/>
                    </w:rPr>
                    <w:t>设备数量（台）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restart"/>
                  <w:noWrap w:val="0"/>
                  <w:vAlign w:val="center"/>
                </w:tcPr>
                <w:p>
                  <w:pPr>
                    <w:pStyle w:val="26"/>
                    <w:jc w:val="center"/>
                    <w:rPr>
                      <w:rFonts w:hint="eastAsia"/>
                    </w:rPr>
                  </w:pPr>
                  <w:r>
                    <w:rPr>
                      <w:rFonts w:hint="eastAsia"/>
                    </w:rPr>
                    <w:t>注射液产品</w:t>
                  </w:r>
                </w:p>
              </w:tc>
              <w:tc>
                <w:tcPr>
                  <w:tcW w:w="1728" w:type="pct"/>
                  <w:noWrap w:val="0"/>
                  <w:vAlign w:val="center"/>
                </w:tcPr>
                <w:p>
                  <w:pPr>
                    <w:pStyle w:val="26"/>
                    <w:jc w:val="center"/>
                    <w:rPr>
                      <w:rFonts w:hint="eastAsia"/>
                    </w:rPr>
                  </w:pPr>
                  <w:r>
                    <w:rPr>
                      <w:rFonts w:hint="eastAsia"/>
                    </w:rPr>
                    <w:t>立式超声波清洗机</w:t>
                  </w:r>
                </w:p>
              </w:tc>
              <w:tc>
                <w:tcPr>
                  <w:tcW w:w="1411" w:type="pct"/>
                  <w:noWrap w:val="0"/>
                  <w:vAlign w:val="center"/>
                </w:tcPr>
                <w:p>
                  <w:pPr>
                    <w:pStyle w:val="26"/>
                    <w:jc w:val="center"/>
                    <w:rPr>
                      <w:rFonts w:hint="eastAsia"/>
                    </w:rPr>
                  </w:pPr>
                  <w:r>
                    <w:rPr>
                      <w:rFonts w:hint="eastAsia"/>
                    </w:rPr>
                    <w:t>AOCL20/6</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隧道式灭菌干燥机</w:t>
                  </w:r>
                </w:p>
              </w:tc>
              <w:tc>
                <w:tcPr>
                  <w:tcW w:w="1411" w:type="pct"/>
                  <w:noWrap w:val="0"/>
                  <w:vAlign w:val="center"/>
                </w:tcPr>
                <w:p>
                  <w:pPr>
                    <w:pStyle w:val="26"/>
                    <w:jc w:val="center"/>
                    <w:rPr>
                      <w:rFonts w:hint="eastAsia"/>
                    </w:rPr>
                  </w:pPr>
                  <w:r>
                    <w:rPr>
                      <w:rFonts w:hint="eastAsia"/>
                    </w:rPr>
                    <w:t>KSZ620/60B</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安瓿灌封机</w:t>
                  </w:r>
                </w:p>
              </w:tc>
              <w:tc>
                <w:tcPr>
                  <w:tcW w:w="1411" w:type="pct"/>
                  <w:noWrap w:val="0"/>
                  <w:vAlign w:val="center"/>
                </w:tcPr>
                <w:p>
                  <w:pPr>
                    <w:pStyle w:val="26"/>
                    <w:jc w:val="center"/>
                    <w:rPr>
                      <w:rFonts w:hint="eastAsia"/>
                    </w:rPr>
                  </w:pPr>
                  <w:r>
                    <w:rPr>
                      <w:rFonts w:hint="eastAsia"/>
                    </w:rPr>
                    <w:t>AGFG16/12</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灭菌物流线</w:t>
                  </w:r>
                </w:p>
              </w:tc>
              <w:tc>
                <w:tcPr>
                  <w:tcW w:w="1411" w:type="pct"/>
                  <w:noWrap w:val="0"/>
                  <w:vAlign w:val="center"/>
                </w:tcPr>
                <w:p>
                  <w:pPr>
                    <w:pStyle w:val="26"/>
                    <w:jc w:val="center"/>
                    <w:rPr>
                      <w:rFonts w:hint="eastAsia"/>
                    </w:rPr>
                  </w:pPr>
                  <w:r>
                    <w:rPr>
                      <w:rFonts w:hint="eastAsia"/>
                    </w:rPr>
                    <w:t>AMLX1~20</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水浴灭菌柜</w:t>
                  </w:r>
                </w:p>
              </w:tc>
              <w:tc>
                <w:tcPr>
                  <w:tcW w:w="1411" w:type="pct"/>
                  <w:noWrap w:val="0"/>
                  <w:vAlign w:val="center"/>
                </w:tcPr>
                <w:p>
                  <w:pPr>
                    <w:pStyle w:val="26"/>
                    <w:jc w:val="center"/>
                    <w:rPr>
                      <w:rFonts w:hint="eastAsia"/>
                    </w:rPr>
                  </w:pPr>
                  <w:r>
                    <w:rPr>
                      <w:rFonts w:hint="eastAsia"/>
                    </w:rPr>
                    <w:t>HWSM10010</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安瓿灭菌器</w:t>
                  </w:r>
                </w:p>
              </w:tc>
              <w:tc>
                <w:tcPr>
                  <w:tcW w:w="1411" w:type="pct"/>
                  <w:noWrap w:val="0"/>
                  <w:vAlign w:val="center"/>
                </w:tcPr>
                <w:p>
                  <w:pPr>
                    <w:pStyle w:val="26"/>
                    <w:jc w:val="center"/>
                    <w:rPr>
                      <w:rFonts w:hint="eastAsia"/>
                    </w:rPr>
                  </w:pPr>
                  <w:r>
                    <w:rPr>
                      <w:rFonts w:hint="eastAsia"/>
                    </w:rPr>
                    <w:t>XG1.0DC-1.5</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印字入托机</w:t>
                  </w:r>
                </w:p>
              </w:tc>
              <w:tc>
                <w:tcPr>
                  <w:tcW w:w="1411" w:type="pct"/>
                  <w:noWrap w:val="0"/>
                  <w:vAlign w:val="center"/>
                </w:tcPr>
                <w:p>
                  <w:pPr>
                    <w:pStyle w:val="26"/>
                    <w:jc w:val="center"/>
                    <w:rPr>
                      <w:rFonts w:hint="eastAsia"/>
                    </w:rPr>
                  </w:pPr>
                  <w:r>
                    <w:rPr>
                      <w:rFonts w:hint="eastAsia"/>
                    </w:rPr>
                    <w:t>AA-P</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分托机</w:t>
                  </w:r>
                </w:p>
              </w:tc>
              <w:tc>
                <w:tcPr>
                  <w:tcW w:w="1411" w:type="pct"/>
                  <w:noWrap w:val="0"/>
                  <w:vAlign w:val="center"/>
                </w:tcPr>
                <w:p>
                  <w:pPr>
                    <w:pStyle w:val="26"/>
                    <w:jc w:val="center"/>
                    <w:rPr>
                      <w:rFonts w:hint="eastAsia"/>
                    </w:rPr>
                  </w:pPr>
                  <w:r>
                    <w:rPr>
                      <w:rFonts w:hint="eastAsia"/>
                    </w:rPr>
                    <w:t>SY-B1</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多功能自动装盒机</w:t>
                  </w:r>
                </w:p>
              </w:tc>
              <w:tc>
                <w:tcPr>
                  <w:tcW w:w="1411" w:type="pct"/>
                  <w:noWrap w:val="0"/>
                  <w:vAlign w:val="center"/>
                </w:tcPr>
                <w:p>
                  <w:pPr>
                    <w:pStyle w:val="26"/>
                    <w:jc w:val="center"/>
                    <w:rPr>
                      <w:rFonts w:hint="eastAsia"/>
                    </w:rPr>
                  </w:pPr>
                  <w:r>
                    <w:rPr>
                      <w:rFonts w:hint="eastAsia"/>
                    </w:rPr>
                    <w:t>HDZ-100K</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全自动薄膜捆包机</w:t>
                  </w:r>
                </w:p>
              </w:tc>
              <w:tc>
                <w:tcPr>
                  <w:tcW w:w="1411" w:type="pct"/>
                  <w:noWrap w:val="0"/>
                  <w:vAlign w:val="center"/>
                </w:tcPr>
                <w:p>
                  <w:pPr>
                    <w:pStyle w:val="26"/>
                    <w:jc w:val="center"/>
                    <w:rPr>
                      <w:rFonts w:hint="eastAsia"/>
                    </w:rPr>
                  </w:pPr>
                  <w:r>
                    <w:rPr>
                      <w:rFonts w:hint="eastAsia"/>
                    </w:rPr>
                    <w:t>LY-K180</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脉动真空灭菌器</w:t>
                  </w:r>
                </w:p>
              </w:tc>
              <w:tc>
                <w:tcPr>
                  <w:tcW w:w="1411" w:type="pct"/>
                  <w:noWrap w:val="0"/>
                  <w:vAlign w:val="center"/>
                </w:tcPr>
                <w:p>
                  <w:pPr>
                    <w:pStyle w:val="26"/>
                    <w:jc w:val="center"/>
                    <w:rPr>
                      <w:rFonts w:hint="eastAsia"/>
                    </w:rPr>
                  </w:pPr>
                  <w:r>
                    <w:rPr>
                      <w:rFonts w:hint="eastAsia"/>
                    </w:rPr>
                    <w:t>XG1.DTX-0.36</w:t>
                  </w:r>
                </w:p>
              </w:tc>
              <w:tc>
                <w:tcPr>
                  <w:tcW w:w="1097" w:type="pct"/>
                  <w:noWrap w:val="0"/>
                  <w:vAlign w:val="center"/>
                </w:tcPr>
                <w:p>
                  <w:pPr>
                    <w:pStyle w:val="26"/>
                    <w:jc w:val="center"/>
                    <w:rPr>
                      <w:rFonts w:hint="eastAsia"/>
                    </w:rP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干热灭菌器</w:t>
                  </w:r>
                </w:p>
              </w:tc>
              <w:tc>
                <w:tcPr>
                  <w:tcW w:w="1411" w:type="pct"/>
                  <w:noWrap w:val="0"/>
                  <w:vAlign w:val="center"/>
                </w:tcPr>
                <w:p>
                  <w:pPr>
                    <w:pStyle w:val="26"/>
                    <w:jc w:val="center"/>
                    <w:rPr>
                      <w:rFonts w:hint="eastAsia"/>
                    </w:rPr>
                  </w:pPr>
                  <w:r>
                    <w:rPr>
                      <w:rFonts w:hint="eastAsia"/>
                    </w:rPr>
                    <w:t>GDX-0.36</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浓配罐</w:t>
                  </w:r>
                </w:p>
              </w:tc>
              <w:tc>
                <w:tcPr>
                  <w:tcW w:w="1411" w:type="pct"/>
                  <w:noWrap w:val="0"/>
                  <w:vAlign w:val="center"/>
                </w:tcPr>
                <w:p>
                  <w:pPr>
                    <w:pStyle w:val="26"/>
                    <w:jc w:val="center"/>
                    <w:rPr>
                      <w:rFonts w:hint="eastAsia"/>
                    </w:rPr>
                  </w:pPr>
                  <w:r>
                    <w:rPr>
                      <w:rFonts w:hint="eastAsia"/>
                    </w:rPr>
                    <w:t>1200L</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稀配罐</w:t>
                  </w:r>
                </w:p>
              </w:tc>
              <w:tc>
                <w:tcPr>
                  <w:tcW w:w="1411" w:type="pct"/>
                  <w:noWrap w:val="0"/>
                  <w:vAlign w:val="center"/>
                </w:tcPr>
                <w:p>
                  <w:pPr>
                    <w:pStyle w:val="26"/>
                    <w:jc w:val="center"/>
                    <w:rPr>
                      <w:rFonts w:hint="eastAsia"/>
                    </w:rPr>
                  </w:pPr>
                  <w:r>
                    <w:rPr>
                      <w:rFonts w:hint="eastAsia"/>
                    </w:rPr>
                    <w:t>1200L</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缓冲罐</w:t>
                  </w:r>
                </w:p>
              </w:tc>
              <w:tc>
                <w:tcPr>
                  <w:tcW w:w="1411" w:type="pct"/>
                  <w:noWrap w:val="0"/>
                  <w:vAlign w:val="center"/>
                </w:tcPr>
                <w:p>
                  <w:pPr>
                    <w:pStyle w:val="26"/>
                    <w:jc w:val="center"/>
                    <w:rPr>
                      <w:rFonts w:hint="eastAsia"/>
                    </w:rPr>
                  </w:pPr>
                  <w:r>
                    <w:rPr>
                      <w:rFonts w:hint="eastAsia"/>
                    </w:rPr>
                    <w:t>1200L</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高位罐</w:t>
                  </w:r>
                </w:p>
              </w:tc>
              <w:tc>
                <w:tcPr>
                  <w:tcW w:w="1411" w:type="pct"/>
                  <w:noWrap w:val="0"/>
                  <w:vAlign w:val="center"/>
                </w:tcPr>
                <w:p>
                  <w:pPr>
                    <w:pStyle w:val="26"/>
                    <w:jc w:val="center"/>
                    <w:rPr>
                      <w:rFonts w:hint="eastAsia"/>
                    </w:rPr>
                  </w:pPr>
                  <w:r>
                    <w:rPr>
                      <w:rFonts w:hint="eastAsia"/>
                    </w:rPr>
                    <w:t>50L</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热压式蒸馏水机</w:t>
                  </w:r>
                </w:p>
              </w:tc>
              <w:tc>
                <w:tcPr>
                  <w:tcW w:w="1411" w:type="pct"/>
                  <w:noWrap w:val="0"/>
                  <w:vAlign w:val="center"/>
                </w:tcPr>
                <w:p>
                  <w:pPr>
                    <w:pStyle w:val="26"/>
                    <w:jc w:val="center"/>
                    <w:rPr>
                      <w:rFonts w:hint="eastAsia"/>
                    </w:rPr>
                  </w:pPr>
                  <w:r>
                    <w:rPr>
                      <w:rFonts w:hint="eastAsia"/>
                    </w:rPr>
                    <w:t>HSFD-P-5T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电子台秤</w:t>
                  </w:r>
                </w:p>
              </w:tc>
              <w:tc>
                <w:tcPr>
                  <w:tcW w:w="1411" w:type="pct"/>
                  <w:noWrap w:val="0"/>
                  <w:vAlign w:val="center"/>
                </w:tcPr>
                <w:p>
                  <w:pPr>
                    <w:pStyle w:val="26"/>
                    <w:jc w:val="center"/>
                    <w:rPr>
                      <w:rFonts w:hint="eastAsia"/>
                    </w:rPr>
                  </w:pPr>
                  <w:r>
                    <w:rPr>
                      <w:rFonts w:hint="eastAsia"/>
                    </w:rPr>
                    <w:t>TCS-60</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电子天平</w:t>
                  </w:r>
                </w:p>
              </w:tc>
              <w:tc>
                <w:tcPr>
                  <w:tcW w:w="1411" w:type="pct"/>
                  <w:noWrap w:val="0"/>
                  <w:vAlign w:val="center"/>
                </w:tcPr>
                <w:p>
                  <w:pPr>
                    <w:pStyle w:val="26"/>
                    <w:jc w:val="center"/>
                  </w:pPr>
                  <w:r>
                    <w:rPr>
                      <w:rFonts w:hint="eastAsia"/>
                    </w:rPr>
                    <w:t>6kg</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下磁力搅拌配制铺</w:t>
                  </w:r>
                </w:p>
              </w:tc>
              <w:tc>
                <w:tcPr>
                  <w:tcW w:w="1411" w:type="pct"/>
                  <w:noWrap w:val="0"/>
                  <w:vAlign w:val="center"/>
                </w:tcPr>
                <w:p>
                  <w:pPr>
                    <w:pStyle w:val="26"/>
                    <w:jc w:val="center"/>
                    <w:rPr>
                      <w:rFonts w:hint="eastAsia"/>
                    </w:rPr>
                  </w:pPr>
                  <w:r>
                    <w:rPr>
                      <w:rFonts w:hint="eastAsia"/>
                    </w:rPr>
                    <w:t>XP600</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立式超声波洗瓶机</w:t>
                  </w:r>
                </w:p>
              </w:tc>
              <w:tc>
                <w:tcPr>
                  <w:tcW w:w="1411" w:type="pct"/>
                  <w:noWrap w:val="0"/>
                  <w:vAlign w:val="center"/>
                </w:tcPr>
                <w:p>
                  <w:pPr>
                    <w:pStyle w:val="26"/>
                    <w:jc w:val="center"/>
                    <w:rPr>
                      <w:rFonts w:hint="eastAsia"/>
                    </w:rPr>
                  </w:pPr>
                  <w:r>
                    <w:rPr>
                      <w:rFonts w:hint="eastAsia"/>
                    </w:rPr>
                    <w:t>AOCL28/6</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隧道式灭菌干燥机</w:t>
                  </w:r>
                </w:p>
              </w:tc>
              <w:tc>
                <w:tcPr>
                  <w:tcW w:w="1411" w:type="pct"/>
                  <w:noWrap w:val="0"/>
                  <w:vAlign w:val="center"/>
                </w:tcPr>
                <w:p>
                  <w:pPr>
                    <w:pStyle w:val="26"/>
                    <w:jc w:val="center"/>
                    <w:rPr>
                      <w:rFonts w:hint="eastAsia"/>
                    </w:rPr>
                  </w:pPr>
                  <w:r>
                    <w:rPr>
                      <w:rFonts w:hint="eastAsia"/>
                    </w:rPr>
                    <w:t>KSZ62060B</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安瓿灌封机</w:t>
                  </w:r>
                </w:p>
              </w:tc>
              <w:tc>
                <w:tcPr>
                  <w:tcW w:w="1411" w:type="pct"/>
                  <w:noWrap w:val="0"/>
                  <w:vAlign w:val="center"/>
                </w:tcPr>
                <w:p>
                  <w:pPr>
                    <w:pStyle w:val="26"/>
                    <w:jc w:val="center"/>
                    <w:rPr>
                      <w:rFonts w:hint="eastAsia"/>
                    </w:rPr>
                  </w:pPr>
                  <w:r>
                    <w:rPr>
                      <w:rFonts w:hint="eastAsia"/>
                    </w:rPr>
                    <w:t>AGFG20/16</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药液缓冲罐</w:t>
                  </w:r>
                </w:p>
              </w:tc>
              <w:tc>
                <w:tcPr>
                  <w:tcW w:w="1411" w:type="pct"/>
                  <w:noWrap w:val="0"/>
                  <w:vAlign w:val="center"/>
                </w:tcPr>
                <w:p>
                  <w:pPr>
                    <w:pStyle w:val="26"/>
                    <w:jc w:val="center"/>
                    <w:rPr>
                      <w:rFonts w:hint="eastAsia"/>
                    </w:rPr>
                  </w:pPr>
                  <w:r>
                    <w:rPr>
                      <w:rFonts w:hint="eastAsia"/>
                    </w:rPr>
                    <w:t>LCG20</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安瓿水浴灭菌器</w:t>
                  </w:r>
                </w:p>
              </w:tc>
              <w:tc>
                <w:tcPr>
                  <w:tcW w:w="1411" w:type="pct"/>
                  <w:noWrap w:val="0"/>
                  <w:vAlign w:val="center"/>
                </w:tcPr>
                <w:p>
                  <w:pPr>
                    <w:pStyle w:val="26"/>
                    <w:jc w:val="center"/>
                    <w:rPr>
                      <w:rFonts w:hint="eastAsia"/>
                    </w:rPr>
                  </w:pPr>
                  <w:r>
                    <w:rPr>
                      <w:rFonts w:hint="eastAsia"/>
                    </w:rPr>
                    <w:t>WASABG-RL1D</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澄明度检测仪</w:t>
                  </w:r>
                </w:p>
              </w:tc>
              <w:tc>
                <w:tcPr>
                  <w:tcW w:w="1411" w:type="pct"/>
                  <w:noWrap w:val="0"/>
                  <w:vAlign w:val="center"/>
                </w:tcPr>
                <w:p>
                  <w:pPr>
                    <w:pStyle w:val="26"/>
                    <w:jc w:val="center"/>
                    <w:rPr>
                      <w:rFonts w:hint="eastAsia"/>
                    </w:rPr>
                  </w:pPr>
                  <w:r>
                    <w:rPr>
                      <w:rFonts w:hint="eastAsia"/>
                    </w:rPr>
                    <w:t>YB-3</w:t>
                  </w:r>
                </w:p>
              </w:tc>
              <w:tc>
                <w:tcPr>
                  <w:tcW w:w="1097" w:type="pct"/>
                  <w:noWrap w:val="0"/>
                  <w:vAlign w:val="center"/>
                </w:tcPr>
                <w:p>
                  <w:pPr>
                    <w:pStyle w:val="26"/>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安瓿注射液异物自动检查机</w:t>
                  </w:r>
                </w:p>
              </w:tc>
              <w:tc>
                <w:tcPr>
                  <w:tcW w:w="1411" w:type="pct"/>
                  <w:noWrap w:val="0"/>
                  <w:vAlign w:val="center"/>
                </w:tcPr>
                <w:p>
                  <w:pPr>
                    <w:pStyle w:val="26"/>
                    <w:jc w:val="center"/>
                    <w:rPr>
                      <w:rFonts w:hint="eastAsia"/>
                    </w:rPr>
                  </w:pPr>
                  <w:r>
                    <w:rPr>
                      <w:rFonts w:hint="eastAsia"/>
                    </w:rPr>
                    <w:t>JAZ600/10</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贴标机</w:t>
                  </w:r>
                </w:p>
              </w:tc>
              <w:tc>
                <w:tcPr>
                  <w:tcW w:w="1411" w:type="pct"/>
                  <w:noWrap w:val="0"/>
                  <w:vAlign w:val="center"/>
                </w:tcPr>
                <w:p>
                  <w:pPr>
                    <w:pStyle w:val="26"/>
                    <w:jc w:val="center"/>
                    <w:rPr>
                      <w:rFonts w:hint="eastAsia"/>
                    </w:rPr>
                  </w:pPr>
                  <w:r>
                    <w:rPr>
                      <w:rFonts w:hint="eastAsia"/>
                    </w:rPr>
                    <w:t>S-750</w:t>
                  </w:r>
                </w:p>
              </w:tc>
              <w:tc>
                <w:tcPr>
                  <w:tcW w:w="1097" w:type="pct"/>
                  <w:noWrap w:val="0"/>
                  <w:vAlign w:val="center"/>
                </w:tcPr>
                <w:p>
                  <w:pPr>
                    <w:pStyle w:val="26"/>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赋码关联机</w:t>
                  </w:r>
                </w:p>
              </w:tc>
              <w:tc>
                <w:tcPr>
                  <w:tcW w:w="1411" w:type="pct"/>
                  <w:noWrap w:val="0"/>
                  <w:vAlign w:val="center"/>
                </w:tcPr>
                <w:p>
                  <w:pPr>
                    <w:pStyle w:val="26"/>
                    <w:jc w:val="center"/>
                  </w:pPr>
                  <w:r>
                    <w:rPr>
                      <w:rFonts w:hint="eastAsia"/>
                    </w:rPr>
                    <w:t>/</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蒸汽灭菌器</w:t>
                  </w:r>
                </w:p>
              </w:tc>
              <w:tc>
                <w:tcPr>
                  <w:tcW w:w="1411" w:type="pct"/>
                  <w:noWrap w:val="0"/>
                  <w:vAlign w:val="center"/>
                </w:tcPr>
                <w:p>
                  <w:pPr>
                    <w:pStyle w:val="26"/>
                    <w:jc w:val="center"/>
                    <w:rPr>
                      <w:rFonts w:hint="eastAsia"/>
                    </w:rPr>
                  </w:pPr>
                  <w:r>
                    <w:rPr>
                      <w:rFonts w:hint="eastAsia"/>
                    </w:rPr>
                    <w:t>SGLASE-RA1D</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安瓿电子检漏机</w:t>
                  </w:r>
                </w:p>
              </w:tc>
              <w:tc>
                <w:tcPr>
                  <w:tcW w:w="1411" w:type="pct"/>
                  <w:noWrap w:val="0"/>
                  <w:vAlign w:val="center"/>
                </w:tcPr>
                <w:p>
                  <w:pPr>
                    <w:pStyle w:val="26"/>
                    <w:jc w:val="center"/>
                    <w:rPr>
                      <w:rFonts w:hint="eastAsia"/>
                    </w:rPr>
                  </w:pPr>
                  <w:r>
                    <w:rPr>
                      <w:rFonts w:hint="eastAsia"/>
                    </w:rPr>
                    <w:t>AJLL800</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多功能自动装盒机</w:t>
                  </w:r>
                </w:p>
              </w:tc>
              <w:tc>
                <w:tcPr>
                  <w:tcW w:w="1411" w:type="pct"/>
                  <w:noWrap w:val="0"/>
                  <w:vAlign w:val="center"/>
                </w:tcPr>
                <w:p>
                  <w:pPr>
                    <w:pStyle w:val="26"/>
                    <w:jc w:val="center"/>
                    <w:rPr>
                      <w:rFonts w:hint="eastAsia"/>
                    </w:rPr>
                  </w:pPr>
                  <w:r>
                    <w:rPr>
                      <w:rFonts w:hint="eastAsia"/>
                    </w:rPr>
                    <w:t>HDZ-100K</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全自动薄膜捆扎机</w:t>
                  </w:r>
                </w:p>
              </w:tc>
              <w:tc>
                <w:tcPr>
                  <w:tcW w:w="1411" w:type="pct"/>
                  <w:noWrap w:val="0"/>
                  <w:vAlign w:val="center"/>
                </w:tcPr>
                <w:p>
                  <w:pPr>
                    <w:pStyle w:val="26"/>
                    <w:jc w:val="center"/>
                    <w:rPr>
                      <w:rFonts w:hint="eastAsia"/>
                    </w:rPr>
                  </w:pPr>
                  <w:r>
                    <w:rPr>
                      <w:rFonts w:hint="eastAsia"/>
                    </w:rPr>
                    <w:t>ZKZ200</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捆扎机</w:t>
                  </w:r>
                </w:p>
              </w:tc>
              <w:tc>
                <w:tcPr>
                  <w:tcW w:w="1411" w:type="pct"/>
                  <w:noWrap w:val="0"/>
                  <w:vAlign w:val="center"/>
                </w:tcPr>
                <w:p>
                  <w:pPr>
                    <w:pStyle w:val="26"/>
                    <w:jc w:val="center"/>
                    <w:rPr>
                      <w:rFonts w:hint="eastAsia"/>
                    </w:rPr>
                  </w:pPr>
                  <w:r>
                    <w:rPr>
                      <w:rFonts w:hint="eastAsia"/>
                    </w:rPr>
                    <w:t>YS-A2L</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立式超声波清洗机</w:t>
                  </w:r>
                </w:p>
              </w:tc>
              <w:tc>
                <w:tcPr>
                  <w:tcW w:w="1411" w:type="pct"/>
                  <w:noWrap w:val="0"/>
                  <w:vAlign w:val="center"/>
                </w:tcPr>
                <w:p>
                  <w:pPr>
                    <w:pStyle w:val="26"/>
                    <w:jc w:val="center"/>
                    <w:rPr>
                      <w:rFonts w:hint="eastAsia"/>
                    </w:rPr>
                  </w:pPr>
                  <w:r>
                    <w:rPr>
                      <w:rFonts w:hint="eastAsia"/>
                    </w:rPr>
                    <w:t>AOC1 206</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隧道式灭菌干燥机</w:t>
                  </w:r>
                </w:p>
              </w:tc>
              <w:tc>
                <w:tcPr>
                  <w:tcW w:w="1411" w:type="pct"/>
                  <w:noWrap w:val="0"/>
                  <w:vAlign w:val="center"/>
                </w:tcPr>
                <w:p>
                  <w:pPr>
                    <w:pStyle w:val="26"/>
                    <w:jc w:val="center"/>
                    <w:rPr>
                      <w:rFonts w:hint="eastAsia"/>
                    </w:rPr>
                  </w:pPr>
                  <w:r>
                    <w:rPr>
                      <w:rFonts w:hint="eastAsia"/>
                    </w:rPr>
                    <w:t>K522620050G</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1000L配制罐2</w:t>
                  </w:r>
                </w:p>
              </w:tc>
              <w:tc>
                <w:tcPr>
                  <w:tcW w:w="1411" w:type="pct"/>
                  <w:noWrap w:val="0"/>
                  <w:vAlign w:val="center"/>
                </w:tcPr>
                <w:p>
                  <w:pPr>
                    <w:pStyle w:val="26"/>
                    <w:jc w:val="center"/>
                    <w:rPr>
                      <w:rFonts w:hint="eastAsia"/>
                    </w:rPr>
                  </w:pPr>
                  <w:r>
                    <w:rPr>
                      <w:rFonts w:hint="eastAsia"/>
                    </w:rPr>
                    <w:t>1000L</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吹灌封(BFS)生产线</w:t>
                  </w:r>
                </w:p>
              </w:tc>
              <w:tc>
                <w:tcPr>
                  <w:tcW w:w="1411" w:type="pct"/>
                  <w:noWrap w:val="0"/>
                  <w:vAlign w:val="center"/>
                </w:tcPr>
                <w:p>
                  <w:pPr>
                    <w:pStyle w:val="26"/>
                    <w:jc w:val="center"/>
                    <w:rPr>
                      <w:rFonts w:hint="eastAsia"/>
                    </w:rPr>
                  </w:pPr>
                  <w:r>
                    <w:rPr>
                      <w:rFonts w:hint="eastAsia"/>
                    </w:rPr>
                    <w:t>APSD3</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水浴灭菌柜</w:t>
                  </w:r>
                </w:p>
              </w:tc>
              <w:tc>
                <w:tcPr>
                  <w:tcW w:w="1411" w:type="pct"/>
                  <w:noWrap w:val="0"/>
                  <w:vAlign w:val="center"/>
                </w:tcPr>
                <w:p>
                  <w:pPr>
                    <w:pStyle w:val="26"/>
                    <w:jc w:val="center"/>
                    <w:rPr>
                      <w:rFonts w:hint="eastAsia"/>
                    </w:rPr>
                  </w:pPr>
                  <w:r>
                    <w:rPr>
                      <w:rFonts w:hint="eastAsia"/>
                    </w:rPr>
                    <w:t>HWS-2008</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自动检漏机</w:t>
                  </w:r>
                </w:p>
              </w:tc>
              <w:tc>
                <w:tcPr>
                  <w:tcW w:w="1411" w:type="pct"/>
                  <w:noWrap w:val="0"/>
                  <w:vAlign w:val="center"/>
                </w:tcPr>
                <w:p>
                  <w:pPr>
                    <w:pStyle w:val="26"/>
                    <w:jc w:val="center"/>
                    <w:rPr>
                      <w:rFonts w:hint="eastAsia"/>
                    </w:rPr>
                  </w:pPr>
                  <w:r>
                    <w:rPr>
                      <w:rFonts w:hint="eastAsia"/>
                    </w:rPr>
                    <w:t>VLC70</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塑料安瓿高速平面贴标机</w:t>
                  </w:r>
                </w:p>
              </w:tc>
              <w:tc>
                <w:tcPr>
                  <w:tcW w:w="1411" w:type="pct"/>
                  <w:noWrap w:val="0"/>
                  <w:vAlign w:val="center"/>
                </w:tcPr>
                <w:p>
                  <w:pPr>
                    <w:pStyle w:val="26"/>
                    <w:jc w:val="center"/>
                    <w:rPr>
                      <w:rFonts w:hint="eastAsia"/>
                    </w:rPr>
                  </w:pPr>
                  <w:r>
                    <w:rPr>
                      <w:rFonts w:hint="eastAsia"/>
                    </w:rPr>
                    <w:t>T808-B</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restart"/>
                  <w:noWrap w:val="0"/>
                  <w:vAlign w:val="center"/>
                </w:tcPr>
                <w:p>
                  <w:pPr>
                    <w:pStyle w:val="26"/>
                    <w:jc w:val="center"/>
                  </w:pPr>
                  <w:r>
                    <w:rPr>
                      <w:rFonts w:hint="eastAsia"/>
                    </w:rPr>
                    <w:t>冻干产品</w:t>
                  </w:r>
                </w:p>
              </w:tc>
              <w:tc>
                <w:tcPr>
                  <w:tcW w:w="1728" w:type="pct"/>
                  <w:noWrap w:val="0"/>
                  <w:vAlign w:val="center"/>
                </w:tcPr>
                <w:p>
                  <w:pPr>
                    <w:pStyle w:val="26"/>
                    <w:jc w:val="center"/>
                    <w:rPr>
                      <w:rFonts w:hint="eastAsia"/>
                    </w:rPr>
                  </w:pPr>
                  <w:r>
                    <w:rPr>
                      <w:rFonts w:hint="eastAsia"/>
                    </w:rPr>
                    <w:t>洗瓶机</w:t>
                  </w:r>
                </w:p>
              </w:tc>
              <w:tc>
                <w:tcPr>
                  <w:tcW w:w="1411" w:type="pct"/>
                  <w:noWrap w:val="0"/>
                  <w:vAlign w:val="center"/>
                </w:tcPr>
                <w:p>
                  <w:pPr>
                    <w:pStyle w:val="26"/>
                    <w:jc w:val="center"/>
                  </w:pPr>
                  <w:r>
                    <w:rPr>
                      <w:rFonts w:hint="eastAsia"/>
                    </w:rPr>
                    <w:t>FWV6001-02</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灭菌去热原烘箱</w:t>
                  </w:r>
                </w:p>
              </w:tc>
              <w:tc>
                <w:tcPr>
                  <w:tcW w:w="1411" w:type="pct"/>
                  <w:noWrap w:val="0"/>
                  <w:vAlign w:val="center"/>
                </w:tcPr>
                <w:p>
                  <w:pPr>
                    <w:pStyle w:val="26"/>
                    <w:jc w:val="center"/>
                    <w:rPr>
                      <w:rFonts w:hint="eastAsia"/>
                    </w:rPr>
                  </w:pPr>
                  <w:r>
                    <w:rPr>
                      <w:rFonts w:hint="eastAsia"/>
                    </w:rPr>
                    <w:t>FTV6001-01</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全自动胶塞清洗机</w:t>
                  </w:r>
                </w:p>
              </w:tc>
              <w:tc>
                <w:tcPr>
                  <w:tcW w:w="1411" w:type="pct"/>
                  <w:noWrap w:val="0"/>
                  <w:vAlign w:val="center"/>
                </w:tcPr>
                <w:p>
                  <w:pPr>
                    <w:pStyle w:val="26"/>
                    <w:jc w:val="center"/>
                    <w:rPr>
                      <w:rFonts w:hint="eastAsia"/>
                    </w:rPr>
                  </w:pPr>
                  <w:r>
                    <w:rPr>
                      <w:rFonts w:hint="eastAsia"/>
                    </w:rPr>
                    <w:t>RSS280</w:t>
                  </w:r>
                  <w:r>
                    <w:rPr>
                      <w:rFonts w:hint="eastAsia"/>
                      <w:lang w:val="en-US" w:eastAsia="zh-CN"/>
                    </w:rPr>
                    <w:t>-</w:t>
                  </w:r>
                  <w:r>
                    <w:rPr>
                      <w:rFonts w:hint="eastAsia"/>
                    </w:rPr>
                    <w:t>7-AMD</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pPr>
                  <w:r>
                    <w:rPr>
                      <w:rFonts w:hint="eastAsia"/>
                    </w:rPr>
                    <w:t>脉动真空灭菌器</w:t>
                  </w:r>
                </w:p>
              </w:tc>
              <w:tc>
                <w:tcPr>
                  <w:tcW w:w="1411" w:type="pct"/>
                  <w:noWrap w:val="0"/>
                  <w:vAlign w:val="center"/>
                </w:tcPr>
                <w:p>
                  <w:pPr>
                    <w:pStyle w:val="26"/>
                    <w:jc w:val="center"/>
                    <w:rPr>
                      <w:rFonts w:hint="eastAsia"/>
                    </w:rPr>
                  </w:pPr>
                  <w:r>
                    <w:rPr>
                      <w:rFonts w:hint="eastAsia"/>
                    </w:rPr>
                    <w:t>XG1.DTM-2.0</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ascii="Times New Roman" w:hAnsi="Times New Roman" w:eastAsia="宋体" w:cs="Times New Roman"/>
                    </w:rPr>
                  </w:pPr>
                  <w:r>
                    <w:rPr>
                      <w:rFonts w:hint="eastAsia" w:ascii="Times New Roman" w:hAnsi="Times New Roman" w:eastAsia="宋体" w:cs="Times New Roman"/>
                    </w:rPr>
                    <w:t>灌装加</w:t>
                  </w:r>
                  <w:r>
                    <w:rPr>
                      <w:rFonts w:hint="eastAsia" w:ascii="Times New Roman" w:hAnsi="Times New Roman" w:eastAsia="宋体" w:cs="Times New Roman"/>
                      <w:lang w:val="en-US" w:eastAsia="zh-CN"/>
                    </w:rPr>
                    <w:t>塞</w:t>
                  </w:r>
                  <w:r>
                    <w:rPr>
                      <w:rFonts w:hint="eastAsia" w:ascii="Times New Roman" w:hAnsi="Times New Roman" w:eastAsia="宋体" w:cs="Times New Roman"/>
                    </w:rPr>
                    <w:t>机</w:t>
                  </w:r>
                </w:p>
              </w:tc>
              <w:tc>
                <w:tcPr>
                  <w:tcW w:w="1411" w:type="pct"/>
                  <w:noWrap w:val="0"/>
                  <w:vAlign w:val="center"/>
                </w:tcPr>
                <w:p>
                  <w:pPr>
                    <w:pStyle w:val="26"/>
                    <w:jc w:val="center"/>
                    <w:rPr>
                      <w:rFonts w:hint="eastAsia" w:ascii="Times New Roman" w:hAnsi="Times New Roman" w:eastAsia="宋体" w:cs="Times New Roman"/>
                    </w:rPr>
                  </w:pPr>
                  <w:r>
                    <w:rPr>
                      <w:rFonts w:hint="eastAsia" w:ascii="Times New Roman" w:hAnsi="Times New Roman" w:eastAsia="宋体" w:cs="Times New Roman"/>
                    </w:rPr>
                    <w:t>FFVLP6O/01-01</w:t>
                  </w:r>
                </w:p>
              </w:tc>
              <w:tc>
                <w:tcPr>
                  <w:tcW w:w="1097" w:type="pct"/>
                  <w:noWrap w:val="0"/>
                  <w:vAlign w:val="center"/>
                </w:tcPr>
                <w:p>
                  <w:pPr>
                    <w:pStyle w:val="26"/>
                    <w:jc w:val="center"/>
                    <w:rPr>
                      <w:rFonts w:hint="eastAsia" w:ascii="Times New Roman" w:hAnsi="Times New Roman" w:eastAsia="宋体" w:cs="Times New Roman"/>
                    </w:rPr>
                  </w:pPr>
                  <w:r>
                    <w:rPr>
                      <w:rFonts w:hint="eastAsia"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ascii="Times New Roman" w:hAnsi="Times New Roman" w:eastAsia="宋体" w:cs="Times New Roman"/>
                    </w:rPr>
                  </w:pPr>
                  <w:r>
                    <w:rPr>
                      <w:rFonts w:hint="eastAsia" w:ascii="Times New Roman" w:hAnsi="Times New Roman" w:eastAsia="宋体" w:cs="Times New Roman"/>
                    </w:rPr>
                    <w:t>真空冷冻干燥机</w:t>
                  </w:r>
                </w:p>
              </w:tc>
              <w:tc>
                <w:tcPr>
                  <w:tcW w:w="1411" w:type="pct"/>
                  <w:noWrap w:val="0"/>
                  <w:vAlign w:val="center"/>
                </w:tcPr>
                <w:p>
                  <w:pPr>
                    <w:pStyle w:val="26"/>
                    <w:jc w:val="center"/>
                    <w:rPr>
                      <w:rFonts w:hint="eastAsia" w:ascii="Times New Roman" w:hAnsi="Times New Roman" w:eastAsia="宋体" w:cs="Times New Roman"/>
                    </w:rPr>
                  </w:pPr>
                  <w:r>
                    <w:rPr>
                      <w:rFonts w:hint="eastAsia" w:ascii="Times New Roman" w:hAnsi="Times New Roman" w:eastAsia="宋体" w:cs="Times New Roman"/>
                    </w:rPr>
                    <w:t>LYO-30SC</w:t>
                  </w:r>
                </w:p>
              </w:tc>
              <w:tc>
                <w:tcPr>
                  <w:tcW w:w="1097" w:type="pct"/>
                  <w:noWrap w:val="0"/>
                  <w:vAlign w:val="center"/>
                </w:tcPr>
                <w:p>
                  <w:pPr>
                    <w:pStyle w:val="26"/>
                    <w:jc w:val="center"/>
                    <w:rPr>
                      <w:rFonts w:hint="eastAsia" w:ascii="Times New Roman" w:hAnsi="Times New Roman" w:eastAsia="宋体" w:cs="Times New Roman"/>
                    </w:rPr>
                  </w:pPr>
                  <w:r>
                    <w:rPr>
                      <w:rFonts w:hint="eastAsia"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轧盖机</w:t>
                  </w:r>
                </w:p>
              </w:tc>
              <w:tc>
                <w:tcPr>
                  <w:tcW w:w="1411" w:type="pct"/>
                  <w:noWrap w:val="0"/>
                  <w:vAlign w:val="center"/>
                </w:tcPr>
                <w:p>
                  <w:pPr>
                    <w:pStyle w:val="26"/>
                    <w:jc w:val="center"/>
                    <w:rPr>
                      <w:rFonts w:hint="eastAsia"/>
                    </w:rPr>
                  </w:pPr>
                  <w:r>
                    <w:rPr>
                      <w:rFonts w:hint="eastAsia"/>
                    </w:rPr>
                    <w:t>FCVC40/01-01</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双人灯检机</w:t>
                  </w:r>
                </w:p>
              </w:tc>
              <w:tc>
                <w:tcPr>
                  <w:tcW w:w="1411" w:type="pct"/>
                  <w:noWrap w:val="0"/>
                  <w:vAlign w:val="center"/>
                </w:tcPr>
                <w:p>
                  <w:pPr>
                    <w:pStyle w:val="26"/>
                    <w:jc w:val="center"/>
                    <w:rPr>
                      <w:rFonts w:hint="eastAsia"/>
                    </w:rPr>
                  </w:pPr>
                  <w:r>
                    <w:rPr>
                      <w:rFonts w:hint="eastAsia"/>
                    </w:rPr>
                    <w:t>DNDJ-500</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restart"/>
                  <w:noWrap w:val="0"/>
                  <w:vAlign w:val="center"/>
                </w:tcPr>
                <w:p>
                  <w:pPr>
                    <w:pStyle w:val="26"/>
                    <w:jc w:val="center"/>
                    <w:rPr>
                      <w:rFonts w:hint="eastAsia"/>
                    </w:rPr>
                  </w:pPr>
                  <w:r>
                    <w:rPr>
                      <w:rFonts w:hint="eastAsia"/>
                    </w:rPr>
                    <w:t>胶囊剂产品</w:t>
                  </w:r>
                </w:p>
              </w:tc>
              <w:tc>
                <w:tcPr>
                  <w:tcW w:w="1728" w:type="pct"/>
                  <w:noWrap w:val="0"/>
                  <w:vAlign w:val="center"/>
                </w:tcPr>
                <w:p>
                  <w:pPr>
                    <w:pStyle w:val="26"/>
                    <w:jc w:val="center"/>
                    <w:rPr>
                      <w:rFonts w:hint="eastAsia"/>
                    </w:rPr>
                  </w:pPr>
                  <w:r>
                    <w:rPr>
                      <w:rFonts w:hint="eastAsia"/>
                    </w:rPr>
                    <w:t>湿法混合制粒机</w:t>
                  </w:r>
                </w:p>
              </w:tc>
              <w:tc>
                <w:tcPr>
                  <w:tcW w:w="1411" w:type="pct"/>
                  <w:noWrap w:val="0"/>
                  <w:vAlign w:val="center"/>
                </w:tcPr>
                <w:p>
                  <w:pPr>
                    <w:pStyle w:val="26"/>
                    <w:jc w:val="center"/>
                    <w:rPr>
                      <w:rFonts w:hint="eastAsia"/>
                    </w:rPr>
                  </w:pPr>
                  <w:r>
                    <w:rPr>
                      <w:rFonts w:hint="eastAsia"/>
                    </w:rPr>
                    <w:t>GM-150E</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沸腾干燥制粒机</w:t>
                  </w:r>
                </w:p>
              </w:tc>
              <w:tc>
                <w:tcPr>
                  <w:tcW w:w="1411" w:type="pct"/>
                  <w:noWrap w:val="0"/>
                  <w:vAlign w:val="center"/>
                </w:tcPr>
                <w:p>
                  <w:pPr>
                    <w:pStyle w:val="26"/>
                    <w:jc w:val="center"/>
                    <w:rPr>
                      <w:rFonts w:hint="eastAsia"/>
                      <w:b/>
                      <w:bCs/>
                    </w:rPr>
                  </w:pPr>
                  <w:r>
                    <w:rPr>
                      <w:rFonts w:hint="eastAsia"/>
                    </w:rPr>
                    <w:t>FBG-150E</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提升式整粒机</w:t>
                  </w:r>
                </w:p>
              </w:tc>
              <w:tc>
                <w:tcPr>
                  <w:tcW w:w="1411" w:type="pct"/>
                  <w:noWrap w:val="0"/>
                  <w:vAlign w:val="center"/>
                </w:tcPr>
                <w:p>
                  <w:pPr>
                    <w:pStyle w:val="26"/>
                    <w:jc w:val="center"/>
                    <w:rPr>
                      <w:rFonts w:hint="eastAsia"/>
                      <w:b/>
                      <w:bCs/>
                    </w:rPr>
                  </w:pPr>
                  <w:r>
                    <w:rPr>
                      <w:rFonts w:hint="eastAsia"/>
                    </w:rPr>
                    <w:t>FZT-300V</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可换桶混合机</w:t>
                  </w:r>
                </w:p>
              </w:tc>
              <w:tc>
                <w:tcPr>
                  <w:tcW w:w="1411" w:type="pct"/>
                  <w:noWrap w:val="0"/>
                  <w:vAlign w:val="center"/>
                </w:tcPr>
                <w:p>
                  <w:pPr>
                    <w:pStyle w:val="26"/>
                    <w:jc w:val="center"/>
                    <w:rPr>
                      <w:rFonts w:hint="eastAsia"/>
                    </w:rPr>
                  </w:pPr>
                  <w:r>
                    <w:rPr>
                      <w:rFonts w:hint="eastAsia"/>
                    </w:rPr>
                    <w:t>HHD-100</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全自动硬胶囊充填机</w:t>
                  </w:r>
                </w:p>
              </w:tc>
              <w:tc>
                <w:tcPr>
                  <w:tcW w:w="1411" w:type="pct"/>
                  <w:noWrap w:val="0"/>
                  <w:vAlign w:val="center"/>
                </w:tcPr>
                <w:p>
                  <w:pPr>
                    <w:pStyle w:val="26"/>
                    <w:jc w:val="center"/>
                    <w:rPr>
                      <w:rFonts w:hint="eastAsia"/>
                    </w:rPr>
                  </w:pPr>
                  <w:r>
                    <w:rPr>
                      <w:rFonts w:hint="eastAsia"/>
                    </w:rPr>
                    <w:t>NJP-5200</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DPP260K智能平板铝塑/铝铝泡罩包装机</w:t>
                  </w:r>
                </w:p>
              </w:tc>
              <w:tc>
                <w:tcPr>
                  <w:tcW w:w="1411" w:type="pct"/>
                  <w:noWrap w:val="0"/>
                  <w:vAlign w:val="center"/>
                </w:tcPr>
                <w:p>
                  <w:pPr>
                    <w:pStyle w:val="26"/>
                    <w:jc w:val="center"/>
                    <w:rPr>
                      <w:rFonts w:hint="eastAsia"/>
                      <w:b/>
                      <w:bCs/>
                    </w:rPr>
                  </w:pPr>
                  <w:r>
                    <w:rPr>
                      <w:rFonts w:hint="eastAsia"/>
                    </w:rPr>
                    <w:t>DPP260K</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多向运动混合机</w:t>
                  </w:r>
                </w:p>
              </w:tc>
              <w:tc>
                <w:tcPr>
                  <w:tcW w:w="1411" w:type="pct"/>
                  <w:noWrap w:val="0"/>
                  <w:vAlign w:val="center"/>
                </w:tcPr>
                <w:p>
                  <w:pPr>
                    <w:pStyle w:val="26"/>
                    <w:jc w:val="center"/>
                    <w:rPr>
                      <w:rFonts w:hint="eastAsia"/>
                    </w:rPr>
                  </w:pPr>
                  <w:r>
                    <w:rPr>
                      <w:rFonts w:hint="eastAsia"/>
                    </w:rPr>
                    <w:t>GDH-300</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全自动硬胶囊充填机</w:t>
                  </w:r>
                </w:p>
              </w:tc>
              <w:tc>
                <w:tcPr>
                  <w:tcW w:w="1411" w:type="pct"/>
                  <w:noWrap w:val="0"/>
                  <w:vAlign w:val="center"/>
                </w:tcPr>
                <w:p>
                  <w:pPr>
                    <w:pStyle w:val="26"/>
                    <w:jc w:val="center"/>
                    <w:rPr>
                      <w:rFonts w:hint="eastAsia"/>
                    </w:rPr>
                  </w:pPr>
                  <w:r>
                    <w:rPr>
                      <w:rFonts w:hint="eastAsia"/>
                    </w:rPr>
                    <w:t>NJP-3000</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高速辊板泡罩包装机</w:t>
                  </w:r>
                </w:p>
              </w:tc>
              <w:tc>
                <w:tcPr>
                  <w:tcW w:w="1411" w:type="pct"/>
                  <w:noWrap w:val="0"/>
                  <w:vAlign w:val="center"/>
                </w:tcPr>
                <w:p>
                  <w:pPr>
                    <w:pStyle w:val="26"/>
                    <w:jc w:val="center"/>
                    <w:rPr>
                      <w:rFonts w:hint="eastAsia"/>
                    </w:rPr>
                  </w:pPr>
                  <w:r>
                    <w:rPr>
                      <w:rFonts w:hint="eastAsia"/>
                    </w:rPr>
                    <w:t>DPH320H</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卧式枕型全自动包装机</w:t>
                  </w:r>
                </w:p>
              </w:tc>
              <w:tc>
                <w:tcPr>
                  <w:tcW w:w="1411" w:type="pct"/>
                  <w:noWrap w:val="0"/>
                  <w:vAlign w:val="center"/>
                </w:tcPr>
                <w:p>
                  <w:pPr>
                    <w:pStyle w:val="26"/>
                    <w:jc w:val="center"/>
                    <w:rPr>
                      <w:rFonts w:hint="eastAsia"/>
                    </w:rPr>
                  </w:pPr>
                  <w:r>
                    <w:rPr>
                      <w:rFonts w:hint="eastAsia"/>
                    </w:rPr>
                    <w:t>SE-5020A-BX</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流化床包衣机</w:t>
                  </w:r>
                </w:p>
              </w:tc>
              <w:tc>
                <w:tcPr>
                  <w:tcW w:w="1411" w:type="pct"/>
                  <w:noWrap w:val="0"/>
                  <w:vAlign w:val="center"/>
                </w:tcPr>
                <w:p>
                  <w:pPr>
                    <w:pStyle w:val="26"/>
                    <w:jc w:val="cente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全自动硬胶囊充填机</w:t>
                  </w:r>
                </w:p>
              </w:tc>
              <w:tc>
                <w:tcPr>
                  <w:tcW w:w="1411" w:type="pct"/>
                  <w:noWrap w:val="0"/>
                  <w:vAlign w:val="center"/>
                </w:tcPr>
                <w:p>
                  <w:pPr>
                    <w:pStyle w:val="26"/>
                    <w:jc w:val="center"/>
                  </w:pPr>
                  <w:r>
                    <w:rPr>
                      <w:rFonts w:hint="eastAsia"/>
                    </w:rPr>
                    <w:t>/</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胶囊封口机</w:t>
                  </w:r>
                </w:p>
              </w:tc>
              <w:tc>
                <w:tcPr>
                  <w:tcW w:w="1411" w:type="pct"/>
                  <w:noWrap w:val="0"/>
                  <w:vAlign w:val="center"/>
                </w:tcPr>
                <w:p>
                  <w:pPr>
                    <w:pStyle w:val="26"/>
                    <w:jc w:val="center"/>
                  </w:pPr>
                  <w:r>
                    <w:rPr>
                      <w:rFonts w:hint="eastAsia"/>
                    </w:rPr>
                    <w:t>/</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高速辊板泡罩包装机</w:t>
                  </w:r>
                </w:p>
              </w:tc>
              <w:tc>
                <w:tcPr>
                  <w:tcW w:w="1411" w:type="pct"/>
                  <w:noWrap w:val="0"/>
                  <w:vAlign w:val="center"/>
                </w:tcPr>
                <w:p>
                  <w:pPr>
                    <w:pStyle w:val="26"/>
                    <w:jc w:val="center"/>
                  </w:pPr>
                  <w:r>
                    <w:rPr>
                      <w:rFonts w:hint="eastAsia"/>
                    </w:rPr>
                    <w:t>/</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restart"/>
                  <w:noWrap w:val="0"/>
                  <w:vAlign w:val="center"/>
                </w:tcPr>
                <w:p>
                  <w:pPr>
                    <w:pStyle w:val="26"/>
                    <w:jc w:val="center"/>
                    <w:rPr>
                      <w:rFonts w:hint="eastAsia"/>
                    </w:rPr>
                  </w:pPr>
                  <w:r>
                    <w:rPr>
                      <w:rFonts w:hint="eastAsia"/>
                    </w:rPr>
                    <w:t>颗粒、粉剂产品</w:t>
                  </w:r>
                </w:p>
              </w:tc>
              <w:tc>
                <w:tcPr>
                  <w:tcW w:w="1728" w:type="pct"/>
                  <w:noWrap w:val="0"/>
                  <w:vAlign w:val="center"/>
                </w:tcPr>
                <w:p>
                  <w:pPr>
                    <w:pStyle w:val="26"/>
                    <w:jc w:val="center"/>
                    <w:rPr>
                      <w:rFonts w:hint="eastAsia"/>
                    </w:rPr>
                  </w:pPr>
                  <w:r>
                    <w:rPr>
                      <w:rFonts w:hint="eastAsia"/>
                    </w:rPr>
                    <w:t>高效湿法制粒机</w:t>
                  </w:r>
                </w:p>
              </w:tc>
              <w:tc>
                <w:tcPr>
                  <w:tcW w:w="1411" w:type="pct"/>
                  <w:noWrap w:val="0"/>
                  <w:vAlign w:val="center"/>
                </w:tcPr>
                <w:p>
                  <w:pPr>
                    <w:pStyle w:val="26"/>
                    <w:jc w:val="center"/>
                    <w:rPr>
                      <w:rFonts w:hint="eastAsia"/>
                    </w:rPr>
                  </w:pPr>
                  <w:r>
                    <w:rPr>
                      <w:rFonts w:hint="eastAsia"/>
                    </w:rPr>
                    <w:t>GM150</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多功能沸腾制粒机</w:t>
                  </w:r>
                </w:p>
              </w:tc>
              <w:tc>
                <w:tcPr>
                  <w:tcW w:w="1411" w:type="pct"/>
                  <w:noWrap w:val="0"/>
                  <w:vAlign w:val="center"/>
                </w:tcPr>
                <w:p>
                  <w:pPr>
                    <w:pStyle w:val="26"/>
                    <w:jc w:val="center"/>
                    <w:rPr>
                      <w:rFonts w:hint="eastAsia"/>
                    </w:rPr>
                  </w:pPr>
                  <w:r>
                    <w:rPr>
                      <w:rFonts w:hint="eastAsia"/>
                    </w:rPr>
                    <w:t>150E</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摇摆颗粒机</w:t>
                  </w:r>
                </w:p>
              </w:tc>
              <w:tc>
                <w:tcPr>
                  <w:tcW w:w="1411" w:type="pct"/>
                  <w:noWrap w:val="0"/>
                  <w:vAlign w:val="center"/>
                </w:tcPr>
                <w:p>
                  <w:pPr>
                    <w:pStyle w:val="26"/>
                    <w:jc w:val="center"/>
                    <w:rPr>
                      <w:rFonts w:hint="eastAsia"/>
                    </w:rPr>
                  </w:pPr>
                  <w:r>
                    <w:rPr>
                      <w:rFonts w:hint="eastAsia"/>
                    </w:rPr>
                    <w:t xml:space="preserve"> YK-160B</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S49系列三元旋振筛</w:t>
                  </w:r>
                </w:p>
              </w:tc>
              <w:tc>
                <w:tcPr>
                  <w:tcW w:w="1411" w:type="pct"/>
                  <w:noWrap w:val="0"/>
                  <w:vAlign w:val="center"/>
                </w:tcPr>
                <w:p>
                  <w:pPr>
                    <w:pStyle w:val="26"/>
                    <w:jc w:val="center"/>
                    <w:rPr>
                      <w:rFonts w:hint="eastAsia"/>
                    </w:rPr>
                  </w:pPr>
                  <w:r>
                    <w:rPr>
                      <w:rFonts w:hint="eastAsia"/>
                    </w:rPr>
                    <w:t>S49-800-2S</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料斗混合机</w:t>
                  </w:r>
                </w:p>
              </w:tc>
              <w:tc>
                <w:tcPr>
                  <w:tcW w:w="1411" w:type="pct"/>
                  <w:noWrap w:val="0"/>
                  <w:vAlign w:val="center"/>
                </w:tcPr>
                <w:p>
                  <w:pPr>
                    <w:pStyle w:val="26"/>
                    <w:jc w:val="center"/>
                    <w:rPr>
                      <w:rFonts w:hint="eastAsia"/>
                    </w:rPr>
                  </w:pPr>
                  <w:r>
                    <w:rPr>
                      <w:rFonts w:hint="eastAsia"/>
                    </w:rPr>
                    <w:t>HHD-100</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全伺服粉剂包装机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颗粒分装机</w:t>
                  </w:r>
                </w:p>
              </w:tc>
              <w:tc>
                <w:tcPr>
                  <w:tcW w:w="1411" w:type="pct"/>
                  <w:noWrap w:val="0"/>
                  <w:vAlign w:val="center"/>
                </w:tcPr>
                <w:p>
                  <w:pPr>
                    <w:pStyle w:val="26"/>
                    <w:jc w:val="center"/>
                    <w:rPr>
                      <w:rFonts w:hint="eastAsia"/>
                    </w:rPr>
                  </w:pPr>
                  <w:r>
                    <w:rPr>
                      <w:rFonts w:hint="eastAsia"/>
                    </w:rPr>
                    <w:t>DXDF-40VI</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pct"/>
                  <w:vMerge w:val="restart"/>
                  <w:noWrap w:val="0"/>
                  <w:vAlign w:val="center"/>
                </w:tcPr>
                <w:p>
                  <w:pPr>
                    <w:pStyle w:val="26"/>
                    <w:jc w:val="center"/>
                    <w:rPr>
                      <w:rFonts w:hint="eastAsia"/>
                    </w:rPr>
                  </w:pPr>
                  <w:r>
                    <w:rPr>
                      <w:rFonts w:hint="eastAsia"/>
                    </w:rPr>
                    <w:t>片剂产品</w:t>
                  </w:r>
                </w:p>
              </w:tc>
              <w:tc>
                <w:tcPr>
                  <w:tcW w:w="1728" w:type="pct"/>
                  <w:noWrap w:val="0"/>
                  <w:vAlign w:val="center"/>
                </w:tcPr>
                <w:p>
                  <w:pPr>
                    <w:pStyle w:val="26"/>
                    <w:jc w:val="center"/>
                    <w:rPr>
                      <w:rFonts w:hint="eastAsia"/>
                    </w:rPr>
                  </w:pPr>
                  <w:r>
                    <w:rPr>
                      <w:rFonts w:hint="eastAsia"/>
                    </w:rPr>
                    <w:t>真空加料机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沸腾制粒机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湿法制粒机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摇摆颗粒机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三维混合机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整粒机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高速压片机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包衣机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泡罩包装机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红外线测温仪</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自动捆扎机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铝塑药包装机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高速装盒机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旋转式</w:t>
                  </w:r>
                  <w:bookmarkStart w:id="5" w:name="OLE_LINK3"/>
                  <w:r>
                    <w:rPr>
                      <w:rFonts w:hint="eastAsia"/>
                    </w:rPr>
                    <w:t>压片机</w:t>
                  </w:r>
                  <w:bookmarkEnd w:id="5"/>
                </w:p>
              </w:tc>
              <w:tc>
                <w:tcPr>
                  <w:tcW w:w="1411" w:type="pct"/>
                  <w:noWrap w:val="0"/>
                  <w:vAlign w:val="center"/>
                </w:tcPr>
                <w:p>
                  <w:pPr>
                    <w:pStyle w:val="26"/>
                    <w:jc w:val="center"/>
                  </w:pPr>
                  <w:r>
                    <w:rPr>
                      <w:rFonts w:hint="eastAsia"/>
                    </w:rPr>
                    <w:t>/</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硬脂酸镁喷射机</w:t>
                  </w:r>
                </w:p>
              </w:tc>
              <w:tc>
                <w:tcPr>
                  <w:tcW w:w="1411" w:type="pct"/>
                  <w:noWrap w:val="0"/>
                  <w:vAlign w:val="center"/>
                </w:tcPr>
                <w:p>
                  <w:pPr>
                    <w:pStyle w:val="26"/>
                    <w:jc w:val="center"/>
                  </w:pPr>
                  <w:r>
                    <w:rPr>
                      <w:rFonts w:hint="eastAsia"/>
                    </w:rPr>
                    <w:t>/</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高速理瓶机</w:t>
                  </w:r>
                </w:p>
              </w:tc>
              <w:tc>
                <w:tcPr>
                  <w:tcW w:w="1411" w:type="pct"/>
                  <w:noWrap w:val="0"/>
                  <w:vAlign w:val="center"/>
                </w:tcPr>
                <w:p>
                  <w:pPr>
                    <w:pStyle w:val="26"/>
                    <w:jc w:val="center"/>
                  </w:pPr>
                  <w:r>
                    <w:rPr>
                      <w:rFonts w:hint="eastAsia"/>
                    </w:rPr>
                    <w:t>/</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干燥剂投入机</w:t>
                  </w:r>
                </w:p>
              </w:tc>
              <w:tc>
                <w:tcPr>
                  <w:tcW w:w="1411" w:type="pct"/>
                  <w:noWrap w:val="0"/>
                  <w:vAlign w:val="center"/>
                </w:tcPr>
                <w:p>
                  <w:pPr>
                    <w:pStyle w:val="26"/>
                    <w:jc w:val="center"/>
                  </w:pPr>
                  <w:r>
                    <w:rPr>
                      <w:rFonts w:hint="eastAsia"/>
                    </w:rPr>
                    <w:t>/</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红外动态扫描式自动数粒机</w:t>
                  </w:r>
                </w:p>
              </w:tc>
              <w:tc>
                <w:tcPr>
                  <w:tcW w:w="1411" w:type="pct"/>
                  <w:noWrap w:val="0"/>
                  <w:vAlign w:val="center"/>
                </w:tcPr>
                <w:p>
                  <w:pPr>
                    <w:pStyle w:val="26"/>
                    <w:jc w:val="center"/>
                  </w:pPr>
                  <w:r>
                    <w:rPr>
                      <w:rFonts w:hint="eastAsia"/>
                    </w:rPr>
                    <w:t>/</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铝箔封口机</w:t>
                  </w:r>
                </w:p>
              </w:tc>
              <w:tc>
                <w:tcPr>
                  <w:tcW w:w="1411" w:type="pct"/>
                  <w:noWrap w:val="0"/>
                  <w:vAlign w:val="center"/>
                </w:tcPr>
                <w:p>
                  <w:pPr>
                    <w:pStyle w:val="26"/>
                    <w:jc w:val="center"/>
                  </w:pPr>
                  <w:r>
                    <w:rPr>
                      <w:rFonts w:hint="eastAsia"/>
                    </w:rPr>
                    <w:t>/</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旋转式旋盖机</w:t>
                  </w:r>
                </w:p>
              </w:tc>
              <w:tc>
                <w:tcPr>
                  <w:tcW w:w="1411" w:type="pct"/>
                  <w:noWrap w:val="0"/>
                  <w:vAlign w:val="center"/>
                </w:tcPr>
                <w:p>
                  <w:pPr>
                    <w:pStyle w:val="26"/>
                    <w:jc w:val="center"/>
                  </w:pPr>
                  <w:r>
                    <w:rPr>
                      <w:rFonts w:hint="eastAsia"/>
                    </w:rPr>
                    <w:t>/</w:t>
                  </w:r>
                </w:p>
              </w:tc>
              <w:tc>
                <w:tcPr>
                  <w:tcW w:w="1097" w:type="pct"/>
                  <w:noWrap w:val="0"/>
                  <w:vAlign w:val="center"/>
                </w:tcPr>
                <w:p>
                  <w:pPr>
                    <w:pStyle w:val="26"/>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2" w:type="pct"/>
                  <w:vMerge w:val="continue"/>
                  <w:noWrap w:val="0"/>
                  <w:vAlign w:val="center"/>
                </w:tcPr>
                <w:p>
                  <w:pPr>
                    <w:pStyle w:val="26"/>
                    <w:jc w:val="center"/>
                    <w:rPr>
                      <w:rFonts w:hint="eastAsia"/>
                    </w:rPr>
                  </w:pPr>
                </w:p>
              </w:tc>
              <w:tc>
                <w:tcPr>
                  <w:tcW w:w="1728" w:type="pct"/>
                  <w:noWrap w:val="0"/>
                  <w:vAlign w:val="center"/>
                </w:tcPr>
                <w:p>
                  <w:pPr>
                    <w:pStyle w:val="26"/>
                    <w:jc w:val="center"/>
                    <w:rPr>
                      <w:rFonts w:hint="eastAsia"/>
                    </w:rPr>
                  </w:pPr>
                  <w:r>
                    <w:rPr>
                      <w:rFonts w:hint="eastAsia"/>
                    </w:rPr>
                    <w:t>抛光机</w:t>
                  </w:r>
                </w:p>
              </w:tc>
              <w:tc>
                <w:tcPr>
                  <w:tcW w:w="1411" w:type="pct"/>
                  <w:noWrap w:val="0"/>
                  <w:vAlign w:val="center"/>
                </w:tcPr>
                <w:p>
                  <w:pPr>
                    <w:pStyle w:val="26"/>
                    <w:jc w:val="center"/>
                    <w:rPr>
                      <w:rFonts w:hint="eastAsia"/>
                    </w:rPr>
                  </w:pPr>
                  <w:r>
                    <w:rPr>
                      <w:rFonts w:hint="eastAsia"/>
                    </w:rPr>
                    <w:t>/</w:t>
                  </w:r>
                </w:p>
              </w:tc>
              <w:tc>
                <w:tcPr>
                  <w:tcW w:w="1097" w:type="pct"/>
                  <w:noWrap w:val="0"/>
                  <w:vAlign w:val="center"/>
                </w:tcPr>
                <w:p>
                  <w:pPr>
                    <w:pStyle w:val="26"/>
                    <w:jc w:val="center"/>
                    <w:rPr>
                      <w:rFonts w:hint="eastAsia"/>
                    </w:rPr>
                  </w:pPr>
                  <w:r>
                    <w:rPr>
                      <w:rFonts w:hint="eastAsia"/>
                    </w:rPr>
                    <w:t>1</w:t>
                  </w: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4、原辅材料消耗</w:t>
            </w:r>
          </w:p>
          <w:p>
            <w:pPr>
              <w:pStyle w:val="3"/>
              <w:spacing w:line="360" w:lineRule="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根据建设单位提供的资料，本项目生产过程中用到的原辅材料见表2-</w:t>
            </w:r>
            <w:r>
              <w:rPr>
                <w:rFonts w:hint="eastAsia" w:ascii="Times New Roman" w:hAnsi="Times New Roman" w:cs="Times New Roman"/>
                <w:bCs/>
                <w:color w:val="auto"/>
                <w:sz w:val="24"/>
                <w:szCs w:val="24"/>
                <w:lang w:val="en-US" w:eastAsia="zh-CN"/>
              </w:rPr>
              <w:t>8</w:t>
            </w:r>
            <w:r>
              <w:rPr>
                <w:rFonts w:hint="default" w:ascii="Times New Roman" w:hAnsi="Times New Roman" w:cs="Times New Roman"/>
                <w:bCs/>
                <w:color w:val="auto"/>
                <w:sz w:val="24"/>
                <w:szCs w:val="24"/>
                <w:lang w:val="en-US" w:eastAsia="zh-CN"/>
              </w:rPr>
              <w:t>。</w:t>
            </w:r>
          </w:p>
          <w:p>
            <w:pPr>
              <w:numPr>
                <w:ilvl w:val="0"/>
                <w:numId w:val="0"/>
              </w:numPr>
              <w:adjustRightInd w:val="0"/>
              <w:snapToGrid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表2-</w:t>
            </w:r>
            <w:r>
              <w:rPr>
                <w:rFonts w:hint="eastAsia" w:ascii="Times New Roman" w:hAnsi="Times New Roman" w:eastAsia="宋体"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项目原辅材料消耗一览表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588"/>
              <w:gridCol w:w="2784"/>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noWrap w:val="0"/>
                  <w:vAlign w:val="center"/>
                </w:tcPr>
                <w:p>
                  <w:pPr>
                    <w:pStyle w:val="26"/>
                    <w:jc w:val="center"/>
                    <w:rPr>
                      <w:rFonts w:hint="eastAsia"/>
                      <w:b/>
                      <w:bCs/>
                    </w:rPr>
                  </w:pPr>
                  <w:r>
                    <w:rPr>
                      <w:rFonts w:hint="eastAsia"/>
                      <w:b/>
                      <w:bCs/>
                    </w:rPr>
                    <w:t>类型</w:t>
                  </w:r>
                </w:p>
              </w:tc>
              <w:tc>
                <w:tcPr>
                  <w:tcW w:w="1583" w:type="pct"/>
                  <w:noWrap w:val="0"/>
                  <w:vAlign w:val="center"/>
                </w:tcPr>
                <w:p>
                  <w:pPr>
                    <w:pStyle w:val="26"/>
                    <w:jc w:val="center"/>
                    <w:rPr>
                      <w:rFonts w:hint="eastAsia"/>
                      <w:b/>
                      <w:bCs/>
                    </w:rPr>
                  </w:pPr>
                  <w:r>
                    <w:rPr>
                      <w:rFonts w:hint="eastAsia"/>
                      <w:b/>
                      <w:bCs/>
                    </w:rPr>
                    <w:t>品名</w:t>
                  </w:r>
                </w:p>
              </w:tc>
              <w:tc>
                <w:tcPr>
                  <w:tcW w:w="1702" w:type="pct"/>
                  <w:noWrap w:val="0"/>
                  <w:vAlign w:val="center"/>
                </w:tcPr>
                <w:p>
                  <w:pPr>
                    <w:pStyle w:val="26"/>
                    <w:jc w:val="center"/>
                    <w:rPr>
                      <w:rFonts w:hint="eastAsia" w:ascii="Times New Roman" w:hAnsi="Times New Roman" w:eastAsia="宋体" w:cs="Times New Roman"/>
                      <w:b/>
                      <w:bCs/>
                    </w:rPr>
                  </w:pPr>
                  <w:r>
                    <w:rPr>
                      <w:rFonts w:hint="eastAsia" w:ascii="Times New Roman" w:hAnsi="Times New Roman" w:eastAsia="宋体" w:cs="Times New Roman"/>
                      <w:b/>
                      <w:bCs/>
                    </w:rPr>
                    <w:t>原辅材料名称</w:t>
                  </w:r>
                </w:p>
              </w:tc>
              <w:tc>
                <w:tcPr>
                  <w:tcW w:w="1088" w:type="pct"/>
                  <w:noWrap w:val="0"/>
                  <w:vAlign w:val="center"/>
                </w:tcPr>
                <w:p>
                  <w:pPr>
                    <w:pStyle w:val="26"/>
                    <w:jc w:val="center"/>
                    <w:rPr>
                      <w:rFonts w:hint="eastAsia" w:ascii="Times New Roman" w:hAnsi="Times New Roman" w:eastAsia="宋体" w:cs="Times New Roman"/>
                      <w:b/>
                      <w:bCs/>
                    </w:rPr>
                  </w:pPr>
                  <w:r>
                    <w:rPr>
                      <w:rFonts w:hint="eastAsia" w:ascii="Times New Roman" w:hAnsi="Times New Roman" w:eastAsia="宋体" w:cs="Times New Roman"/>
                      <w:b/>
                      <w:bCs/>
                    </w:rPr>
                    <w:t>年使用量</w:t>
                  </w:r>
                </w:p>
                <w:p>
                  <w:pPr>
                    <w:pStyle w:val="26"/>
                    <w:jc w:val="center"/>
                    <w:rPr>
                      <w:rFonts w:hint="eastAsia" w:ascii="Times New Roman" w:hAnsi="Times New Roman" w:eastAsia="宋体" w:cs="Times New Roman"/>
                      <w:b/>
                      <w:bCs/>
                    </w:rPr>
                  </w:pPr>
                  <w:r>
                    <w:rPr>
                      <w:rFonts w:hint="eastAsia" w:ascii="Times New Roman" w:hAnsi="Times New Roman" w:eastAsia="宋体" w:cs="Times New Roman"/>
                      <w:b/>
                      <w:bCs/>
                    </w:rPr>
                    <w:t>（单位：kg）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restart"/>
                  <w:noWrap w:val="0"/>
                  <w:vAlign w:val="center"/>
                </w:tcPr>
                <w:p>
                  <w:pPr>
                    <w:pStyle w:val="26"/>
                    <w:jc w:val="center"/>
                    <w:rPr>
                      <w:rFonts w:hint="eastAsia"/>
                    </w:rPr>
                  </w:pPr>
                  <w:r>
                    <w:rPr>
                      <w:rFonts w:hint="eastAsia"/>
                    </w:rPr>
                    <w:t>注射液产品</w:t>
                  </w:r>
                </w:p>
              </w:tc>
              <w:tc>
                <w:tcPr>
                  <w:tcW w:w="1583" w:type="pct"/>
                  <w:vMerge w:val="restart"/>
                  <w:noWrap w:val="0"/>
                  <w:vAlign w:val="center"/>
                </w:tcPr>
                <w:p>
                  <w:pPr>
                    <w:pStyle w:val="26"/>
                    <w:jc w:val="center"/>
                  </w:pPr>
                  <w:r>
                    <w:rPr>
                      <w:rFonts w:hint="eastAsia"/>
                    </w:rPr>
                    <w:t>氟马西尼注射液-5ml</w:t>
                  </w:r>
                </w:p>
              </w:tc>
              <w:tc>
                <w:tcPr>
                  <w:tcW w:w="1702" w:type="pct"/>
                  <w:noWrap w:val="0"/>
                  <w:vAlign w:val="center"/>
                </w:tcPr>
                <w:p>
                  <w:pPr>
                    <w:pStyle w:val="26"/>
                    <w:jc w:val="center"/>
                    <w:rPr>
                      <w:rFonts w:hint="eastAsia"/>
                    </w:rPr>
                  </w:pPr>
                  <w:r>
                    <w:rPr>
                      <w:rFonts w:hint="eastAsia"/>
                    </w:rPr>
                    <w:t>氟马西尼</w:t>
                  </w:r>
                </w:p>
              </w:tc>
              <w:tc>
                <w:tcPr>
                  <w:tcW w:w="1088" w:type="pct"/>
                  <w:noWrap w:val="0"/>
                  <w:vAlign w:val="center"/>
                </w:tcPr>
                <w:p>
                  <w:pPr>
                    <w:pStyle w:val="26"/>
                    <w:jc w:val="center"/>
                    <w:rPr>
                      <w:rFonts w:hint="eastAsia" w:eastAsia="宋体"/>
                      <w:lang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冰醋酸</w:t>
                  </w:r>
                </w:p>
              </w:tc>
              <w:tc>
                <w:tcPr>
                  <w:tcW w:w="1088"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氯化钠（供注射用）</w:t>
                  </w:r>
                </w:p>
              </w:tc>
              <w:tc>
                <w:tcPr>
                  <w:tcW w:w="1088" w:type="pct"/>
                  <w:noWrap w:val="0"/>
                  <w:vAlign w:val="center"/>
                </w:tcPr>
                <w:p>
                  <w:pPr>
                    <w:pStyle w:val="26"/>
                    <w:jc w:val="center"/>
                  </w:pPr>
                  <w:r>
                    <w:rPr>
                      <w:rFonts w:hint="eastAsi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依地酸二钠（供注射用）</w:t>
                  </w:r>
                </w:p>
              </w:tc>
              <w:tc>
                <w:tcPr>
                  <w:tcW w:w="1088" w:type="pct"/>
                  <w:noWrap w:val="0"/>
                  <w:vAlign w:val="center"/>
                </w:tcPr>
                <w:p>
                  <w:pPr>
                    <w:pStyle w:val="26"/>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氢氧化钠</w:t>
                  </w:r>
                </w:p>
              </w:tc>
              <w:tc>
                <w:tcPr>
                  <w:tcW w:w="1088" w:type="pct"/>
                  <w:noWrap w:val="0"/>
                  <w:vAlign w:val="center"/>
                </w:tcPr>
                <w:p>
                  <w:pPr>
                    <w:pStyle w:val="26"/>
                    <w:jc w:val="center"/>
                    <w:rPr>
                      <w:rFonts w:hint="eastAsia"/>
                    </w:rPr>
                  </w:pPr>
                  <w:r>
                    <w:rPr>
                      <w:rFonts w:hint="eastAsia"/>
                    </w:rPr>
                    <w:t>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注射用水</w:t>
                  </w:r>
                </w:p>
              </w:tc>
              <w:tc>
                <w:tcPr>
                  <w:tcW w:w="1088" w:type="pct"/>
                  <w:noWrap w:val="0"/>
                  <w:vAlign w:val="center"/>
                </w:tcPr>
                <w:p>
                  <w:pPr>
                    <w:pStyle w:val="26"/>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rPr>
                      <w:rFonts w:hint="eastAsia"/>
                    </w:rPr>
                  </w:pPr>
                  <w:r>
                    <w:rPr>
                      <w:rFonts w:hint="eastAsia"/>
                    </w:rPr>
                    <w:t>氟马西尼注射液-10ml</w:t>
                  </w:r>
                </w:p>
              </w:tc>
              <w:tc>
                <w:tcPr>
                  <w:tcW w:w="1702" w:type="pct"/>
                  <w:noWrap w:val="0"/>
                  <w:vAlign w:val="center"/>
                </w:tcPr>
                <w:p>
                  <w:pPr>
                    <w:pStyle w:val="26"/>
                    <w:jc w:val="center"/>
                    <w:rPr>
                      <w:rFonts w:hint="eastAsia"/>
                    </w:rPr>
                  </w:pPr>
                  <w:r>
                    <w:rPr>
                      <w:rFonts w:hint="eastAsia"/>
                    </w:rPr>
                    <w:t>氟马西尼</w:t>
                  </w:r>
                </w:p>
              </w:tc>
              <w:tc>
                <w:tcPr>
                  <w:tcW w:w="1088" w:type="pct"/>
                  <w:noWrap w:val="0"/>
                  <w:vAlign w:val="center"/>
                </w:tcPr>
                <w:p>
                  <w:pPr>
                    <w:pStyle w:val="26"/>
                    <w:jc w:val="center"/>
                    <w:rPr>
                      <w:rFonts w:hint="default" w:eastAsia="宋体"/>
                      <w:lang w:val="en-US" w:eastAsia="zh-CN"/>
                    </w:rPr>
                  </w:pPr>
                  <w:r>
                    <w:rPr>
                      <w:rFonts w:hint="eastAsia"/>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冰醋酸</w:t>
                  </w:r>
                </w:p>
              </w:tc>
              <w:tc>
                <w:tcPr>
                  <w:tcW w:w="1088" w:type="pct"/>
                  <w:noWrap w:val="0"/>
                  <w:vAlign w:val="center"/>
                </w:tcPr>
                <w:p>
                  <w:pPr>
                    <w:pStyle w:val="26"/>
                    <w:jc w:val="center"/>
                  </w:pPr>
                  <w:r>
                    <w:rPr>
                      <w:rFonts w:hint="eastAsia"/>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氯化钠（供注射用）</w:t>
                  </w:r>
                </w:p>
              </w:tc>
              <w:tc>
                <w:tcPr>
                  <w:tcW w:w="1088" w:type="pct"/>
                  <w:noWrap w:val="0"/>
                  <w:vAlign w:val="center"/>
                </w:tcPr>
                <w:p>
                  <w:pPr>
                    <w:pStyle w:val="26"/>
                    <w:jc w:val="center"/>
                  </w:pPr>
                  <w:r>
                    <w:rPr>
                      <w:rFonts w:hint="eastAsi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依地酸二钠（供注射用）</w:t>
                  </w:r>
                </w:p>
              </w:tc>
              <w:tc>
                <w:tcPr>
                  <w:tcW w:w="1088" w:type="pct"/>
                  <w:noWrap w:val="0"/>
                  <w:vAlign w:val="center"/>
                </w:tcPr>
                <w:p>
                  <w:pPr>
                    <w:pStyle w:val="26"/>
                    <w:jc w:val="center"/>
                  </w:pPr>
                  <w:r>
                    <w:rPr>
                      <w:rFonts w:hint="eastAsia"/>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氢氧化钠</w:t>
                  </w:r>
                </w:p>
              </w:tc>
              <w:tc>
                <w:tcPr>
                  <w:tcW w:w="1088" w:type="pct"/>
                  <w:noWrap w:val="0"/>
                  <w:vAlign w:val="center"/>
                </w:tcPr>
                <w:p>
                  <w:pPr>
                    <w:pStyle w:val="26"/>
                    <w:jc w:val="center"/>
                    <w:rPr>
                      <w:rFonts w:hint="eastAsia"/>
                    </w:rPr>
                  </w:pPr>
                  <w:r>
                    <w:rPr>
                      <w:rFonts w:hint="eastAsia"/>
                    </w:rPr>
                    <w:t>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注射用水</w:t>
                  </w:r>
                </w:p>
              </w:tc>
              <w:tc>
                <w:tcPr>
                  <w:tcW w:w="1088" w:type="pct"/>
                  <w:noWrap w:val="0"/>
                  <w:vAlign w:val="center"/>
                </w:tcPr>
                <w:p>
                  <w:pPr>
                    <w:pStyle w:val="26"/>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pPr>
                  <w:r>
                    <w:rPr>
                      <w:rFonts w:hint="eastAsia"/>
                    </w:rPr>
                    <w:t>盐酸利多卡因注射液-5ml</w:t>
                  </w:r>
                </w:p>
              </w:tc>
              <w:tc>
                <w:tcPr>
                  <w:tcW w:w="1702" w:type="pct"/>
                  <w:noWrap w:val="0"/>
                  <w:vAlign w:val="center"/>
                </w:tcPr>
                <w:p>
                  <w:pPr>
                    <w:pStyle w:val="26"/>
                    <w:jc w:val="center"/>
                    <w:rPr>
                      <w:rFonts w:hint="eastAsia"/>
                    </w:rPr>
                  </w:pPr>
                  <w:r>
                    <w:rPr>
                      <w:rFonts w:hint="eastAsia"/>
                    </w:rPr>
                    <w:t>盐酸利多卡因</w:t>
                  </w:r>
                </w:p>
              </w:tc>
              <w:tc>
                <w:tcPr>
                  <w:tcW w:w="1088" w:type="pct"/>
                  <w:noWrap w:val="0"/>
                  <w:vAlign w:val="center"/>
                </w:tcPr>
                <w:p>
                  <w:pPr>
                    <w:pStyle w:val="26"/>
                    <w:jc w:val="center"/>
                  </w:pPr>
                  <w:r>
                    <w:rPr>
                      <w:rFonts w:hint="eastAsia"/>
                    </w:rPr>
                    <w:t>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氯化钠</w:t>
                  </w:r>
                </w:p>
              </w:tc>
              <w:tc>
                <w:tcPr>
                  <w:tcW w:w="1088" w:type="pct"/>
                  <w:noWrap w:val="0"/>
                  <w:vAlign w:val="center"/>
                </w:tcPr>
                <w:p>
                  <w:pPr>
                    <w:pStyle w:val="26"/>
                    <w:jc w:val="center"/>
                  </w:pPr>
                  <w:r>
                    <w:rPr>
                      <w:rFonts w:hint="eastAsi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氢氧化钠</w:t>
                  </w:r>
                </w:p>
              </w:tc>
              <w:tc>
                <w:tcPr>
                  <w:tcW w:w="1088" w:type="pct"/>
                  <w:noWrap w:val="0"/>
                  <w:vAlign w:val="center"/>
                </w:tcPr>
                <w:p>
                  <w:pPr>
                    <w:pStyle w:val="26"/>
                    <w:jc w:val="center"/>
                    <w:rPr>
                      <w:rFonts w:hint="eastAsia"/>
                    </w:rPr>
                  </w:pPr>
                  <w:r>
                    <w:rPr>
                      <w:rFonts w:hint="eastAsia"/>
                    </w:rPr>
                    <w:t>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注射用水</w:t>
                  </w:r>
                </w:p>
              </w:tc>
              <w:tc>
                <w:tcPr>
                  <w:tcW w:w="1088" w:type="pct"/>
                  <w:noWrap w:val="0"/>
                  <w:vAlign w:val="center"/>
                </w:tcPr>
                <w:p>
                  <w:pPr>
                    <w:pStyle w:val="26"/>
                    <w:jc w:val="center"/>
                  </w:pPr>
                  <w:r>
                    <w:rPr>
                      <w:rFonts w:hint="eastAsia"/>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rPr>
                      <w:rFonts w:hint="eastAsia"/>
                    </w:rPr>
                  </w:pPr>
                  <w:r>
                    <w:rPr>
                      <w:rFonts w:hint="eastAsia"/>
                    </w:rPr>
                    <w:t>盐酸利多卡因注射液-10ml</w:t>
                  </w:r>
                </w:p>
              </w:tc>
              <w:tc>
                <w:tcPr>
                  <w:tcW w:w="1702" w:type="pct"/>
                  <w:noWrap w:val="0"/>
                  <w:vAlign w:val="center"/>
                </w:tcPr>
                <w:p>
                  <w:pPr>
                    <w:pStyle w:val="26"/>
                    <w:jc w:val="center"/>
                    <w:rPr>
                      <w:rFonts w:hint="eastAsia"/>
                    </w:rPr>
                  </w:pPr>
                  <w:r>
                    <w:rPr>
                      <w:rFonts w:hint="eastAsia"/>
                    </w:rPr>
                    <w:t>盐酸利多卡因</w:t>
                  </w:r>
                </w:p>
              </w:tc>
              <w:tc>
                <w:tcPr>
                  <w:tcW w:w="1088" w:type="pct"/>
                  <w:noWrap w:val="0"/>
                  <w:vAlign w:val="center"/>
                </w:tcPr>
                <w:p>
                  <w:pPr>
                    <w:pStyle w:val="26"/>
                    <w:jc w:val="center"/>
                  </w:pPr>
                  <w:r>
                    <w:rPr>
                      <w:rFonts w:hint="eastAsia"/>
                    </w:rPr>
                    <w:t>115.9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氯化钠</w:t>
                  </w:r>
                </w:p>
              </w:tc>
              <w:tc>
                <w:tcPr>
                  <w:tcW w:w="1088" w:type="pct"/>
                  <w:noWrap w:val="0"/>
                  <w:vAlign w:val="center"/>
                </w:tcPr>
                <w:p>
                  <w:pPr>
                    <w:pStyle w:val="26"/>
                    <w:jc w:val="center"/>
                  </w:pPr>
                  <w:r>
                    <w:rPr>
                      <w:rFonts w:hint="eastAsia"/>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氢氧化钠</w:t>
                  </w:r>
                </w:p>
              </w:tc>
              <w:tc>
                <w:tcPr>
                  <w:tcW w:w="1088" w:type="pct"/>
                  <w:noWrap w:val="0"/>
                  <w:vAlign w:val="center"/>
                </w:tcPr>
                <w:p>
                  <w:pPr>
                    <w:pStyle w:val="26"/>
                    <w:jc w:val="center"/>
                    <w:rPr>
                      <w:rFonts w:hint="eastAsia"/>
                    </w:rPr>
                  </w:pPr>
                  <w:r>
                    <w:rPr>
                      <w:rFonts w:hint="eastAsia"/>
                    </w:rPr>
                    <w:t>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注射用水</w:t>
                  </w:r>
                </w:p>
              </w:tc>
              <w:tc>
                <w:tcPr>
                  <w:tcW w:w="1088" w:type="pct"/>
                  <w:noWrap w:val="0"/>
                  <w:vAlign w:val="center"/>
                </w:tcPr>
                <w:p>
                  <w:pPr>
                    <w:pStyle w:val="26"/>
                    <w:jc w:val="center"/>
                  </w:pPr>
                  <w:r>
                    <w:rPr>
                      <w:rFonts w:hint="eastAsia"/>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pPr>
                  <w:r>
                    <w:rPr>
                      <w:rFonts w:hint="eastAsia"/>
                    </w:rPr>
                    <w:t>甲硫酸新斯的明注射液-1ml</w:t>
                  </w:r>
                </w:p>
              </w:tc>
              <w:tc>
                <w:tcPr>
                  <w:tcW w:w="1702" w:type="pct"/>
                  <w:noWrap w:val="0"/>
                  <w:vAlign w:val="center"/>
                </w:tcPr>
                <w:p>
                  <w:pPr>
                    <w:pStyle w:val="26"/>
                    <w:jc w:val="center"/>
                    <w:rPr>
                      <w:rFonts w:hint="eastAsia"/>
                    </w:rPr>
                  </w:pPr>
                  <w:r>
                    <w:rPr>
                      <w:rFonts w:hint="eastAsia"/>
                    </w:rPr>
                    <w:t>API</w:t>
                  </w:r>
                </w:p>
              </w:tc>
              <w:tc>
                <w:tcPr>
                  <w:tcW w:w="1088" w:type="pct"/>
                  <w:noWrap w:val="0"/>
                  <w:vAlign w:val="center"/>
                </w:tcPr>
                <w:p>
                  <w:pPr>
                    <w:pStyle w:val="26"/>
                    <w:jc w:val="center"/>
                  </w:pPr>
                  <w:r>
                    <w:rPr>
                      <w:rFonts w:hint="eastAsia"/>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氯化钠(供注射用)</w:t>
                  </w:r>
                </w:p>
              </w:tc>
              <w:tc>
                <w:tcPr>
                  <w:tcW w:w="1088" w:type="pct"/>
                  <w:noWrap w:val="0"/>
                  <w:vAlign w:val="center"/>
                </w:tcPr>
                <w:p>
                  <w:pPr>
                    <w:pStyle w:val="26"/>
                    <w:jc w:val="center"/>
                  </w:pPr>
                  <w:r>
                    <w:rPr>
                      <w:rFonts w:hint="eastAsia"/>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pPr>
                </w:p>
              </w:tc>
              <w:tc>
                <w:tcPr>
                  <w:tcW w:w="1702" w:type="pct"/>
                  <w:noWrap w:val="0"/>
                  <w:vAlign w:val="center"/>
                </w:tcPr>
                <w:p>
                  <w:pPr>
                    <w:pStyle w:val="26"/>
                    <w:jc w:val="center"/>
                  </w:pPr>
                  <w:r>
                    <w:t>枸橼酸</w:t>
                  </w:r>
                </w:p>
              </w:tc>
              <w:tc>
                <w:tcPr>
                  <w:tcW w:w="1088" w:type="pct"/>
                  <w:noWrap w:val="0"/>
                  <w:vAlign w:val="center"/>
                </w:tcPr>
                <w:p>
                  <w:pPr>
                    <w:pStyle w:val="26"/>
                    <w:jc w:val="center"/>
                  </w:pPr>
                  <w:r>
                    <w:rPr>
                      <w:rFonts w:hint="eastAsia"/>
                    </w:rPr>
                    <w:t>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枸橼酸钠</w:t>
                  </w:r>
                </w:p>
              </w:tc>
              <w:tc>
                <w:tcPr>
                  <w:tcW w:w="1088" w:type="pct"/>
                  <w:noWrap w:val="0"/>
                  <w:vAlign w:val="center"/>
                </w:tcPr>
                <w:p>
                  <w:pPr>
                    <w:pStyle w:val="26"/>
                    <w:jc w:val="center"/>
                  </w:pPr>
                  <w:r>
                    <w:rPr>
                      <w:rFonts w:hint="eastAsia"/>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注射用水</w:t>
                  </w:r>
                </w:p>
              </w:tc>
              <w:tc>
                <w:tcPr>
                  <w:tcW w:w="1088" w:type="pct"/>
                  <w:noWrap w:val="0"/>
                  <w:vAlign w:val="center"/>
                </w:tcPr>
                <w:p>
                  <w:pPr>
                    <w:pStyle w:val="26"/>
                    <w:jc w:val="center"/>
                  </w:pPr>
                  <w:r>
                    <w:rPr>
                      <w:rFonts w:hint="eastAsia"/>
                    </w:rPr>
                    <w:t>1290.56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rPr>
                      <w:rFonts w:hint="eastAsia"/>
                    </w:rPr>
                  </w:pPr>
                  <w:r>
                    <w:rPr>
                      <w:rFonts w:hint="eastAsia"/>
                    </w:rPr>
                    <w:t>甲硫酸新斯的明注射液-2ml</w:t>
                  </w:r>
                </w:p>
              </w:tc>
              <w:tc>
                <w:tcPr>
                  <w:tcW w:w="1702" w:type="pct"/>
                  <w:noWrap w:val="0"/>
                  <w:vAlign w:val="center"/>
                </w:tcPr>
                <w:p>
                  <w:pPr>
                    <w:pStyle w:val="26"/>
                    <w:jc w:val="center"/>
                    <w:rPr>
                      <w:rFonts w:hint="eastAsia"/>
                    </w:rPr>
                  </w:pPr>
                  <w:r>
                    <w:rPr>
                      <w:rFonts w:hint="eastAsia"/>
                    </w:rPr>
                    <w:t>API</w:t>
                  </w:r>
                </w:p>
              </w:tc>
              <w:tc>
                <w:tcPr>
                  <w:tcW w:w="1088" w:type="pct"/>
                  <w:noWrap w:val="0"/>
                  <w:vAlign w:val="center"/>
                </w:tcPr>
                <w:p>
                  <w:pPr>
                    <w:pStyle w:val="26"/>
                    <w:jc w:val="center"/>
                  </w:pPr>
                  <w:r>
                    <w:rPr>
                      <w:rFonts w:hint="eastAsi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氯化钠(供注射用)</w:t>
                  </w:r>
                </w:p>
              </w:tc>
              <w:tc>
                <w:tcPr>
                  <w:tcW w:w="1088" w:type="pct"/>
                  <w:noWrap w:val="0"/>
                  <w:vAlign w:val="center"/>
                </w:tcPr>
                <w:p>
                  <w:pPr>
                    <w:pStyle w:val="26"/>
                    <w:jc w:val="center"/>
                  </w:pPr>
                  <w:r>
                    <w:rPr>
                      <w:rFonts w:hint="eastAsia"/>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枸橼酸</w:t>
                  </w:r>
                </w:p>
              </w:tc>
              <w:tc>
                <w:tcPr>
                  <w:tcW w:w="1088" w:type="pct"/>
                  <w:noWrap w:val="0"/>
                  <w:vAlign w:val="center"/>
                </w:tcPr>
                <w:p>
                  <w:pPr>
                    <w:pStyle w:val="26"/>
                    <w:jc w:val="center"/>
                  </w:pPr>
                  <w:r>
                    <w:rPr>
                      <w:rFonts w:hint="eastAsia"/>
                    </w:rPr>
                    <w:t>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枸橼酸钠</w:t>
                  </w:r>
                </w:p>
              </w:tc>
              <w:tc>
                <w:tcPr>
                  <w:tcW w:w="1088" w:type="pct"/>
                  <w:noWrap w:val="0"/>
                  <w:vAlign w:val="center"/>
                </w:tcPr>
                <w:p>
                  <w:pPr>
                    <w:pStyle w:val="26"/>
                    <w:jc w:val="center"/>
                  </w:pPr>
                  <w:r>
                    <w:rPr>
                      <w:rFonts w:hint="eastAsia"/>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注射用水</w:t>
                  </w:r>
                </w:p>
              </w:tc>
              <w:tc>
                <w:tcPr>
                  <w:tcW w:w="1088" w:type="pct"/>
                  <w:noWrap w:val="0"/>
                  <w:vAlign w:val="center"/>
                </w:tcPr>
                <w:p>
                  <w:pPr>
                    <w:pStyle w:val="26"/>
                    <w:jc w:val="center"/>
                  </w:pPr>
                  <w:r>
                    <w:rPr>
                      <w:rFonts w:hint="eastAsia"/>
                    </w:rPr>
                    <w:t>2581.1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pPr>
                  <w:r>
                    <w:rPr>
                      <w:rFonts w:hint="eastAsia"/>
                    </w:rPr>
                    <w:t>ZZ007-50ml</w:t>
                  </w:r>
                </w:p>
              </w:tc>
              <w:tc>
                <w:tcPr>
                  <w:tcW w:w="1702" w:type="pct"/>
                  <w:noWrap w:val="0"/>
                  <w:vAlign w:val="center"/>
                </w:tcPr>
                <w:p>
                  <w:pPr>
                    <w:pStyle w:val="26"/>
                    <w:jc w:val="center"/>
                    <w:rPr>
                      <w:rFonts w:hint="eastAsia"/>
                    </w:rPr>
                  </w:pPr>
                  <w:r>
                    <w:rPr>
                      <w:rFonts w:hint="eastAsia"/>
                    </w:rPr>
                    <w:t>API</w:t>
                  </w:r>
                </w:p>
              </w:tc>
              <w:tc>
                <w:tcPr>
                  <w:tcW w:w="1088" w:type="pct"/>
                  <w:noWrap w:val="0"/>
                  <w:vAlign w:val="center"/>
                </w:tcPr>
                <w:p>
                  <w:pPr>
                    <w:pStyle w:val="26"/>
                    <w:jc w:val="center"/>
                  </w:pPr>
                  <w:r>
                    <w:rPr>
                      <w:rFonts w:hint="eastAsia"/>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氯化钾</w:t>
                  </w:r>
                </w:p>
              </w:tc>
              <w:tc>
                <w:tcPr>
                  <w:tcW w:w="1088" w:type="pct"/>
                  <w:noWrap w:val="0"/>
                  <w:vAlign w:val="center"/>
                </w:tcPr>
                <w:p>
                  <w:pPr>
                    <w:pStyle w:val="26"/>
                    <w:jc w:val="center"/>
                  </w:pPr>
                  <w:r>
                    <w:rPr>
                      <w:rFonts w:hint="eastAsia"/>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硼酸</w:t>
                  </w:r>
                </w:p>
              </w:tc>
              <w:tc>
                <w:tcPr>
                  <w:tcW w:w="1088" w:type="pct"/>
                  <w:noWrap w:val="0"/>
                  <w:vAlign w:val="center"/>
                </w:tcPr>
                <w:p>
                  <w:pPr>
                    <w:pStyle w:val="26"/>
                    <w:jc w:val="center"/>
                  </w:pPr>
                  <w:r>
                    <w:rPr>
                      <w:rFonts w:hint="eastAsia"/>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4%氢氧化钠溶液</w:t>
                  </w:r>
                </w:p>
              </w:tc>
              <w:tc>
                <w:tcPr>
                  <w:tcW w:w="1088" w:type="pct"/>
                  <w:noWrap w:val="0"/>
                  <w:vAlign w:val="center"/>
                </w:tcPr>
                <w:p>
                  <w:pPr>
                    <w:pStyle w:val="26"/>
                    <w:jc w:val="center"/>
                    <w:rPr>
                      <w:rFonts w:hint="eastAsia"/>
                    </w:rPr>
                  </w:pPr>
                  <w:r>
                    <w:rPr>
                      <w:rFonts w:hint="eastAsia"/>
                    </w:rPr>
                    <w:t>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注射用水</w:t>
                  </w:r>
                </w:p>
              </w:tc>
              <w:tc>
                <w:tcPr>
                  <w:tcW w:w="1088" w:type="pct"/>
                  <w:noWrap w:val="0"/>
                  <w:vAlign w:val="center"/>
                </w:tcPr>
                <w:p>
                  <w:pPr>
                    <w:pStyle w:val="26"/>
                    <w:jc w:val="center"/>
                  </w:pPr>
                  <w:r>
                    <w:rPr>
                      <w:rFonts w:hint="eastAsia"/>
                    </w:rPr>
                    <w:t>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pPr>
                  <w:r>
                    <w:rPr>
                      <w:rFonts w:hint="eastAsia"/>
                    </w:rPr>
                    <w:t>氯化钙注射液-10ml</w:t>
                  </w:r>
                </w:p>
              </w:tc>
              <w:tc>
                <w:tcPr>
                  <w:tcW w:w="1702" w:type="pct"/>
                  <w:noWrap w:val="0"/>
                  <w:vAlign w:val="center"/>
                </w:tcPr>
                <w:p>
                  <w:pPr>
                    <w:pStyle w:val="26"/>
                    <w:jc w:val="center"/>
                    <w:rPr>
                      <w:rFonts w:hint="eastAsia"/>
                    </w:rPr>
                  </w:pPr>
                  <w:r>
                    <w:rPr>
                      <w:rFonts w:hint="eastAsia"/>
                    </w:rPr>
                    <w:t>API</w:t>
                  </w:r>
                </w:p>
              </w:tc>
              <w:tc>
                <w:tcPr>
                  <w:tcW w:w="1088" w:type="pct"/>
                  <w:noWrap w:val="0"/>
                  <w:vAlign w:val="center"/>
                </w:tcPr>
                <w:p>
                  <w:pPr>
                    <w:pStyle w:val="26"/>
                    <w:jc w:val="center"/>
                  </w:pPr>
                  <w:r>
                    <w:rPr>
                      <w:rFonts w:hint="eastAsia"/>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氢氧化钠</w:t>
                  </w:r>
                </w:p>
              </w:tc>
              <w:tc>
                <w:tcPr>
                  <w:tcW w:w="1088" w:type="pct"/>
                  <w:noWrap w:val="0"/>
                  <w:vAlign w:val="center"/>
                </w:tcPr>
                <w:p>
                  <w:pPr>
                    <w:pStyle w:val="26"/>
                    <w:jc w:val="center"/>
                    <w:rPr>
                      <w:rFonts w:hint="eastAsia"/>
                    </w:rPr>
                  </w:pPr>
                  <w:r>
                    <w:rPr>
                      <w:rFonts w:hint="eastAsia"/>
                    </w:rPr>
                    <w:t>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注射用水</w:t>
                  </w:r>
                </w:p>
              </w:tc>
              <w:tc>
                <w:tcPr>
                  <w:tcW w:w="1088" w:type="pct"/>
                  <w:noWrap w:val="0"/>
                  <w:vAlign w:val="center"/>
                </w:tcPr>
                <w:p>
                  <w:pPr>
                    <w:pStyle w:val="26"/>
                    <w:jc w:val="center"/>
                  </w:pPr>
                  <w:r>
                    <w:rPr>
                      <w:rFonts w:hint="eastAsia"/>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pPr>
                  <w:r>
                    <w:rPr>
                      <w:rFonts w:hint="eastAsia"/>
                    </w:rPr>
                    <w:t>米库氯铵注射液-5ml/10ml</w:t>
                  </w:r>
                </w:p>
              </w:tc>
              <w:tc>
                <w:tcPr>
                  <w:tcW w:w="1702" w:type="pct"/>
                  <w:noWrap w:val="0"/>
                  <w:vAlign w:val="center"/>
                </w:tcPr>
                <w:p>
                  <w:pPr>
                    <w:pStyle w:val="26"/>
                    <w:jc w:val="center"/>
                  </w:pPr>
                  <w:r>
                    <w:rPr>
                      <w:rFonts w:hint="eastAsia"/>
                    </w:rPr>
                    <w:t>API</w:t>
                  </w:r>
                </w:p>
              </w:tc>
              <w:tc>
                <w:tcPr>
                  <w:tcW w:w="1088" w:type="pct"/>
                  <w:noWrap w:val="0"/>
                  <w:vAlign w:val="center"/>
                </w:tcPr>
                <w:p>
                  <w:pPr>
                    <w:pStyle w:val="26"/>
                    <w:jc w:val="center"/>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pPr>
                  <w:r>
                    <w:rPr>
                      <w:rFonts w:hint="eastAsia"/>
                    </w:rPr>
                    <w:t>盐酸</w:t>
                  </w:r>
                </w:p>
              </w:tc>
              <w:tc>
                <w:tcPr>
                  <w:tcW w:w="1088" w:type="pct"/>
                  <w:noWrap w:val="0"/>
                  <w:vAlign w:val="center"/>
                </w:tcPr>
                <w:p>
                  <w:pPr>
                    <w:pStyle w:val="26"/>
                    <w:jc w:val="center"/>
                  </w:pPr>
                  <w:r>
                    <w:rPr>
                      <w:rFonts w:hint="eastAsia"/>
                    </w:rPr>
                    <w:t>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pPr>
                  <w:r>
                    <w:rPr>
                      <w:rFonts w:hint="eastAsia"/>
                    </w:rPr>
                    <w:t>水</w:t>
                  </w:r>
                </w:p>
              </w:tc>
              <w:tc>
                <w:tcPr>
                  <w:tcW w:w="1088" w:type="pct"/>
                  <w:noWrap w:val="0"/>
                  <w:vAlign w:val="center"/>
                </w:tcPr>
                <w:p>
                  <w:pPr>
                    <w:pStyle w:val="26"/>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restart"/>
                  <w:noWrap w:val="0"/>
                  <w:vAlign w:val="center"/>
                </w:tcPr>
                <w:p>
                  <w:pPr>
                    <w:pStyle w:val="26"/>
                    <w:jc w:val="center"/>
                    <w:rPr>
                      <w:rFonts w:hint="default" w:eastAsia="宋体"/>
                      <w:lang w:val="en-US" w:eastAsia="zh-CN"/>
                    </w:rPr>
                  </w:pPr>
                  <w:r>
                    <w:rPr>
                      <w:rFonts w:hint="eastAsia"/>
                      <w:lang w:val="en-US" w:eastAsia="zh-CN"/>
                    </w:rPr>
                    <w:t>冻干产品</w:t>
                  </w:r>
                </w:p>
              </w:tc>
              <w:tc>
                <w:tcPr>
                  <w:tcW w:w="1583" w:type="pct"/>
                  <w:vMerge w:val="restart"/>
                  <w:noWrap w:val="0"/>
                  <w:vAlign w:val="center"/>
                </w:tcPr>
                <w:p>
                  <w:pPr>
                    <w:pStyle w:val="26"/>
                    <w:jc w:val="center"/>
                    <w:rPr>
                      <w:rFonts w:hint="eastAsia"/>
                    </w:rPr>
                  </w:pPr>
                  <w:r>
                    <w:rPr>
                      <w:rFonts w:hint="eastAsia"/>
                    </w:rPr>
                    <w:t>注射用硫酸多粘菌素B-15ml冻干</w:t>
                  </w:r>
                </w:p>
              </w:tc>
              <w:tc>
                <w:tcPr>
                  <w:tcW w:w="1702" w:type="pct"/>
                  <w:noWrap w:val="0"/>
                  <w:vAlign w:val="center"/>
                </w:tcPr>
                <w:p>
                  <w:pPr>
                    <w:pStyle w:val="26"/>
                    <w:jc w:val="center"/>
                  </w:pPr>
                  <w:r>
                    <w:rPr>
                      <w:rFonts w:hint="eastAsia"/>
                    </w:rPr>
                    <w:t>API</w:t>
                  </w:r>
                </w:p>
              </w:tc>
              <w:tc>
                <w:tcPr>
                  <w:tcW w:w="1088" w:type="pct"/>
                  <w:noWrap w:val="0"/>
                  <w:vAlign w:val="center"/>
                </w:tcPr>
                <w:p>
                  <w:pPr>
                    <w:pStyle w:val="26"/>
                    <w:jc w:val="center"/>
                  </w:pPr>
                  <w:r>
                    <w:rPr>
                      <w:rFonts w:hint="eastAsia"/>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pPr>
                  <w:r>
                    <w:rPr>
                      <w:rFonts w:hint="eastAsia"/>
                    </w:rPr>
                    <w:t>盐酸</w:t>
                  </w:r>
                </w:p>
              </w:tc>
              <w:tc>
                <w:tcPr>
                  <w:tcW w:w="1088" w:type="pct"/>
                  <w:noWrap w:val="0"/>
                  <w:vAlign w:val="center"/>
                </w:tcPr>
                <w:p>
                  <w:pPr>
                    <w:pStyle w:val="26"/>
                    <w:jc w:val="center"/>
                  </w:pPr>
                  <w:r>
                    <w:rPr>
                      <w:rFonts w:hint="eastAsia"/>
                    </w:rPr>
                    <w:t>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pPr>
                  <w:r>
                    <w:rPr>
                      <w:rFonts w:hint="eastAsia"/>
                    </w:rPr>
                    <w:t>注射用水</w:t>
                  </w:r>
                </w:p>
              </w:tc>
              <w:tc>
                <w:tcPr>
                  <w:tcW w:w="1088" w:type="pct"/>
                  <w:noWrap w:val="0"/>
                  <w:vAlign w:val="center"/>
                </w:tcPr>
                <w:p>
                  <w:pPr>
                    <w:pStyle w:val="26"/>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pPr>
                  <w:r>
                    <w:rPr>
                      <w:rFonts w:hint="eastAsia"/>
                    </w:rPr>
                    <w:t>ZZ011-2ml</w:t>
                  </w:r>
                </w:p>
              </w:tc>
              <w:tc>
                <w:tcPr>
                  <w:tcW w:w="1702" w:type="pct"/>
                  <w:noWrap w:val="0"/>
                  <w:vAlign w:val="center"/>
                </w:tcPr>
                <w:p>
                  <w:pPr>
                    <w:pStyle w:val="26"/>
                    <w:jc w:val="center"/>
                  </w:pPr>
                  <w:r>
                    <w:rPr>
                      <w:rFonts w:hint="eastAsia"/>
                    </w:rPr>
                    <w:t>API</w:t>
                  </w:r>
                </w:p>
              </w:tc>
              <w:tc>
                <w:tcPr>
                  <w:tcW w:w="1088" w:type="pct"/>
                  <w:noWrap w:val="0"/>
                  <w:vAlign w:val="center"/>
                </w:tcPr>
                <w:p>
                  <w:pPr>
                    <w:pStyle w:val="26"/>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pPr>
                </w:p>
              </w:tc>
              <w:tc>
                <w:tcPr>
                  <w:tcW w:w="1702" w:type="pct"/>
                  <w:noWrap w:val="0"/>
                  <w:vAlign w:val="center"/>
                </w:tcPr>
                <w:p>
                  <w:pPr>
                    <w:pStyle w:val="26"/>
                    <w:jc w:val="center"/>
                  </w:pPr>
                  <w:r>
                    <w:rPr>
                      <w:rFonts w:hint="eastAsia"/>
                    </w:rPr>
                    <w:t>氯化钠</w:t>
                  </w:r>
                </w:p>
              </w:tc>
              <w:tc>
                <w:tcPr>
                  <w:tcW w:w="1088" w:type="pct"/>
                  <w:noWrap w:val="0"/>
                  <w:vAlign w:val="center"/>
                </w:tcPr>
                <w:p>
                  <w:pPr>
                    <w:pStyle w:val="26"/>
                    <w:jc w:val="center"/>
                  </w:pPr>
                  <w:r>
                    <w:rPr>
                      <w:rFonts w:hint="eastAsia"/>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pPr>
                </w:p>
              </w:tc>
              <w:tc>
                <w:tcPr>
                  <w:tcW w:w="1702" w:type="pct"/>
                  <w:noWrap w:val="0"/>
                  <w:vAlign w:val="center"/>
                </w:tcPr>
                <w:p>
                  <w:pPr>
                    <w:pStyle w:val="26"/>
                    <w:jc w:val="center"/>
                  </w:pPr>
                  <w:r>
                    <w:rPr>
                      <w:rFonts w:hint="eastAsia"/>
                    </w:rPr>
                    <w:t>醋酸</w:t>
                  </w:r>
                </w:p>
              </w:tc>
              <w:tc>
                <w:tcPr>
                  <w:tcW w:w="1088" w:type="pct"/>
                  <w:noWrap w:val="0"/>
                  <w:vAlign w:val="center"/>
                </w:tcPr>
                <w:p>
                  <w:pPr>
                    <w:pStyle w:val="26"/>
                    <w:jc w:val="center"/>
                  </w:pPr>
                  <w:r>
                    <w:rPr>
                      <w:rFonts w:hint="eastAsia"/>
                    </w:rPr>
                    <w:t>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pPr>
                </w:p>
              </w:tc>
              <w:tc>
                <w:tcPr>
                  <w:tcW w:w="1702" w:type="pct"/>
                  <w:noWrap w:val="0"/>
                  <w:vAlign w:val="center"/>
                </w:tcPr>
                <w:p>
                  <w:pPr>
                    <w:pStyle w:val="26"/>
                    <w:jc w:val="center"/>
                  </w:pPr>
                  <w:r>
                    <w:rPr>
                      <w:rFonts w:hint="eastAsia"/>
                    </w:rPr>
                    <w:t>醋酸钠</w:t>
                  </w:r>
                </w:p>
              </w:tc>
              <w:tc>
                <w:tcPr>
                  <w:tcW w:w="1088" w:type="pct"/>
                  <w:noWrap w:val="0"/>
                  <w:vAlign w:val="center"/>
                </w:tcPr>
                <w:p>
                  <w:pPr>
                    <w:pStyle w:val="26"/>
                    <w:jc w:val="center"/>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pPr>
                  <w:r>
                    <w:rPr>
                      <w:rFonts w:hint="eastAsia"/>
                    </w:rPr>
                    <w:t>ZZ012-10ml冻干</w:t>
                  </w:r>
                </w:p>
              </w:tc>
              <w:tc>
                <w:tcPr>
                  <w:tcW w:w="1702" w:type="pct"/>
                  <w:noWrap w:val="0"/>
                  <w:vAlign w:val="center"/>
                </w:tcPr>
                <w:p>
                  <w:pPr>
                    <w:pStyle w:val="26"/>
                    <w:jc w:val="center"/>
                  </w:pPr>
                  <w:r>
                    <w:rPr>
                      <w:rFonts w:hint="eastAsia"/>
                    </w:rPr>
                    <w:t>API</w:t>
                  </w:r>
                </w:p>
              </w:tc>
              <w:tc>
                <w:tcPr>
                  <w:tcW w:w="1088" w:type="pct"/>
                  <w:noWrap w:val="0"/>
                  <w:vAlign w:val="center"/>
                </w:tcPr>
                <w:p>
                  <w:pPr>
                    <w:pStyle w:val="26"/>
                    <w:jc w:val="center"/>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pPr>
                  <w:r>
                    <w:rPr>
                      <w:rFonts w:hint="eastAsia"/>
                    </w:rPr>
                    <w:t>甘露醇</w:t>
                  </w:r>
                </w:p>
              </w:tc>
              <w:tc>
                <w:tcPr>
                  <w:tcW w:w="1088" w:type="pct"/>
                  <w:noWrap w:val="0"/>
                  <w:vAlign w:val="center"/>
                </w:tcPr>
                <w:p>
                  <w:pPr>
                    <w:pStyle w:val="26"/>
                    <w:jc w:val="cente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pPr>
                  <w:r>
                    <w:rPr>
                      <w:rFonts w:hint="eastAsia"/>
                    </w:rPr>
                    <w:t>琥珀酸</w:t>
                  </w:r>
                </w:p>
              </w:tc>
              <w:tc>
                <w:tcPr>
                  <w:tcW w:w="1088" w:type="pct"/>
                  <w:noWrap w:val="0"/>
                  <w:vAlign w:val="center"/>
                </w:tcPr>
                <w:p>
                  <w:pPr>
                    <w:pStyle w:val="26"/>
                    <w:jc w:val="center"/>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pPr>
                  <w:r>
                    <w:rPr>
                      <w:rFonts w:hint="eastAsia"/>
                    </w:rPr>
                    <w:t>注射用水</w:t>
                  </w:r>
                </w:p>
              </w:tc>
              <w:tc>
                <w:tcPr>
                  <w:tcW w:w="1088" w:type="pct"/>
                  <w:noWrap w:val="0"/>
                  <w:vAlign w:val="center"/>
                </w:tcPr>
                <w:p>
                  <w:pPr>
                    <w:pStyle w:val="26"/>
                    <w:jc w:val="center"/>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restart"/>
                  <w:noWrap w:val="0"/>
                  <w:vAlign w:val="center"/>
                </w:tcPr>
                <w:p>
                  <w:pPr>
                    <w:pStyle w:val="26"/>
                    <w:jc w:val="center"/>
                    <w:rPr>
                      <w:rFonts w:hint="eastAsia"/>
                    </w:rPr>
                  </w:pPr>
                  <w:r>
                    <w:rPr>
                      <w:rFonts w:hint="eastAsia"/>
                    </w:rPr>
                    <w:t>胶囊剂产品</w:t>
                  </w:r>
                </w:p>
              </w:tc>
              <w:tc>
                <w:tcPr>
                  <w:tcW w:w="1583" w:type="pct"/>
                  <w:vMerge w:val="restart"/>
                  <w:noWrap w:val="0"/>
                  <w:vAlign w:val="center"/>
                </w:tcPr>
                <w:p>
                  <w:pPr>
                    <w:pStyle w:val="26"/>
                    <w:jc w:val="center"/>
                    <w:rPr>
                      <w:rFonts w:hint="eastAsia"/>
                    </w:rPr>
                  </w:pPr>
                  <w:r>
                    <w:rPr>
                      <w:rFonts w:hint="eastAsia"/>
                    </w:rPr>
                    <w:t>环丝氨酸胶囊-250mg</w:t>
                  </w:r>
                </w:p>
              </w:tc>
              <w:tc>
                <w:tcPr>
                  <w:tcW w:w="1702" w:type="pct"/>
                  <w:noWrap w:val="0"/>
                  <w:vAlign w:val="center"/>
                </w:tcPr>
                <w:p>
                  <w:pPr>
                    <w:pStyle w:val="26"/>
                    <w:jc w:val="center"/>
                    <w:rPr>
                      <w:rFonts w:hint="eastAsia"/>
                    </w:rPr>
                  </w:pPr>
                  <w:r>
                    <w:rPr>
                      <w:rFonts w:hint="eastAsia"/>
                    </w:rPr>
                    <w:t>API</w:t>
                  </w:r>
                </w:p>
              </w:tc>
              <w:tc>
                <w:tcPr>
                  <w:tcW w:w="1088" w:type="pct"/>
                  <w:noWrap w:val="0"/>
                  <w:vAlign w:val="center"/>
                </w:tcPr>
                <w:p>
                  <w:pPr>
                    <w:pStyle w:val="26"/>
                    <w:jc w:val="center"/>
                  </w:pPr>
                  <w:r>
                    <w:rPr>
                      <w:rFonts w:hint="eastAsia"/>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滑石粉</w:t>
                  </w:r>
                </w:p>
              </w:tc>
              <w:tc>
                <w:tcPr>
                  <w:tcW w:w="1088" w:type="pct"/>
                  <w:noWrap w:val="0"/>
                  <w:vAlign w:val="center"/>
                </w:tcPr>
                <w:p>
                  <w:pPr>
                    <w:pStyle w:val="26"/>
                    <w:jc w:val="center"/>
                  </w:pPr>
                  <w:r>
                    <w:rPr>
                      <w:rFonts w:hint="eastAsia"/>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rPr>
                      <w:rFonts w:hint="eastAsia"/>
                    </w:rPr>
                  </w:pPr>
                  <w:r>
                    <w:rPr>
                      <w:rFonts w:hint="eastAsia"/>
                    </w:rPr>
                    <w:t>罗沙司他胶囊-20mg</w:t>
                  </w:r>
                </w:p>
              </w:tc>
              <w:tc>
                <w:tcPr>
                  <w:tcW w:w="1702" w:type="pct"/>
                  <w:noWrap w:val="0"/>
                  <w:vAlign w:val="center"/>
                </w:tcPr>
                <w:p>
                  <w:pPr>
                    <w:pStyle w:val="26"/>
                    <w:jc w:val="center"/>
                    <w:rPr>
                      <w:rFonts w:hint="eastAsia"/>
                    </w:rPr>
                  </w:pPr>
                  <w:r>
                    <w:rPr>
                      <w:rFonts w:hint="eastAsia"/>
                    </w:rPr>
                    <w:t>API</w:t>
                  </w:r>
                </w:p>
              </w:tc>
              <w:tc>
                <w:tcPr>
                  <w:tcW w:w="1088" w:type="pct"/>
                  <w:noWrap w:val="0"/>
                  <w:vAlign w:val="center"/>
                </w:tcPr>
                <w:p>
                  <w:pPr>
                    <w:pStyle w:val="26"/>
                    <w:jc w:val="center"/>
                  </w:pPr>
                  <w:r>
                    <w:rPr>
                      <w:rFonts w:hint="eastAsi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乳糖</w:t>
                  </w:r>
                </w:p>
              </w:tc>
              <w:tc>
                <w:tcPr>
                  <w:tcW w:w="1088" w:type="pct"/>
                  <w:noWrap w:val="0"/>
                  <w:vAlign w:val="center"/>
                </w:tcPr>
                <w:p>
                  <w:pPr>
                    <w:pStyle w:val="26"/>
                    <w:jc w:val="center"/>
                  </w:pPr>
                  <w:r>
                    <w:rPr>
                      <w:rFonts w:hint="eastAsia"/>
                    </w:rPr>
                    <w:t>81.76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聚维酮</w:t>
                  </w:r>
                </w:p>
              </w:tc>
              <w:tc>
                <w:tcPr>
                  <w:tcW w:w="1088" w:type="pct"/>
                  <w:noWrap w:val="0"/>
                  <w:vAlign w:val="center"/>
                </w:tcPr>
                <w:p>
                  <w:pPr>
                    <w:pStyle w:val="26"/>
                    <w:jc w:val="center"/>
                  </w:pPr>
                  <w:r>
                    <w:rPr>
                      <w:rFonts w:hint="eastAsia"/>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交联羧甲纤维素钠</w:t>
                  </w:r>
                </w:p>
              </w:tc>
              <w:tc>
                <w:tcPr>
                  <w:tcW w:w="1088" w:type="pct"/>
                  <w:noWrap w:val="0"/>
                  <w:vAlign w:val="center"/>
                </w:tcPr>
                <w:p>
                  <w:pPr>
                    <w:pStyle w:val="26"/>
                    <w:jc w:val="center"/>
                  </w:pPr>
                  <w:r>
                    <w:rPr>
                      <w:rFonts w:hint="eastAsia"/>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微晶纤维素</w:t>
                  </w:r>
                </w:p>
              </w:tc>
              <w:tc>
                <w:tcPr>
                  <w:tcW w:w="1088" w:type="pct"/>
                  <w:noWrap w:val="0"/>
                  <w:vAlign w:val="center"/>
                </w:tcPr>
                <w:p>
                  <w:pPr>
                    <w:pStyle w:val="26"/>
                    <w:jc w:val="center"/>
                  </w:pPr>
                  <w:r>
                    <w:rPr>
                      <w:rFonts w:hint="eastAsia"/>
                    </w:rPr>
                    <w:t>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硬脂酸镁</w:t>
                  </w:r>
                </w:p>
              </w:tc>
              <w:tc>
                <w:tcPr>
                  <w:tcW w:w="1088" w:type="pct"/>
                  <w:noWrap w:val="0"/>
                  <w:vAlign w:val="center"/>
                </w:tcPr>
                <w:p>
                  <w:pPr>
                    <w:pStyle w:val="26"/>
                    <w:jc w:val="center"/>
                  </w:pPr>
                  <w:r>
                    <w:rPr>
                      <w:rFonts w:hint="eastAsia"/>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纯化水</w:t>
                  </w:r>
                </w:p>
              </w:tc>
              <w:tc>
                <w:tcPr>
                  <w:tcW w:w="1088" w:type="pct"/>
                  <w:noWrap w:val="0"/>
                  <w:vAlign w:val="center"/>
                </w:tcPr>
                <w:p>
                  <w:pPr>
                    <w:pStyle w:val="26"/>
                    <w:jc w:val="center"/>
                  </w:pPr>
                  <w:r>
                    <w:rPr>
                      <w:rFonts w:hint="eastAsia"/>
                    </w:rPr>
                    <w:t>105.2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rPr>
                      <w:rFonts w:hint="eastAsia"/>
                    </w:rPr>
                  </w:pPr>
                  <w:r>
                    <w:rPr>
                      <w:rFonts w:hint="eastAsia"/>
                    </w:rPr>
                    <w:t>罗沙司他胶囊-50mg</w:t>
                  </w:r>
                </w:p>
              </w:tc>
              <w:tc>
                <w:tcPr>
                  <w:tcW w:w="1702" w:type="pct"/>
                  <w:noWrap w:val="0"/>
                  <w:vAlign w:val="center"/>
                </w:tcPr>
                <w:p>
                  <w:pPr>
                    <w:pStyle w:val="26"/>
                    <w:jc w:val="center"/>
                    <w:rPr>
                      <w:rFonts w:hint="eastAsia"/>
                    </w:rPr>
                  </w:pPr>
                  <w:r>
                    <w:rPr>
                      <w:rFonts w:hint="eastAsia"/>
                    </w:rPr>
                    <w:t>API</w:t>
                  </w:r>
                </w:p>
              </w:tc>
              <w:tc>
                <w:tcPr>
                  <w:tcW w:w="1088" w:type="pct"/>
                  <w:noWrap w:val="0"/>
                  <w:vAlign w:val="center"/>
                </w:tcPr>
                <w:p>
                  <w:pPr>
                    <w:pStyle w:val="26"/>
                    <w:jc w:val="center"/>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乳糖</w:t>
                  </w:r>
                </w:p>
              </w:tc>
              <w:tc>
                <w:tcPr>
                  <w:tcW w:w="1088" w:type="pct"/>
                  <w:noWrap w:val="0"/>
                  <w:vAlign w:val="center"/>
                </w:tcPr>
                <w:p>
                  <w:pPr>
                    <w:pStyle w:val="26"/>
                    <w:jc w:val="center"/>
                  </w:pPr>
                  <w:r>
                    <w:rPr>
                      <w:rFonts w:hint="eastAsia"/>
                    </w:rPr>
                    <w:t>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聚维酮</w:t>
                  </w:r>
                </w:p>
              </w:tc>
              <w:tc>
                <w:tcPr>
                  <w:tcW w:w="1088" w:type="pct"/>
                  <w:noWrap w:val="0"/>
                  <w:vAlign w:val="center"/>
                </w:tcPr>
                <w:p>
                  <w:pPr>
                    <w:pStyle w:val="26"/>
                    <w:jc w:val="center"/>
                  </w:pPr>
                  <w:r>
                    <w:rPr>
                      <w:rFonts w:hint="eastAsia"/>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交联羧甲纤维素钠</w:t>
                  </w:r>
                </w:p>
              </w:tc>
              <w:tc>
                <w:tcPr>
                  <w:tcW w:w="1088" w:type="pct"/>
                  <w:noWrap w:val="0"/>
                  <w:vAlign w:val="center"/>
                </w:tcPr>
                <w:p>
                  <w:pPr>
                    <w:pStyle w:val="26"/>
                    <w:jc w:val="center"/>
                  </w:pPr>
                  <w:r>
                    <w:rPr>
                      <w:rFonts w:hint="eastAsia"/>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微晶纤维素</w:t>
                  </w:r>
                </w:p>
              </w:tc>
              <w:tc>
                <w:tcPr>
                  <w:tcW w:w="1088" w:type="pct"/>
                  <w:noWrap w:val="0"/>
                  <w:vAlign w:val="center"/>
                </w:tcPr>
                <w:p>
                  <w:pPr>
                    <w:pStyle w:val="26"/>
                    <w:jc w:val="center"/>
                  </w:pPr>
                  <w:r>
                    <w:rPr>
                      <w:rFonts w:hint="eastAsia"/>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硬脂酸镁</w:t>
                  </w:r>
                </w:p>
              </w:tc>
              <w:tc>
                <w:tcPr>
                  <w:tcW w:w="1088" w:type="pct"/>
                  <w:noWrap w:val="0"/>
                  <w:vAlign w:val="center"/>
                </w:tcPr>
                <w:p>
                  <w:pPr>
                    <w:pStyle w:val="26"/>
                    <w:jc w:val="center"/>
                  </w:pPr>
                  <w:r>
                    <w:rPr>
                      <w:rFonts w:hint="eastAsi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纯化水</w:t>
                  </w:r>
                </w:p>
              </w:tc>
              <w:tc>
                <w:tcPr>
                  <w:tcW w:w="1088" w:type="pct"/>
                  <w:noWrap w:val="0"/>
                  <w:vAlign w:val="center"/>
                </w:tcPr>
                <w:p>
                  <w:pPr>
                    <w:pStyle w:val="26"/>
                    <w:jc w:val="center"/>
                  </w:pPr>
                  <w:r>
                    <w:rPr>
                      <w:rFonts w:hint="eastAsia"/>
                    </w:rPr>
                    <w:t>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pPr>
                  <w:r>
                    <w:rPr>
                      <w:rFonts w:hint="eastAsia"/>
                    </w:rPr>
                    <w:t>ZZ010-4mg</w:t>
                  </w:r>
                </w:p>
              </w:tc>
              <w:tc>
                <w:tcPr>
                  <w:tcW w:w="1702" w:type="pct"/>
                  <w:noWrap w:val="0"/>
                  <w:vAlign w:val="center"/>
                </w:tcPr>
                <w:p>
                  <w:pPr>
                    <w:pStyle w:val="26"/>
                    <w:jc w:val="center"/>
                  </w:pPr>
                  <w:r>
                    <w:rPr>
                      <w:rFonts w:hint="eastAsia"/>
                    </w:rPr>
                    <w:t>API</w:t>
                  </w:r>
                </w:p>
              </w:tc>
              <w:tc>
                <w:tcPr>
                  <w:tcW w:w="1088" w:type="pct"/>
                  <w:noWrap w:val="0"/>
                  <w:vAlign w:val="center"/>
                </w:tcPr>
                <w:p>
                  <w:pPr>
                    <w:pStyle w:val="26"/>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枸橼酸</w:t>
                  </w:r>
                </w:p>
              </w:tc>
              <w:tc>
                <w:tcPr>
                  <w:tcW w:w="1088" w:type="pct"/>
                  <w:noWrap w:val="0"/>
                  <w:vAlign w:val="center"/>
                </w:tcPr>
                <w:p>
                  <w:pPr>
                    <w:pStyle w:val="26"/>
                    <w:jc w:val="center"/>
                  </w:pPr>
                  <w:r>
                    <w:rPr>
                      <w:rFonts w:hint="eastAsia"/>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乙基纤维素水分散体</w:t>
                  </w:r>
                </w:p>
              </w:tc>
              <w:tc>
                <w:tcPr>
                  <w:tcW w:w="1088" w:type="pct"/>
                  <w:noWrap w:val="0"/>
                  <w:vAlign w:val="center"/>
                </w:tcPr>
                <w:p>
                  <w:pPr>
                    <w:pStyle w:val="26"/>
                    <w:jc w:val="center"/>
                  </w:pPr>
                  <w:r>
                    <w:rPr>
                      <w:rFonts w:hint="eastAsia"/>
                    </w:rPr>
                    <w:t>79.77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无水乙醇</w:t>
                  </w:r>
                </w:p>
              </w:tc>
              <w:tc>
                <w:tcPr>
                  <w:tcW w:w="1088" w:type="pct"/>
                  <w:noWrap w:val="0"/>
                  <w:vAlign w:val="center"/>
                </w:tcPr>
                <w:p>
                  <w:pPr>
                    <w:pStyle w:val="26"/>
                    <w:jc w:val="center"/>
                  </w:pPr>
                  <w:r>
                    <w:rPr>
                      <w:rFonts w:hint="eastAsia"/>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滑石粉</w:t>
                  </w:r>
                </w:p>
              </w:tc>
              <w:tc>
                <w:tcPr>
                  <w:tcW w:w="1088" w:type="pct"/>
                  <w:noWrap w:val="0"/>
                  <w:vAlign w:val="center"/>
                </w:tcPr>
                <w:p>
                  <w:pPr>
                    <w:pStyle w:val="26"/>
                    <w:jc w:val="center"/>
                  </w:pPr>
                  <w:r>
                    <w:rPr>
                      <w:rFonts w:hint="eastAsia"/>
                    </w:rPr>
                    <w:t>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聚乙二醇</w:t>
                  </w:r>
                </w:p>
              </w:tc>
              <w:tc>
                <w:tcPr>
                  <w:tcW w:w="1088" w:type="pct"/>
                  <w:noWrap w:val="0"/>
                  <w:vAlign w:val="center"/>
                </w:tcPr>
                <w:p>
                  <w:pPr>
                    <w:pStyle w:val="26"/>
                    <w:jc w:val="center"/>
                  </w:pPr>
                  <w:r>
                    <w:rPr>
                      <w:rFonts w:hint="eastAsia"/>
                    </w:rPr>
                    <w:t>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restart"/>
                  <w:noWrap w:val="0"/>
                  <w:vAlign w:val="center"/>
                </w:tcPr>
                <w:p>
                  <w:pPr>
                    <w:pStyle w:val="26"/>
                    <w:jc w:val="center"/>
                    <w:rPr>
                      <w:rFonts w:hint="eastAsia"/>
                    </w:rPr>
                  </w:pPr>
                  <w:r>
                    <w:rPr>
                      <w:rFonts w:hint="eastAsia"/>
                    </w:rPr>
                    <w:t>颗粒剂/散剂产品</w:t>
                  </w:r>
                </w:p>
              </w:tc>
              <w:tc>
                <w:tcPr>
                  <w:tcW w:w="1583" w:type="pct"/>
                  <w:vMerge w:val="restart"/>
                  <w:noWrap w:val="0"/>
                  <w:vAlign w:val="center"/>
                </w:tcPr>
                <w:p>
                  <w:pPr>
                    <w:pStyle w:val="26"/>
                    <w:jc w:val="center"/>
                    <w:rPr>
                      <w:rFonts w:hint="eastAsia"/>
                    </w:rPr>
                  </w:pPr>
                  <w:r>
                    <w:rPr>
                      <w:rFonts w:hint="eastAsia"/>
                    </w:rPr>
                    <w:t>洛索洛芬钠颗粒剂-60mg</w:t>
                  </w:r>
                </w:p>
              </w:tc>
              <w:tc>
                <w:tcPr>
                  <w:tcW w:w="1702" w:type="pct"/>
                  <w:noWrap w:val="0"/>
                  <w:vAlign w:val="center"/>
                </w:tcPr>
                <w:p>
                  <w:pPr>
                    <w:pStyle w:val="26"/>
                    <w:jc w:val="center"/>
                    <w:rPr>
                      <w:rFonts w:hint="eastAsia"/>
                    </w:rPr>
                  </w:pPr>
                  <w:r>
                    <w:rPr>
                      <w:rFonts w:hint="eastAsia"/>
                    </w:rPr>
                    <w:t>API</w:t>
                  </w:r>
                </w:p>
              </w:tc>
              <w:tc>
                <w:tcPr>
                  <w:tcW w:w="1088" w:type="pct"/>
                  <w:noWrap w:val="0"/>
                  <w:vAlign w:val="center"/>
                </w:tcPr>
                <w:p>
                  <w:pPr>
                    <w:pStyle w:val="26"/>
                    <w:jc w:val="center"/>
                  </w:pPr>
                  <w:r>
                    <w:rPr>
                      <w:rFonts w:hint="eastAsia"/>
                    </w:rPr>
                    <w:t>69.462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一水乳糖</w:t>
                  </w:r>
                </w:p>
              </w:tc>
              <w:tc>
                <w:tcPr>
                  <w:tcW w:w="1088" w:type="pct"/>
                  <w:noWrap w:val="0"/>
                  <w:vAlign w:val="center"/>
                </w:tcPr>
                <w:p>
                  <w:pPr>
                    <w:pStyle w:val="26"/>
                    <w:jc w:val="center"/>
                  </w:pPr>
                  <w:r>
                    <w:rPr>
                      <w:rFonts w:hint="eastAsia"/>
                    </w:rPr>
                    <w:t>508.81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羟丙纤维素</w:t>
                  </w:r>
                </w:p>
              </w:tc>
              <w:tc>
                <w:tcPr>
                  <w:tcW w:w="1088" w:type="pct"/>
                  <w:noWrap w:val="0"/>
                  <w:vAlign w:val="center"/>
                </w:tcPr>
                <w:p>
                  <w:pPr>
                    <w:pStyle w:val="26"/>
                    <w:jc w:val="center"/>
                  </w:pPr>
                  <w:r>
                    <w:rPr>
                      <w:rFonts w:hint="eastAsia"/>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低取代羟丙纤维素</w:t>
                  </w:r>
                </w:p>
              </w:tc>
              <w:tc>
                <w:tcPr>
                  <w:tcW w:w="1088" w:type="pct"/>
                  <w:noWrap w:val="0"/>
                  <w:vAlign w:val="center"/>
                </w:tcPr>
                <w:p>
                  <w:pPr>
                    <w:pStyle w:val="26"/>
                    <w:jc w:val="center"/>
                  </w:pPr>
                  <w:r>
                    <w:rPr>
                      <w:rFonts w:hint="eastAsia"/>
                    </w:rPr>
                    <w:t>18.36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纯化水</w:t>
                  </w:r>
                </w:p>
              </w:tc>
              <w:tc>
                <w:tcPr>
                  <w:tcW w:w="1088" w:type="pct"/>
                  <w:noWrap w:val="0"/>
                  <w:vAlign w:val="center"/>
                </w:tcPr>
                <w:p>
                  <w:pPr>
                    <w:pStyle w:val="26"/>
                    <w:jc w:val="center"/>
                    <w:rPr>
                      <w:rFonts w:hint="eastAsia"/>
                    </w:rPr>
                  </w:pPr>
                  <w:r>
                    <w:t>38.794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硬脂酸镁</w:t>
                  </w:r>
                </w:p>
              </w:tc>
              <w:tc>
                <w:tcPr>
                  <w:tcW w:w="1088" w:type="pct"/>
                  <w:noWrap w:val="0"/>
                  <w:vAlign w:val="center"/>
                </w:tcPr>
                <w:p>
                  <w:pPr>
                    <w:pStyle w:val="26"/>
                    <w:jc w:val="center"/>
                  </w:pPr>
                  <w:r>
                    <w:rPr>
                      <w:rFonts w:hint="eastAsia"/>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氧化铁红</w:t>
                  </w:r>
                </w:p>
              </w:tc>
              <w:tc>
                <w:tcPr>
                  <w:tcW w:w="1088" w:type="pct"/>
                  <w:noWrap w:val="0"/>
                  <w:vAlign w:val="center"/>
                </w:tcPr>
                <w:p>
                  <w:pPr>
                    <w:pStyle w:val="26"/>
                    <w:jc w:val="center"/>
                    <w:rPr>
                      <w:rFonts w:hint="eastAsia"/>
                    </w:rPr>
                  </w:pPr>
                  <w:r>
                    <w:rPr>
                      <w:rFonts w:hint="eastAsia"/>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pPr>
                </w:p>
              </w:tc>
              <w:tc>
                <w:tcPr>
                  <w:tcW w:w="1583" w:type="pct"/>
                  <w:vMerge w:val="restart"/>
                  <w:noWrap w:val="0"/>
                  <w:vAlign w:val="center"/>
                </w:tcPr>
                <w:p>
                  <w:pPr>
                    <w:pStyle w:val="26"/>
                    <w:jc w:val="center"/>
                  </w:pPr>
                  <w:r>
                    <w:rPr>
                      <w:rFonts w:hint="eastAsia"/>
                    </w:rPr>
                    <w:t>ZZ014-0.5g</w:t>
                  </w:r>
                </w:p>
              </w:tc>
              <w:tc>
                <w:tcPr>
                  <w:tcW w:w="1702" w:type="pct"/>
                  <w:noWrap w:val="0"/>
                  <w:vAlign w:val="center"/>
                </w:tcPr>
                <w:p>
                  <w:pPr>
                    <w:pStyle w:val="26"/>
                    <w:jc w:val="center"/>
                  </w:pPr>
                  <w:r>
                    <w:rPr>
                      <w:rFonts w:hint="eastAsia"/>
                    </w:rPr>
                    <w:t>API</w:t>
                  </w:r>
                </w:p>
              </w:tc>
              <w:tc>
                <w:tcPr>
                  <w:tcW w:w="1088" w:type="pct"/>
                  <w:noWrap w:val="0"/>
                  <w:vAlign w:val="center"/>
                </w:tcPr>
                <w:p>
                  <w:pPr>
                    <w:pStyle w:val="26"/>
                    <w:jc w:val="center"/>
                  </w:pPr>
                  <w:r>
                    <w:rPr>
                      <w:rFonts w:hint="eastAsia"/>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pPr>
                </w:p>
              </w:tc>
              <w:tc>
                <w:tcPr>
                  <w:tcW w:w="1583" w:type="pct"/>
                  <w:vMerge w:val="continue"/>
                  <w:noWrap w:val="0"/>
                  <w:vAlign w:val="center"/>
                </w:tcPr>
                <w:p>
                  <w:pPr>
                    <w:pStyle w:val="26"/>
                    <w:jc w:val="center"/>
                  </w:pPr>
                </w:p>
              </w:tc>
              <w:tc>
                <w:tcPr>
                  <w:tcW w:w="1702" w:type="pct"/>
                  <w:noWrap w:val="0"/>
                  <w:vAlign w:val="center"/>
                </w:tcPr>
                <w:p>
                  <w:pPr>
                    <w:pStyle w:val="26"/>
                    <w:jc w:val="center"/>
                  </w:pPr>
                  <w:r>
                    <w:rPr>
                      <w:rFonts w:hint="eastAsia"/>
                    </w:rPr>
                    <w:t>树莓香精</w:t>
                  </w:r>
                </w:p>
              </w:tc>
              <w:tc>
                <w:tcPr>
                  <w:tcW w:w="1088" w:type="pct"/>
                  <w:noWrap w:val="0"/>
                  <w:vAlign w:val="center"/>
                </w:tcPr>
                <w:p>
                  <w:pPr>
                    <w:pStyle w:val="26"/>
                    <w:jc w:val="center"/>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pPr>
                </w:p>
              </w:tc>
              <w:tc>
                <w:tcPr>
                  <w:tcW w:w="1583" w:type="pct"/>
                  <w:vMerge w:val="continue"/>
                  <w:noWrap w:val="0"/>
                  <w:vAlign w:val="center"/>
                </w:tcPr>
                <w:p>
                  <w:pPr>
                    <w:pStyle w:val="26"/>
                    <w:jc w:val="center"/>
                  </w:pPr>
                </w:p>
              </w:tc>
              <w:tc>
                <w:tcPr>
                  <w:tcW w:w="1702" w:type="pct"/>
                  <w:noWrap w:val="0"/>
                  <w:vAlign w:val="center"/>
                </w:tcPr>
                <w:p>
                  <w:pPr>
                    <w:pStyle w:val="26"/>
                    <w:jc w:val="center"/>
                  </w:pPr>
                  <w:r>
                    <w:rPr>
                      <w:rFonts w:hint="eastAsia"/>
                    </w:rPr>
                    <w:t>新橙皮苷二氢查尔酮</w:t>
                  </w:r>
                </w:p>
              </w:tc>
              <w:tc>
                <w:tcPr>
                  <w:tcW w:w="1088" w:type="pct"/>
                  <w:noWrap w:val="0"/>
                  <w:vAlign w:val="center"/>
                </w:tcPr>
                <w:p>
                  <w:pPr>
                    <w:pStyle w:val="26"/>
                    <w:jc w:val="center"/>
                  </w:pPr>
                  <w:r>
                    <w:rPr>
                      <w:rFonts w:hint="eastAsi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pPr>
                </w:p>
              </w:tc>
              <w:tc>
                <w:tcPr>
                  <w:tcW w:w="1583" w:type="pct"/>
                  <w:vMerge w:val="continue"/>
                  <w:noWrap w:val="0"/>
                  <w:vAlign w:val="center"/>
                </w:tcPr>
                <w:p>
                  <w:pPr>
                    <w:pStyle w:val="26"/>
                    <w:jc w:val="center"/>
                  </w:pPr>
                </w:p>
              </w:tc>
              <w:tc>
                <w:tcPr>
                  <w:tcW w:w="1702" w:type="pct"/>
                  <w:noWrap w:val="0"/>
                  <w:vAlign w:val="center"/>
                </w:tcPr>
                <w:p>
                  <w:pPr>
                    <w:pStyle w:val="26"/>
                    <w:jc w:val="center"/>
                  </w:pPr>
                  <w:r>
                    <w:rPr>
                      <w:rFonts w:hint="eastAsia"/>
                    </w:rPr>
                    <w:t>硬脂酸镁</w:t>
                  </w:r>
                </w:p>
              </w:tc>
              <w:tc>
                <w:tcPr>
                  <w:tcW w:w="1088" w:type="pct"/>
                  <w:noWrap w:val="0"/>
                  <w:vAlign w:val="center"/>
                </w:tcPr>
                <w:p>
                  <w:pPr>
                    <w:pStyle w:val="26"/>
                    <w:jc w:val="center"/>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pPr>
                </w:p>
              </w:tc>
              <w:tc>
                <w:tcPr>
                  <w:tcW w:w="1583" w:type="pct"/>
                  <w:vMerge w:val="continue"/>
                  <w:noWrap w:val="0"/>
                  <w:vAlign w:val="center"/>
                </w:tcPr>
                <w:p>
                  <w:pPr>
                    <w:pStyle w:val="26"/>
                    <w:jc w:val="center"/>
                  </w:pPr>
                </w:p>
              </w:tc>
              <w:tc>
                <w:tcPr>
                  <w:tcW w:w="1702" w:type="pct"/>
                  <w:noWrap w:val="0"/>
                  <w:vAlign w:val="center"/>
                </w:tcPr>
                <w:p>
                  <w:pPr>
                    <w:pStyle w:val="26"/>
                    <w:jc w:val="center"/>
                  </w:pPr>
                  <w:r>
                    <w:rPr>
                      <w:rFonts w:hint="eastAsia"/>
                    </w:rPr>
                    <w:t>无水胶态二氧化硅</w:t>
                  </w:r>
                </w:p>
              </w:tc>
              <w:tc>
                <w:tcPr>
                  <w:tcW w:w="1088" w:type="pct"/>
                  <w:noWrap w:val="0"/>
                  <w:vAlign w:val="center"/>
                </w:tcPr>
                <w:p>
                  <w:pPr>
                    <w:pStyle w:val="26"/>
                    <w:jc w:val="center"/>
                  </w:pPr>
                  <w:r>
                    <w:rPr>
                      <w:rFonts w:hint="eastAsia"/>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pPr>
                </w:p>
              </w:tc>
              <w:tc>
                <w:tcPr>
                  <w:tcW w:w="1583" w:type="pct"/>
                  <w:noWrap w:val="0"/>
                  <w:vAlign w:val="center"/>
                </w:tcPr>
                <w:p>
                  <w:pPr>
                    <w:pStyle w:val="26"/>
                    <w:jc w:val="center"/>
                  </w:pPr>
                  <w:r>
                    <w:rPr>
                      <w:rFonts w:hint="eastAsia"/>
                    </w:rPr>
                    <w:t>ZZ015-5g</w:t>
                  </w:r>
                </w:p>
              </w:tc>
              <w:tc>
                <w:tcPr>
                  <w:tcW w:w="1702" w:type="pct"/>
                  <w:noWrap w:val="0"/>
                  <w:vAlign w:val="center"/>
                </w:tcPr>
                <w:p>
                  <w:pPr>
                    <w:pStyle w:val="26"/>
                    <w:jc w:val="center"/>
                  </w:pPr>
                  <w:r>
                    <w:rPr>
                      <w:rFonts w:hint="eastAsia"/>
                    </w:rPr>
                    <w:t>API</w:t>
                  </w:r>
                </w:p>
              </w:tc>
              <w:tc>
                <w:tcPr>
                  <w:tcW w:w="1088" w:type="pct"/>
                  <w:noWrap w:val="0"/>
                  <w:vAlign w:val="center"/>
                </w:tcPr>
                <w:p>
                  <w:pPr>
                    <w:pStyle w:val="26"/>
                    <w:jc w:val="center"/>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restart"/>
                  <w:noWrap w:val="0"/>
                  <w:vAlign w:val="center"/>
                </w:tcPr>
                <w:p>
                  <w:pPr>
                    <w:pStyle w:val="26"/>
                    <w:jc w:val="center"/>
                    <w:rPr>
                      <w:rFonts w:hint="eastAsia"/>
                    </w:rPr>
                  </w:pPr>
                  <w:r>
                    <w:rPr>
                      <w:rFonts w:hint="eastAsia"/>
                    </w:rPr>
                    <w:t>片剂产品</w:t>
                  </w:r>
                </w:p>
              </w:tc>
              <w:tc>
                <w:tcPr>
                  <w:tcW w:w="1583" w:type="pct"/>
                  <w:vMerge w:val="restart"/>
                  <w:noWrap w:val="0"/>
                  <w:vAlign w:val="center"/>
                </w:tcPr>
                <w:p>
                  <w:pPr>
                    <w:pStyle w:val="26"/>
                    <w:jc w:val="center"/>
                  </w:pPr>
                  <w:r>
                    <w:rPr>
                      <w:rFonts w:hint="eastAsia"/>
                    </w:rPr>
                    <w:t>ZZ004-100mg</w:t>
                  </w:r>
                </w:p>
              </w:tc>
              <w:tc>
                <w:tcPr>
                  <w:tcW w:w="1702" w:type="pct"/>
                  <w:noWrap w:val="0"/>
                  <w:vAlign w:val="center"/>
                </w:tcPr>
                <w:p>
                  <w:pPr>
                    <w:pStyle w:val="26"/>
                    <w:jc w:val="center"/>
                    <w:rPr>
                      <w:rFonts w:hint="eastAsia"/>
                    </w:rPr>
                  </w:pPr>
                  <w:r>
                    <w:rPr>
                      <w:rFonts w:hint="eastAsia"/>
                    </w:rPr>
                    <w:t>API</w:t>
                  </w:r>
                </w:p>
              </w:tc>
              <w:tc>
                <w:tcPr>
                  <w:tcW w:w="1088" w:type="pct"/>
                  <w:noWrap w:val="0"/>
                  <w:vAlign w:val="center"/>
                </w:tcPr>
                <w:p>
                  <w:pPr>
                    <w:pStyle w:val="26"/>
                    <w:jc w:val="center"/>
                    <w:rPr>
                      <w:rFonts w:hint="eastAsia"/>
                    </w:rPr>
                  </w:pPr>
                  <w:r>
                    <w:rPr>
                      <w:rFonts w:hint="eastAsia"/>
                    </w:rPr>
                    <w:t>24.18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pPr>
                  <w:r>
                    <w:rPr>
                      <w:rFonts w:hint="eastAsia"/>
                    </w:rPr>
                    <w:t>乳糖</w:t>
                  </w:r>
                </w:p>
              </w:tc>
              <w:tc>
                <w:tcPr>
                  <w:tcW w:w="1088" w:type="pct"/>
                  <w:noWrap w:val="0"/>
                  <w:vAlign w:val="center"/>
                </w:tcPr>
                <w:p>
                  <w:pPr>
                    <w:pStyle w:val="26"/>
                    <w:jc w:val="center"/>
                  </w:pPr>
                  <w:r>
                    <w:rPr>
                      <w:rFonts w:hint="eastAsia"/>
                    </w:rPr>
                    <w:t>30.58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pPr>
                  <w:r>
                    <w:rPr>
                      <w:rFonts w:hint="eastAsia"/>
                    </w:rPr>
                    <w:t>玉米淀粉</w:t>
                  </w:r>
                </w:p>
              </w:tc>
              <w:tc>
                <w:tcPr>
                  <w:tcW w:w="1088" w:type="pct"/>
                  <w:noWrap w:val="0"/>
                  <w:vAlign w:val="center"/>
                </w:tcPr>
                <w:p>
                  <w:pPr>
                    <w:pStyle w:val="26"/>
                    <w:jc w:val="center"/>
                  </w:pPr>
                  <w:r>
                    <w:rPr>
                      <w:rFonts w:hint="eastAsia"/>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t>羟丙甲纤维素</w:t>
                  </w:r>
                </w:p>
              </w:tc>
              <w:tc>
                <w:tcPr>
                  <w:tcW w:w="1088" w:type="pct"/>
                  <w:noWrap w:val="0"/>
                  <w:vAlign w:val="center"/>
                </w:tcPr>
                <w:p>
                  <w:pPr>
                    <w:pStyle w:val="26"/>
                    <w:jc w:val="center"/>
                  </w:pPr>
                  <w:r>
                    <w:rPr>
                      <w:rFonts w:hint="eastAsi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t>聚山梨酯20</w:t>
                  </w:r>
                </w:p>
              </w:tc>
              <w:tc>
                <w:tcPr>
                  <w:tcW w:w="1088" w:type="pct"/>
                  <w:noWrap w:val="0"/>
                  <w:vAlign w:val="center"/>
                </w:tcPr>
                <w:p>
                  <w:pPr>
                    <w:pStyle w:val="26"/>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t>微晶纤维素</w:t>
                  </w:r>
                </w:p>
              </w:tc>
              <w:tc>
                <w:tcPr>
                  <w:tcW w:w="1088" w:type="pct"/>
                  <w:noWrap w:val="0"/>
                  <w:vAlign w:val="center"/>
                </w:tcPr>
                <w:p>
                  <w:pPr>
                    <w:pStyle w:val="26"/>
                    <w:jc w:val="center"/>
                  </w:pPr>
                  <w:r>
                    <w:rPr>
                      <w:rFonts w:hint="eastAsia"/>
                    </w:rPr>
                    <w:t>16.44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t>交联羧甲纤维素钠</w:t>
                  </w:r>
                </w:p>
              </w:tc>
              <w:tc>
                <w:tcPr>
                  <w:tcW w:w="1088" w:type="pct"/>
                  <w:noWrap w:val="0"/>
                  <w:vAlign w:val="center"/>
                </w:tcPr>
                <w:p>
                  <w:pPr>
                    <w:pStyle w:val="26"/>
                    <w:jc w:val="center"/>
                  </w:pPr>
                  <w:r>
                    <w:rPr>
                      <w:rFonts w:hint="eastAsia"/>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t>胶态二氧化硅</w:t>
                  </w:r>
                </w:p>
              </w:tc>
              <w:tc>
                <w:tcPr>
                  <w:tcW w:w="1088" w:type="pct"/>
                  <w:noWrap w:val="0"/>
                  <w:vAlign w:val="center"/>
                </w:tcPr>
                <w:p>
                  <w:pPr>
                    <w:pStyle w:val="26"/>
                    <w:jc w:val="center"/>
                    <w:rPr>
                      <w:rFonts w:hint="eastAsia"/>
                    </w:rPr>
                  </w:pPr>
                  <w:r>
                    <w:rPr>
                      <w:rFonts w:hint="eastAsia"/>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t>硬脂酸镁</w:t>
                  </w:r>
                </w:p>
              </w:tc>
              <w:tc>
                <w:tcPr>
                  <w:tcW w:w="1088" w:type="pct"/>
                  <w:noWrap w:val="0"/>
                  <w:vAlign w:val="center"/>
                </w:tcPr>
                <w:p>
                  <w:pPr>
                    <w:pStyle w:val="26"/>
                    <w:jc w:val="center"/>
                    <w:rPr>
                      <w:rFonts w:hint="eastAsia"/>
                    </w:rPr>
                  </w:pPr>
                  <w:r>
                    <w:rPr>
                      <w:rFonts w:hint="eastAsia"/>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pPr>
                  <w:r>
                    <w:rPr>
                      <w:rFonts w:hint="eastAsia"/>
                    </w:rPr>
                    <w:t>ZZ009-10mg/20mg</w:t>
                  </w:r>
                </w:p>
              </w:tc>
              <w:tc>
                <w:tcPr>
                  <w:tcW w:w="1702" w:type="pct"/>
                  <w:noWrap w:val="0"/>
                  <w:vAlign w:val="center"/>
                </w:tcPr>
                <w:p>
                  <w:pPr>
                    <w:pStyle w:val="26"/>
                    <w:jc w:val="center"/>
                  </w:pPr>
                  <w:r>
                    <w:rPr>
                      <w:rFonts w:hint="eastAsia"/>
                    </w:rPr>
                    <w:t>API</w:t>
                  </w:r>
                </w:p>
              </w:tc>
              <w:tc>
                <w:tcPr>
                  <w:tcW w:w="1088" w:type="pct"/>
                  <w:noWrap w:val="0"/>
                  <w:vAlign w:val="center"/>
                </w:tcPr>
                <w:p>
                  <w:pPr>
                    <w:pStyle w:val="26"/>
                    <w:jc w:val="center"/>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widowControl/>
                    <w:jc w:val="center"/>
                    <w:rPr>
                      <w:rFonts w:hint="eastAsia"/>
                      <w:kern w:val="0"/>
                      <w:sz w:val="21"/>
                      <w:szCs w:val="20"/>
                    </w:rPr>
                  </w:pPr>
                  <w:r>
                    <w:rPr>
                      <w:rFonts w:hint="eastAsia"/>
                      <w:kern w:val="0"/>
                      <w:sz w:val="21"/>
                      <w:szCs w:val="20"/>
                    </w:rPr>
                    <w:t>乳糖一水合物</w:t>
                  </w:r>
                </w:p>
              </w:tc>
              <w:tc>
                <w:tcPr>
                  <w:tcW w:w="1088" w:type="pct"/>
                  <w:noWrap w:val="0"/>
                  <w:vAlign w:val="center"/>
                </w:tcPr>
                <w:p>
                  <w:pPr>
                    <w:pStyle w:val="26"/>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widowControl/>
                    <w:jc w:val="center"/>
                    <w:rPr>
                      <w:rFonts w:hint="eastAsia"/>
                      <w:kern w:val="0"/>
                      <w:sz w:val="21"/>
                      <w:szCs w:val="20"/>
                    </w:rPr>
                  </w:pPr>
                  <w:r>
                    <w:rPr>
                      <w:rFonts w:hint="eastAsia"/>
                      <w:kern w:val="0"/>
                      <w:sz w:val="21"/>
                      <w:szCs w:val="20"/>
                    </w:rPr>
                    <w:t>微晶纤维素</w:t>
                  </w:r>
                </w:p>
              </w:tc>
              <w:tc>
                <w:tcPr>
                  <w:tcW w:w="1088" w:type="pct"/>
                  <w:noWrap w:val="0"/>
                  <w:vAlign w:val="center"/>
                </w:tcPr>
                <w:p>
                  <w:pPr>
                    <w:pStyle w:val="26"/>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widowControl/>
                    <w:jc w:val="center"/>
                    <w:rPr>
                      <w:rFonts w:hint="eastAsia"/>
                      <w:kern w:val="0"/>
                      <w:sz w:val="21"/>
                      <w:szCs w:val="20"/>
                    </w:rPr>
                  </w:pPr>
                  <w:r>
                    <w:rPr>
                      <w:rFonts w:hint="eastAsia"/>
                      <w:kern w:val="0"/>
                      <w:sz w:val="21"/>
                      <w:szCs w:val="20"/>
                    </w:rPr>
                    <w:t>交联羧甲基纤维素钠</w:t>
                  </w:r>
                </w:p>
              </w:tc>
              <w:tc>
                <w:tcPr>
                  <w:tcW w:w="1088" w:type="pct"/>
                  <w:noWrap w:val="0"/>
                  <w:vAlign w:val="center"/>
                </w:tcPr>
                <w:p>
                  <w:pPr>
                    <w:pStyle w:val="26"/>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硬脂酸镁</w:t>
                  </w:r>
                </w:p>
              </w:tc>
              <w:tc>
                <w:tcPr>
                  <w:tcW w:w="1088" w:type="pct"/>
                  <w:noWrap w:val="0"/>
                  <w:vAlign w:val="center"/>
                </w:tcPr>
                <w:p>
                  <w:pPr>
                    <w:pStyle w:val="26"/>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widowControl/>
                    <w:jc w:val="center"/>
                    <w:rPr>
                      <w:rFonts w:hint="eastAsia"/>
                      <w:kern w:val="0"/>
                      <w:sz w:val="21"/>
                      <w:szCs w:val="20"/>
                    </w:rPr>
                  </w:pPr>
                  <w:r>
                    <w:rPr>
                      <w:rFonts w:hint="eastAsia"/>
                      <w:kern w:val="0"/>
                      <w:sz w:val="21"/>
                      <w:szCs w:val="20"/>
                    </w:rPr>
                    <w:t>十二烷基硫酸钠</w:t>
                  </w:r>
                </w:p>
              </w:tc>
              <w:tc>
                <w:tcPr>
                  <w:tcW w:w="1088" w:type="pct"/>
                  <w:noWrap w:val="0"/>
                  <w:vAlign w:val="center"/>
                </w:tcPr>
                <w:p>
                  <w:pPr>
                    <w:pStyle w:val="26"/>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widowControl/>
                    <w:jc w:val="center"/>
                    <w:rPr>
                      <w:rFonts w:hint="eastAsia"/>
                      <w:kern w:val="0"/>
                      <w:sz w:val="21"/>
                      <w:szCs w:val="20"/>
                    </w:rPr>
                  </w:pPr>
                  <w:r>
                    <w:rPr>
                      <w:rFonts w:hint="eastAsia"/>
                      <w:kern w:val="0"/>
                      <w:sz w:val="21"/>
                      <w:szCs w:val="20"/>
                    </w:rPr>
                    <w:t>二氧化钛</w:t>
                  </w:r>
                </w:p>
              </w:tc>
              <w:tc>
                <w:tcPr>
                  <w:tcW w:w="1088" w:type="pct"/>
                  <w:noWrap w:val="0"/>
                  <w:vAlign w:val="center"/>
                </w:tcPr>
                <w:p>
                  <w:pPr>
                    <w:pStyle w:val="26"/>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滑石粉</w:t>
                  </w:r>
                </w:p>
              </w:tc>
              <w:tc>
                <w:tcPr>
                  <w:tcW w:w="1088" w:type="pct"/>
                  <w:noWrap w:val="0"/>
                  <w:vAlign w:val="center"/>
                </w:tcPr>
                <w:p>
                  <w:pPr>
                    <w:pStyle w:val="26"/>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restart"/>
                  <w:noWrap w:val="0"/>
                  <w:vAlign w:val="center"/>
                </w:tcPr>
                <w:p>
                  <w:pPr>
                    <w:pStyle w:val="26"/>
                    <w:jc w:val="center"/>
                  </w:pPr>
                  <w:r>
                    <w:rPr>
                      <w:rFonts w:hint="eastAsia"/>
                    </w:rPr>
                    <w:t>ZZ013-0.5g</w:t>
                  </w:r>
                </w:p>
              </w:tc>
              <w:tc>
                <w:tcPr>
                  <w:tcW w:w="1702" w:type="pct"/>
                  <w:noWrap w:val="0"/>
                  <w:vAlign w:val="center"/>
                </w:tcPr>
                <w:p>
                  <w:pPr>
                    <w:pStyle w:val="26"/>
                    <w:jc w:val="center"/>
                  </w:pPr>
                  <w:r>
                    <w:rPr>
                      <w:rFonts w:hint="eastAsia"/>
                    </w:rPr>
                    <w:t>API</w:t>
                  </w:r>
                </w:p>
              </w:tc>
              <w:tc>
                <w:tcPr>
                  <w:tcW w:w="1088" w:type="pct"/>
                  <w:noWrap w:val="0"/>
                  <w:vAlign w:val="center"/>
                </w:tcPr>
                <w:p>
                  <w:pPr>
                    <w:pStyle w:val="26"/>
                    <w:jc w:val="center"/>
                  </w:pPr>
                  <w:r>
                    <w:rPr>
                      <w:rFonts w:hint="eastAsia"/>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树莓香精</w:t>
                  </w:r>
                </w:p>
              </w:tc>
              <w:tc>
                <w:tcPr>
                  <w:tcW w:w="1088" w:type="pct"/>
                  <w:noWrap w:val="0"/>
                  <w:vAlign w:val="center"/>
                </w:tcPr>
                <w:p>
                  <w:pPr>
                    <w:pStyle w:val="26"/>
                    <w:jc w:val="center"/>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新橙皮苷二氢查尔酮</w:t>
                  </w:r>
                </w:p>
              </w:tc>
              <w:tc>
                <w:tcPr>
                  <w:tcW w:w="1088" w:type="pct"/>
                  <w:noWrap w:val="0"/>
                  <w:vAlign w:val="center"/>
                </w:tcPr>
                <w:p>
                  <w:pPr>
                    <w:pStyle w:val="26"/>
                    <w:jc w:val="center"/>
                  </w:pPr>
                  <w:r>
                    <w:rPr>
                      <w:rFonts w:hint="eastAsi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硬脂酸镁</w:t>
                  </w:r>
                </w:p>
              </w:tc>
              <w:tc>
                <w:tcPr>
                  <w:tcW w:w="1088" w:type="pct"/>
                  <w:noWrap w:val="0"/>
                  <w:vAlign w:val="center"/>
                </w:tcPr>
                <w:p>
                  <w:pPr>
                    <w:pStyle w:val="26"/>
                    <w:jc w:val="center"/>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rPr>
                  </w:pPr>
                </w:p>
              </w:tc>
              <w:tc>
                <w:tcPr>
                  <w:tcW w:w="1583" w:type="pct"/>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无水胶态二氧化硅</w:t>
                  </w:r>
                </w:p>
              </w:tc>
              <w:tc>
                <w:tcPr>
                  <w:tcW w:w="1088" w:type="pct"/>
                  <w:noWrap w:val="0"/>
                  <w:vAlign w:val="center"/>
                </w:tcPr>
                <w:p>
                  <w:pPr>
                    <w:pStyle w:val="26"/>
                    <w:jc w:val="center"/>
                  </w:pPr>
                  <w:r>
                    <w:rPr>
                      <w:rFonts w:hint="eastAsia"/>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restart"/>
                  <w:noWrap w:val="0"/>
                  <w:vAlign w:val="center"/>
                </w:tcPr>
                <w:p>
                  <w:pPr>
                    <w:pStyle w:val="26"/>
                    <w:jc w:val="center"/>
                    <w:rPr>
                      <w:rFonts w:hint="default" w:eastAsia="宋体"/>
                      <w:u w:val="single"/>
                      <w:lang w:val="en-US" w:eastAsia="zh-CN"/>
                    </w:rPr>
                  </w:pPr>
                  <w:r>
                    <w:rPr>
                      <w:rFonts w:hint="eastAsia"/>
                      <w:u w:val="single"/>
                      <w:lang w:val="en-US" w:eastAsia="zh-CN"/>
                    </w:rPr>
                    <w:t>产品包装</w:t>
                  </w:r>
                </w:p>
              </w:tc>
              <w:tc>
                <w:tcPr>
                  <w:tcW w:w="1583" w:type="pct"/>
                  <w:vMerge w:val="restart"/>
                  <w:noWrap w:val="0"/>
                  <w:vAlign w:val="center"/>
                </w:tcPr>
                <w:p>
                  <w:pPr>
                    <w:pStyle w:val="26"/>
                    <w:jc w:val="center"/>
                    <w:rPr>
                      <w:rFonts w:hint="eastAsia" w:eastAsia="宋体"/>
                      <w:u w:val="single"/>
                      <w:lang w:val="en-US" w:eastAsia="zh-CN"/>
                    </w:rPr>
                  </w:pPr>
                  <w:r>
                    <w:rPr>
                      <w:rFonts w:hint="eastAsia"/>
                      <w:u w:val="single"/>
                      <w:lang w:val="en-US" w:eastAsia="zh-CN"/>
                    </w:rPr>
                    <w:t>/</w:t>
                  </w:r>
                </w:p>
              </w:tc>
              <w:tc>
                <w:tcPr>
                  <w:tcW w:w="1702" w:type="pct"/>
                  <w:noWrap w:val="0"/>
                  <w:vAlign w:val="center"/>
                </w:tcPr>
                <w:p>
                  <w:pPr>
                    <w:pStyle w:val="26"/>
                    <w:jc w:val="center"/>
                    <w:rPr>
                      <w:rFonts w:hint="default" w:eastAsia="宋体"/>
                      <w:u w:val="single"/>
                      <w:lang w:val="en-US" w:eastAsia="zh-CN"/>
                    </w:rPr>
                  </w:pPr>
                  <w:r>
                    <w:rPr>
                      <w:rFonts w:hint="eastAsia"/>
                      <w:u w:val="single"/>
                      <w:lang w:val="en-US" w:eastAsia="zh-CN"/>
                    </w:rPr>
                    <w:t>安瓿瓶</w:t>
                  </w:r>
                </w:p>
              </w:tc>
              <w:tc>
                <w:tcPr>
                  <w:tcW w:w="1088" w:type="pct"/>
                  <w:noWrap w:val="0"/>
                  <w:vAlign w:val="center"/>
                </w:tcPr>
                <w:p>
                  <w:pPr>
                    <w:pStyle w:val="26"/>
                    <w:jc w:val="center"/>
                    <w:rPr>
                      <w:rFonts w:hint="default" w:eastAsia="宋体"/>
                      <w:u w:val="single"/>
                      <w:lang w:val="en-US" w:eastAsia="zh-CN"/>
                    </w:rPr>
                  </w:pPr>
                  <w:r>
                    <w:rPr>
                      <w:rFonts w:hint="eastAsia"/>
                      <w:u w:val="single"/>
                      <w:lang w:val="en-US" w:eastAsia="zh-CN"/>
                    </w:rPr>
                    <w:t>1210万支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lang w:val="en-US" w:eastAsia="zh-CN"/>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jc w:val="center"/>
                    <w:rPr>
                      <w:rFonts w:hint="default"/>
                      <w:u w:val="single"/>
                      <w:lang w:val="en-US" w:eastAsia="zh-CN"/>
                    </w:rPr>
                  </w:pPr>
                  <w:r>
                    <w:rPr>
                      <w:rFonts w:hint="eastAsia"/>
                      <w:u w:val="single"/>
                      <w:lang w:val="en-US" w:eastAsia="zh-CN"/>
                    </w:rPr>
                    <w:t>铝塑泡罩</w:t>
                  </w:r>
                </w:p>
              </w:tc>
              <w:tc>
                <w:tcPr>
                  <w:tcW w:w="1088" w:type="pct"/>
                  <w:noWrap w:val="0"/>
                  <w:vAlign w:val="center"/>
                </w:tcPr>
                <w:p>
                  <w:pPr>
                    <w:pStyle w:val="26"/>
                    <w:jc w:val="center"/>
                    <w:rPr>
                      <w:rFonts w:hint="default"/>
                      <w:u w:val="single"/>
                      <w:lang w:val="en-US" w:eastAsia="zh-CN"/>
                    </w:rPr>
                  </w:pPr>
                  <w:r>
                    <w:rPr>
                      <w:rFonts w:hint="eastAsia"/>
                      <w:u w:val="singl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lang w:val="en-US" w:eastAsia="zh-CN"/>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jc w:val="center"/>
                    <w:rPr>
                      <w:rFonts w:hint="default"/>
                      <w:u w:val="single"/>
                      <w:lang w:val="en-US" w:eastAsia="zh-CN"/>
                    </w:rPr>
                  </w:pPr>
                  <w:r>
                    <w:rPr>
                      <w:rFonts w:hint="eastAsia"/>
                      <w:u w:val="single"/>
                      <w:lang w:val="en-US" w:eastAsia="zh-CN"/>
                    </w:rPr>
                    <w:t>塑料袋</w:t>
                  </w:r>
                </w:p>
              </w:tc>
              <w:tc>
                <w:tcPr>
                  <w:tcW w:w="1088" w:type="pct"/>
                  <w:noWrap w:val="0"/>
                  <w:vAlign w:val="center"/>
                </w:tcPr>
                <w:p>
                  <w:pPr>
                    <w:pStyle w:val="26"/>
                    <w:jc w:val="center"/>
                    <w:rPr>
                      <w:rFonts w:hint="default"/>
                      <w:u w:val="single"/>
                      <w:lang w:val="en-US" w:eastAsia="zh-CN"/>
                    </w:rPr>
                  </w:pPr>
                  <w:r>
                    <w:rPr>
                      <w:rFonts w:hint="eastAsia"/>
                      <w:u w:val="singl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restart"/>
                  <w:noWrap w:val="0"/>
                  <w:vAlign w:val="center"/>
                </w:tcPr>
                <w:p>
                  <w:pPr>
                    <w:pStyle w:val="26"/>
                    <w:jc w:val="center"/>
                    <w:rPr>
                      <w:rFonts w:hint="eastAsia" w:eastAsia="宋体"/>
                      <w:u w:val="single"/>
                      <w:lang w:val="en-US" w:eastAsia="zh-CN"/>
                    </w:rPr>
                  </w:pPr>
                  <w:r>
                    <w:rPr>
                      <w:rFonts w:hint="eastAsia"/>
                      <w:u w:val="single"/>
                      <w:lang w:val="en-US" w:eastAsia="zh-CN"/>
                    </w:rPr>
                    <w:t>实验室</w:t>
                  </w:r>
                </w:p>
              </w:tc>
              <w:tc>
                <w:tcPr>
                  <w:tcW w:w="1583" w:type="pct"/>
                  <w:vMerge w:val="restart"/>
                  <w:noWrap w:val="0"/>
                  <w:vAlign w:val="center"/>
                </w:tcPr>
                <w:p>
                  <w:pPr>
                    <w:pStyle w:val="26"/>
                    <w:jc w:val="center"/>
                    <w:rPr>
                      <w:rFonts w:hint="eastAsia" w:eastAsia="宋体"/>
                      <w:u w:val="single"/>
                      <w:lang w:val="en-US" w:eastAsia="zh-CN"/>
                    </w:rPr>
                  </w:pPr>
                  <w:r>
                    <w:rPr>
                      <w:rFonts w:hint="eastAsia"/>
                      <w:u w:val="single"/>
                      <w:lang w:val="en-US" w:eastAsia="zh-CN"/>
                    </w:rPr>
                    <w:t>/</w:t>
                  </w:r>
                </w:p>
              </w:tc>
              <w:tc>
                <w:tcPr>
                  <w:tcW w:w="1702" w:type="pct"/>
                  <w:noWrap w:val="0"/>
                  <w:vAlign w:val="center"/>
                </w:tcPr>
                <w:p>
                  <w:pPr>
                    <w:pStyle w:val="26"/>
                    <w:bidi w:val="0"/>
                    <w:jc w:val="center"/>
                    <w:rPr>
                      <w:rFonts w:hint="eastAsia"/>
                      <w:u w:val="single"/>
                    </w:rPr>
                  </w:pPr>
                  <w:r>
                    <w:rPr>
                      <w:u w:val="single"/>
                    </w:rPr>
                    <w:t>氢氧化钠</w:t>
                  </w:r>
                </w:p>
              </w:tc>
              <w:tc>
                <w:tcPr>
                  <w:tcW w:w="1088" w:type="pct"/>
                  <w:noWrap w:val="0"/>
                  <w:vAlign w:val="center"/>
                </w:tcPr>
                <w:p>
                  <w:pPr>
                    <w:pStyle w:val="26"/>
                    <w:bidi w:val="0"/>
                    <w:jc w:val="center"/>
                    <w:rPr>
                      <w:rFonts w:hint="default"/>
                      <w:u w:val="single"/>
                      <w:lang w:val="en-US"/>
                    </w:rPr>
                  </w:pPr>
                  <w:r>
                    <w:rPr>
                      <w:rFonts w:hint="eastAsia"/>
                      <w:u w:val="single"/>
                      <w:lang w:val="en-US" w:eastAsia="zh-CN"/>
                    </w:rPr>
                    <w:t>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rFonts w:hint="eastAsia"/>
                      <w:u w:val="single"/>
                      <w:lang w:val="en-US" w:eastAsia="zh-CN"/>
                    </w:rPr>
                    <w:t>五氧化二磷</w:t>
                  </w:r>
                </w:p>
              </w:tc>
              <w:tc>
                <w:tcPr>
                  <w:tcW w:w="1088" w:type="pct"/>
                  <w:noWrap w:val="0"/>
                  <w:vAlign w:val="center"/>
                </w:tcPr>
                <w:p>
                  <w:pPr>
                    <w:pStyle w:val="26"/>
                    <w:bidi w:val="0"/>
                    <w:jc w:val="center"/>
                    <w:rPr>
                      <w:rFonts w:hint="default"/>
                      <w:u w:val="single"/>
                      <w:lang w:val="en-US"/>
                    </w:rPr>
                  </w:pPr>
                  <w:r>
                    <w:rPr>
                      <w:rFonts w:hint="eastAsia"/>
                      <w:u w:val="singl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rFonts w:hint="eastAsia"/>
                      <w:u w:val="single"/>
                      <w:lang w:val="en-US" w:eastAsia="zh-CN"/>
                    </w:rPr>
                    <w:t>冰醋酸</w:t>
                  </w:r>
                </w:p>
              </w:tc>
              <w:tc>
                <w:tcPr>
                  <w:tcW w:w="1088" w:type="pct"/>
                  <w:noWrap w:val="0"/>
                  <w:vAlign w:val="center"/>
                </w:tcPr>
                <w:p>
                  <w:pPr>
                    <w:pStyle w:val="26"/>
                    <w:bidi w:val="0"/>
                    <w:jc w:val="center"/>
                    <w:rPr>
                      <w:rFonts w:hint="default"/>
                      <w:u w:val="single"/>
                      <w:lang w:val="en-US"/>
                    </w:rPr>
                  </w:pPr>
                  <w:r>
                    <w:rPr>
                      <w:rFonts w:hint="eastAsia"/>
                      <w:u w:val="single"/>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rFonts w:hint="eastAsia"/>
                      <w:u w:val="single"/>
                      <w:lang w:val="en-US" w:eastAsia="zh-CN"/>
                    </w:rPr>
                    <w:t>硫酸铵</w:t>
                  </w:r>
                </w:p>
              </w:tc>
              <w:tc>
                <w:tcPr>
                  <w:tcW w:w="1088" w:type="pct"/>
                  <w:noWrap w:val="0"/>
                  <w:vAlign w:val="center"/>
                </w:tcPr>
                <w:p>
                  <w:pPr>
                    <w:pStyle w:val="26"/>
                    <w:bidi w:val="0"/>
                    <w:jc w:val="center"/>
                    <w:rPr>
                      <w:rFonts w:hint="default"/>
                      <w:u w:val="single"/>
                      <w:lang w:val="en-US"/>
                    </w:rPr>
                  </w:pPr>
                  <w:r>
                    <w:rPr>
                      <w:rFonts w:hint="eastAsia"/>
                      <w:u w:val="singl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rFonts w:hint="eastAsia"/>
                      <w:u w:val="single"/>
                      <w:lang w:val="en-US" w:eastAsia="zh-CN"/>
                    </w:rPr>
                    <w:t>三氯甲烷</w:t>
                  </w:r>
                </w:p>
              </w:tc>
              <w:tc>
                <w:tcPr>
                  <w:tcW w:w="1088" w:type="pct"/>
                  <w:noWrap w:val="0"/>
                  <w:vAlign w:val="center"/>
                </w:tcPr>
                <w:p>
                  <w:pPr>
                    <w:pStyle w:val="26"/>
                    <w:bidi w:val="0"/>
                    <w:jc w:val="center"/>
                    <w:rPr>
                      <w:rFonts w:hint="default"/>
                      <w:u w:val="single"/>
                      <w:lang w:val="en-US"/>
                    </w:rPr>
                  </w:pPr>
                  <w:r>
                    <w:rPr>
                      <w:rFonts w:hint="eastAsia"/>
                      <w:u w:val="singl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rFonts w:hint="eastAsia"/>
                      <w:u w:val="single"/>
                      <w:lang w:val="en-US" w:eastAsia="zh-CN"/>
                    </w:rPr>
                    <w:t>氨水</w:t>
                  </w:r>
                </w:p>
              </w:tc>
              <w:tc>
                <w:tcPr>
                  <w:tcW w:w="1088" w:type="pct"/>
                  <w:noWrap w:val="0"/>
                  <w:vAlign w:val="center"/>
                </w:tcPr>
                <w:p>
                  <w:pPr>
                    <w:pStyle w:val="26"/>
                    <w:bidi w:val="0"/>
                    <w:jc w:val="center"/>
                    <w:rPr>
                      <w:rFonts w:hint="default"/>
                      <w:u w:val="single"/>
                      <w:lang w:val="en-US"/>
                    </w:rPr>
                  </w:pPr>
                  <w:r>
                    <w:rPr>
                      <w:rFonts w:hint="eastAsia"/>
                      <w:u w:val="single"/>
                      <w:lang w:val="en-US" w:eastAsia="zh-CN"/>
                    </w:rPr>
                    <w:t>165.5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rFonts w:hint="eastAsia"/>
                      <w:u w:val="single"/>
                      <w:lang w:val="en-US" w:eastAsia="zh-CN"/>
                    </w:rPr>
                    <w:t>丙酮</w:t>
                  </w:r>
                </w:p>
              </w:tc>
              <w:tc>
                <w:tcPr>
                  <w:tcW w:w="1088" w:type="pct"/>
                  <w:noWrap w:val="0"/>
                  <w:vAlign w:val="center"/>
                </w:tcPr>
                <w:p>
                  <w:pPr>
                    <w:pStyle w:val="26"/>
                    <w:bidi w:val="0"/>
                    <w:jc w:val="center"/>
                    <w:rPr>
                      <w:rFonts w:hint="default"/>
                      <w:u w:val="single"/>
                      <w:lang w:val="en-US"/>
                    </w:rPr>
                  </w:pPr>
                  <w:r>
                    <w:rPr>
                      <w:rFonts w:hint="eastAsia"/>
                      <w:u w:val="single"/>
                      <w:lang w:val="en-US" w:eastAsia="zh-CN"/>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rFonts w:hint="eastAsia"/>
                      <w:u w:val="single"/>
                      <w:lang w:val="en-US" w:eastAsia="zh-CN"/>
                    </w:rPr>
                    <w:t>硫酸</w:t>
                  </w:r>
                </w:p>
              </w:tc>
              <w:tc>
                <w:tcPr>
                  <w:tcW w:w="1088" w:type="pct"/>
                  <w:noWrap w:val="0"/>
                  <w:vAlign w:val="center"/>
                </w:tcPr>
                <w:p>
                  <w:pPr>
                    <w:pStyle w:val="26"/>
                    <w:bidi w:val="0"/>
                    <w:jc w:val="center"/>
                    <w:rPr>
                      <w:rFonts w:hint="default"/>
                      <w:u w:val="single"/>
                      <w:lang w:val="en-US"/>
                    </w:rPr>
                  </w:pPr>
                  <w:r>
                    <w:rPr>
                      <w:rFonts w:hint="eastAsia"/>
                      <w:u w:val="single"/>
                      <w:lang w:val="en-US" w:eastAsia="zh-CN"/>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rFonts w:hint="eastAsia"/>
                      <w:u w:val="single"/>
                      <w:lang w:val="en-US" w:eastAsia="zh-CN"/>
                    </w:rPr>
                    <w:t>正己烷</w:t>
                  </w:r>
                </w:p>
              </w:tc>
              <w:tc>
                <w:tcPr>
                  <w:tcW w:w="1088" w:type="pct"/>
                  <w:noWrap w:val="0"/>
                  <w:vAlign w:val="center"/>
                </w:tcPr>
                <w:p>
                  <w:pPr>
                    <w:pStyle w:val="26"/>
                    <w:bidi w:val="0"/>
                    <w:jc w:val="center"/>
                    <w:rPr>
                      <w:rFonts w:hint="default"/>
                      <w:u w:val="single"/>
                      <w:lang w:val="en-US"/>
                    </w:rPr>
                  </w:pPr>
                  <w:r>
                    <w:rPr>
                      <w:rFonts w:hint="eastAsia"/>
                      <w:u w:val="single"/>
                      <w:lang w:val="en-US" w:eastAsia="zh-CN"/>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rFonts w:hint="eastAsia"/>
                      <w:u w:val="single"/>
                      <w:lang w:val="en-US" w:eastAsia="zh-CN"/>
                    </w:rPr>
                    <w:t>甲酸</w:t>
                  </w:r>
                </w:p>
              </w:tc>
              <w:tc>
                <w:tcPr>
                  <w:tcW w:w="1088" w:type="pct"/>
                  <w:noWrap w:val="0"/>
                  <w:vAlign w:val="center"/>
                </w:tcPr>
                <w:p>
                  <w:pPr>
                    <w:pStyle w:val="26"/>
                    <w:bidi w:val="0"/>
                    <w:jc w:val="center"/>
                    <w:rPr>
                      <w:rFonts w:hint="eastAsia"/>
                      <w:u w:val="single"/>
                    </w:rPr>
                  </w:pPr>
                  <w:r>
                    <w:rPr>
                      <w:rFonts w:hint="eastAsia"/>
                      <w:u w:val="singl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u w:val="single"/>
                    </w:rPr>
                    <w:t>盐酸</w:t>
                  </w:r>
                </w:p>
              </w:tc>
              <w:tc>
                <w:tcPr>
                  <w:tcW w:w="1088" w:type="pct"/>
                  <w:noWrap w:val="0"/>
                  <w:vAlign w:val="center"/>
                </w:tcPr>
                <w:p>
                  <w:pPr>
                    <w:pStyle w:val="26"/>
                    <w:bidi w:val="0"/>
                    <w:jc w:val="center"/>
                    <w:rPr>
                      <w:rFonts w:hint="default"/>
                      <w:u w:val="single"/>
                      <w:lang w:val="en-US"/>
                    </w:rPr>
                  </w:pPr>
                  <w:r>
                    <w:rPr>
                      <w:rFonts w:hint="eastAsia"/>
                      <w:u w:val="single"/>
                      <w:lang w:val="en-US" w:eastAsia="zh-CN"/>
                    </w:rPr>
                    <w:t>487.6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rFonts w:hint="eastAsia"/>
                      <w:u w:val="single"/>
                      <w:lang w:val="en-US" w:eastAsia="zh-CN"/>
                    </w:rPr>
                    <w:t>硝酸</w:t>
                  </w:r>
                </w:p>
              </w:tc>
              <w:tc>
                <w:tcPr>
                  <w:tcW w:w="1088" w:type="pct"/>
                  <w:noWrap w:val="0"/>
                  <w:vAlign w:val="center"/>
                </w:tcPr>
                <w:p>
                  <w:pPr>
                    <w:pStyle w:val="26"/>
                    <w:bidi w:val="0"/>
                    <w:jc w:val="center"/>
                    <w:rPr>
                      <w:rFonts w:hint="default"/>
                      <w:u w:val="single"/>
                      <w:lang w:val="en-US"/>
                    </w:rPr>
                  </w:pPr>
                  <w:r>
                    <w:rPr>
                      <w:rFonts w:hint="eastAsia"/>
                      <w:u w:val="single"/>
                      <w:lang w:val="en-US" w:eastAsia="zh-CN"/>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rFonts w:hint="eastAsia"/>
                      <w:u w:val="single"/>
                      <w:lang w:val="en-US" w:eastAsia="zh-CN"/>
                    </w:rPr>
                    <w:t>甲苯</w:t>
                  </w:r>
                </w:p>
              </w:tc>
              <w:tc>
                <w:tcPr>
                  <w:tcW w:w="1088" w:type="pct"/>
                  <w:noWrap w:val="0"/>
                  <w:vAlign w:val="center"/>
                </w:tcPr>
                <w:p>
                  <w:pPr>
                    <w:pStyle w:val="26"/>
                    <w:bidi w:val="0"/>
                    <w:jc w:val="center"/>
                    <w:rPr>
                      <w:rFonts w:hint="default"/>
                      <w:u w:val="single"/>
                      <w:lang w:val="en-US"/>
                    </w:rPr>
                  </w:pPr>
                  <w:r>
                    <w:rPr>
                      <w:rFonts w:hint="eastAsia"/>
                      <w:u w:val="singl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rFonts w:hint="eastAsia"/>
                      <w:u w:val="single"/>
                      <w:lang w:val="en-US" w:eastAsia="zh-CN"/>
                    </w:rPr>
                    <w:t>磷酸</w:t>
                  </w:r>
                </w:p>
              </w:tc>
              <w:tc>
                <w:tcPr>
                  <w:tcW w:w="1088" w:type="pct"/>
                  <w:noWrap w:val="0"/>
                  <w:vAlign w:val="center"/>
                </w:tcPr>
                <w:p>
                  <w:pPr>
                    <w:pStyle w:val="26"/>
                    <w:bidi w:val="0"/>
                    <w:jc w:val="center"/>
                    <w:rPr>
                      <w:rFonts w:hint="default"/>
                      <w:u w:val="single"/>
                      <w:lang w:val="en-US"/>
                    </w:rPr>
                  </w:pPr>
                  <w:r>
                    <w:rPr>
                      <w:rFonts w:hint="eastAsia"/>
                      <w:u w:val="single"/>
                      <w:lang w:val="en-US" w:eastAsia="zh-CN"/>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u w:val="single"/>
                    </w:rPr>
                    <w:t>甲醇</w:t>
                  </w:r>
                </w:p>
              </w:tc>
              <w:tc>
                <w:tcPr>
                  <w:tcW w:w="1088" w:type="pct"/>
                  <w:noWrap w:val="0"/>
                  <w:vAlign w:val="center"/>
                </w:tcPr>
                <w:p>
                  <w:pPr>
                    <w:pStyle w:val="26"/>
                    <w:bidi w:val="0"/>
                    <w:jc w:val="center"/>
                    <w:rPr>
                      <w:rFonts w:hint="default"/>
                      <w:u w:val="single"/>
                      <w:lang w:val="en-US"/>
                    </w:rPr>
                  </w:pPr>
                  <w:r>
                    <w:rPr>
                      <w:rFonts w:hint="eastAsia"/>
                      <w:u w:val="single"/>
                      <w:lang w:val="en-US" w:eastAsia="zh-CN"/>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Merge w:val="continue"/>
                  <w:noWrap w:val="0"/>
                  <w:vAlign w:val="center"/>
                </w:tcPr>
                <w:p>
                  <w:pPr>
                    <w:pStyle w:val="26"/>
                    <w:jc w:val="center"/>
                    <w:rPr>
                      <w:rFonts w:hint="eastAsia"/>
                      <w:u w:val="single"/>
                    </w:rPr>
                  </w:pPr>
                </w:p>
              </w:tc>
              <w:tc>
                <w:tcPr>
                  <w:tcW w:w="1583" w:type="pct"/>
                  <w:vMerge w:val="continue"/>
                  <w:noWrap w:val="0"/>
                  <w:vAlign w:val="center"/>
                </w:tcPr>
                <w:p>
                  <w:pPr>
                    <w:pStyle w:val="26"/>
                    <w:jc w:val="center"/>
                    <w:rPr>
                      <w:rFonts w:hint="eastAsia"/>
                      <w:u w:val="single"/>
                    </w:rPr>
                  </w:pPr>
                </w:p>
              </w:tc>
              <w:tc>
                <w:tcPr>
                  <w:tcW w:w="1702" w:type="pct"/>
                  <w:noWrap w:val="0"/>
                  <w:vAlign w:val="center"/>
                </w:tcPr>
                <w:p>
                  <w:pPr>
                    <w:pStyle w:val="26"/>
                    <w:bidi w:val="0"/>
                    <w:jc w:val="center"/>
                    <w:rPr>
                      <w:rFonts w:hint="eastAsia"/>
                      <w:u w:val="single"/>
                    </w:rPr>
                  </w:pPr>
                  <w:r>
                    <w:rPr>
                      <w:rFonts w:hint="eastAsia"/>
                      <w:u w:val="single"/>
                      <w:lang w:val="en-US" w:eastAsia="zh-CN"/>
                    </w:rPr>
                    <w:t>乙腈</w:t>
                  </w:r>
                </w:p>
              </w:tc>
              <w:tc>
                <w:tcPr>
                  <w:tcW w:w="1088" w:type="pct"/>
                  <w:noWrap w:val="0"/>
                  <w:vAlign w:val="center"/>
                </w:tcPr>
                <w:p>
                  <w:pPr>
                    <w:pStyle w:val="26"/>
                    <w:bidi w:val="0"/>
                    <w:jc w:val="center"/>
                    <w:rPr>
                      <w:rFonts w:hint="default"/>
                      <w:u w:val="single"/>
                      <w:lang w:val="en-US"/>
                    </w:rPr>
                  </w:pPr>
                  <w:r>
                    <w:rPr>
                      <w:rFonts w:hint="eastAsia"/>
                      <w:u w:val="single"/>
                      <w:lang w:val="en-US" w:eastAsia="zh-CN"/>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08" w:type="pct"/>
                  <w:gridSpan w:val="2"/>
                  <w:vMerge w:val="restart"/>
                  <w:noWrap w:val="0"/>
                  <w:vAlign w:val="center"/>
                </w:tcPr>
                <w:p>
                  <w:pPr>
                    <w:pStyle w:val="26"/>
                    <w:jc w:val="center"/>
                    <w:rPr>
                      <w:rFonts w:hint="eastAsia"/>
                    </w:rPr>
                  </w:pPr>
                  <w:r>
                    <w:rPr>
                      <w:rFonts w:hint="eastAsia"/>
                    </w:rPr>
                    <w:t>公用工程</w:t>
                  </w:r>
                </w:p>
              </w:tc>
              <w:tc>
                <w:tcPr>
                  <w:tcW w:w="1702" w:type="pct"/>
                  <w:noWrap w:val="0"/>
                  <w:vAlign w:val="center"/>
                </w:tcPr>
                <w:p>
                  <w:pPr>
                    <w:pStyle w:val="26"/>
                    <w:jc w:val="center"/>
                    <w:rPr>
                      <w:rFonts w:hint="eastAsia"/>
                    </w:rPr>
                  </w:pPr>
                  <w:r>
                    <w:rPr>
                      <w:rFonts w:hint="eastAsia"/>
                    </w:rPr>
                    <w:t>水</w:t>
                  </w:r>
                </w:p>
              </w:tc>
              <w:tc>
                <w:tcPr>
                  <w:tcW w:w="1088" w:type="pct"/>
                  <w:noWrap w:val="0"/>
                  <w:vAlign w:val="center"/>
                </w:tcPr>
                <w:p>
                  <w:pPr>
                    <w:pStyle w:val="26"/>
                    <w:jc w:val="center"/>
                    <w:rPr>
                      <w:rFonts w:hint="eastAsia"/>
                    </w:rPr>
                  </w:pPr>
                  <w:r>
                    <w:rPr>
                      <w:rFonts w:hint="eastAsia"/>
                    </w:rPr>
                    <w:t>42361t/a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08" w:type="pct"/>
                  <w:gridSpan w:val="2"/>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电</w:t>
                  </w:r>
                </w:p>
              </w:tc>
              <w:tc>
                <w:tcPr>
                  <w:tcW w:w="1088" w:type="pct"/>
                  <w:noWrap w:val="0"/>
                  <w:vAlign w:val="center"/>
                </w:tcPr>
                <w:p>
                  <w:pPr>
                    <w:pStyle w:val="26"/>
                    <w:jc w:val="center"/>
                    <w:rPr>
                      <w:rFonts w:hint="eastAsia"/>
                    </w:rPr>
                  </w:pPr>
                  <w:r>
                    <w:rPr>
                      <w:rFonts w:hint="eastAsia"/>
                    </w:rPr>
                    <w:t>20wkwh/a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08" w:type="pct"/>
                  <w:gridSpan w:val="2"/>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蒸汽</w:t>
                  </w:r>
                </w:p>
              </w:tc>
              <w:tc>
                <w:tcPr>
                  <w:tcW w:w="1088" w:type="pct"/>
                  <w:noWrap w:val="0"/>
                  <w:vAlign w:val="center"/>
                </w:tcPr>
                <w:p>
                  <w:pPr>
                    <w:pStyle w:val="26"/>
                    <w:jc w:val="center"/>
                  </w:pPr>
                  <w:r>
                    <w:rPr>
                      <w:rFonts w:hint="eastAsia"/>
                    </w:rPr>
                    <w:t>30万m</w:t>
                  </w:r>
                  <w:r>
                    <w:rPr>
                      <w:rFonts w:hint="eastAsia"/>
                      <w:vertAlign w:val="superscript"/>
                    </w:rPr>
                    <w:t>3</w:t>
                  </w:r>
                  <w:r>
                    <w:rPr>
                      <w:rFonts w:hint="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08" w:type="pct"/>
                  <w:gridSpan w:val="2"/>
                  <w:vMerge w:val="continue"/>
                  <w:noWrap w:val="0"/>
                  <w:vAlign w:val="center"/>
                </w:tcPr>
                <w:p>
                  <w:pPr>
                    <w:pStyle w:val="26"/>
                    <w:jc w:val="center"/>
                    <w:rPr>
                      <w:rFonts w:hint="eastAsia"/>
                    </w:rPr>
                  </w:pPr>
                </w:p>
              </w:tc>
              <w:tc>
                <w:tcPr>
                  <w:tcW w:w="1702" w:type="pct"/>
                  <w:noWrap w:val="0"/>
                  <w:vAlign w:val="center"/>
                </w:tcPr>
                <w:p>
                  <w:pPr>
                    <w:pStyle w:val="26"/>
                    <w:jc w:val="center"/>
                    <w:rPr>
                      <w:rFonts w:hint="eastAsia"/>
                    </w:rPr>
                  </w:pPr>
                  <w:r>
                    <w:rPr>
                      <w:rFonts w:hint="eastAsia"/>
                    </w:rPr>
                    <w:t>乙醇（消毒用）</w:t>
                  </w:r>
                </w:p>
              </w:tc>
              <w:tc>
                <w:tcPr>
                  <w:tcW w:w="1088" w:type="pct"/>
                  <w:noWrap w:val="0"/>
                  <w:vAlign w:val="center"/>
                </w:tcPr>
                <w:p>
                  <w:pPr>
                    <w:pStyle w:val="26"/>
                    <w:jc w:val="center"/>
                  </w:pPr>
                  <w:r>
                    <w:rPr>
                      <w:rFonts w:hint="eastAsia"/>
                    </w:rPr>
                    <w:t>0.6t/a</w:t>
                  </w:r>
                </w:p>
              </w:tc>
            </w:tr>
          </w:tbl>
          <w:p>
            <w:pPr>
              <w:pStyle w:val="27"/>
              <w:bidi w:val="0"/>
              <w:rPr>
                <w:rFonts w:hint="default"/>
                <w:lang w:val="en-US" w:eastAsia="zh-CN"/>
              </w:rPr>
            </w:pPr>
            <w:r>
              <w:rPr>
                <w:rFonts w:hint="default"/>
                <w:lang w:val="en-US" w:eastAsia="zh-CN"/>
              </w:rPr>
              <w:t>表2-</w:t>
            </w:r>
            <w:r>
              <w:rPr>
                <w:rFonts w:hint="eastAsia"/>
                <w:lang w:val="en-US" w:eastAsia="zh-CN"/>
              </w:rPr>
              <w:t xml:space="preserve">9 </w:t>
            </w:r>
            <w:r>
              <w:rPr>
                <w:rFonts w:hint="default"/>
                <w:lang w:val="en-US" w:eastAsia="zh-CN"/>
              </w:rPr>
              <w:t xml:space="preserve"> </w:t>
            </w:r>
            <w:r>
              <w:rPr>
                <w:rFonts w:hint="eastAsia"/>
                <w:lang w:val="en-US" w:eastAsia="zh-CN"/>
              </w:rPr>
              <w:t>项目主要原辅材料理化性质</w:t>
            </w:r>
            <w:r>
              <w:rPr>
                <w:rFonts w:hint="default"/>
                <w:lang w:val="en-US" w:eastAsia="zh-CN"/>
              </w:rPr>
              <w:t>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6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434" w:type="dxa"/>
                  <w:noWrap w:val="0"/>
                  <w:vAlign w:val="center"/>
                </w:tcPr>
                <w:p>
                  <w:pPr>
                    <w:pStyle w:val="26"/>
                    <w:bidi w:val="0"/>
                    <w:jc w:val="center"/>
                    <w:rPr>
                      <w:rFonts w:hint="eastAsia"/>
                      <w:b/>
                      <w:bCs/>
                      <w:lang w:val="en-US" w:eastAsia="zh-CN"/>
                    </w:rPr>
                  </w:pPr>
                  <w:r>
                    <w:rPr>
                      <w:rFonts w:hint="eastAsia"/>
                      <w:b/>
                      <w:bCs/>
                      <w:lang w:val="en-US" w:eastAsia="zh-CN"/>
                    </w:rPr>
                    <w:t>原料名称</w:t>
                  </w:r>
                </w:p>
              </w:tc>
              <w:tc>
                <w:tcPr>
                  <w:tcW w:w="6740" w:type="dxa"/>
                  <w:noWrap w:val="0"/>
                  <w:vAlign w:val="center"/>
                </w:tcPr>
                <w:p>
                  <w:pPr>
                    <w:pStyle w:val="26"/>
                    <w:bidi w:val="0"/>
                    <w:jc w:val="center"/>
                    <w:rPr>
                      <w:rFonts w:hint="eastAsia"/>
                      <w:b/>
                      <w:bCs/>
                      <w:lang w:val="en-US" w:eastAsia="zh-CN"/>
                    </w:rPr>
                  </w:pPr>
                  <w:r>
                    <w:rPr>
                      <w:rFonts w:hint="eastAsia"/>
                      <w:b/>
                      <w:bCs/>
                      <w:lang w:val="en-US"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氟马西尼</w:t>
                  </w:r>
                </w:p>
              </w:tc>
              <w:tc>
                <w:tcPr>
                  <w:tcW w:w="6740" w:type="dxa"/>
                  <w:noWrap w:val="0"/>
                  <w:vAlign w:val="center"/>
                </w:tcPr>
                <w:p>
                  <w:pPr>
                    <w:pStyle w:val="26"/>
                    <w:bidi w:val="0"/>
                    <w:jc w:val="center"/>
                    <w:rPr>
                      <w:rFonts w:hint="default"/>
                      <w:lang w:val="en-US" w:eastAsia="zh-CN"/>
                    </w:rPr>
                  </w:pPr>
                  <w:r>
                    <w:rPr>
                      <w:rFonts w:hint="eastAsia"/>
                      <w:lang w:val="en-US" w:eastAsia="zh-CN"/>
                    </w:rPr>
                    <w:t>化学式C15H14FN303，分子量303.29，熔点为198-202°C，融时同时分解，在三氯甲烷或冰醋酸中易溶，在甲醇中略溶，在水中几乎不溶，为白色或类白色结晶性粉末，无臭。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冰醋酸</w:t>
                  </w:r>
                </w:p>
              </w:tc>
              <w:tc>
                <w:tcPr>
                  <w:tcW w:w="6740" w:type="dxa"/>
                  <w:noWrap w:val="0"/>
                  <w:vAlign w:val="center"/>
                </w:tcPr>
                <w:p>
                  <w:pPr>
                    <w:pStyle w:val="26"/>
                    <w:bidi w:val="0"/>
                    <w:jc w:val="center"/>
                    <w:rPr>
                      <w:rFonts w:hint="eastAsia"/>
                      <w:lang w:val="en-US" w:eastAsia="zh-CN"/>
                    </w:rPr>
                  </w:pPr>
                  <w:r>
                    <w:rPr>
                      <w:rFonts w:hint="eastAsia"/>
                      <w:lang w:val="en-US" w:eastAsia="zh-CN"/>
                    </w:rPr>
                    <w:t>分子式：C2H4O2；CH3COOH，分子量：60.05(按1985年国际原子量)，密度：1.0492，沸点：117.9℃，与乙醇、苯和乙醚混溶，不溶于二硫化碳。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氯化钠（供注射用）</w:t>
                  </w:r>
                </w:p>
              </w:tc>
              <w:tc>
                <w:tcPr>
                  <w:tcW w:w="6740" w:type="dxa"/>
                  <w:noWrap w:val="0"/>
                  <w:vAlign w:val="center"/>
                </w:tcPr>
                <w:p>
                  <w:pPr>
                    <w:pStyle w:val="26"/>
                    <w:bidi w:val="0"/>
                    <w:jc w:val="center"/>
                    <w:rPr>
                      <w:rFonts w:hint="eastAsia"/>
                      <w:lang w:val="en-US" w:eastAsia="zh-CN"/>
                    </w:rPr>
                  </w:pPr>
                  <w:r>
                    <w:rPr>
                      <w:rFonts w:hint="eastAsia"/>
                      <w:lang w:val="en-US" w:eastAsia="zh-CN"/>
                    </w:rPr>
                    <w:t>无色的澄明液体；味微咸，分子</w:t>
                  </w:r>
                  <w:r>
                    <w:rPr>
                      <w:rFonts w:hint="eastAsia" w:ascii="Times New Roman" w:hAnsi="Times New Roman" w:eastAsia="宋体" w:cs="Times New Roman"/>
                      <w:lang w:val="en-US" w:eastAsia="zh-CN"/>
                    </w:rPr>
                    <w:t>量58.4428，化学式NaCl，密度2.165 g/cm³，易溶于水，水中溶解度35.9g。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依地酸二钠（供注射用）</w:t>
                  </w:r>
                </w:p>
              </w:tc>
              <w:tc>
                <w:tcPr>
                  <w:tcW w:w="6740" w:type="dxa"/>
                  <w:noWrap w:val="0"/>
                  <w:vAlign w:val="center"/>
                </w:tcPr>
                <w:p>
                  <w:pPr>
                    <w:pStyle w:val="26"/>
                    <w:bidi w:val="0"/>
                    <w:jc w:val="center"/>
                    <w:rPr>
                      <w:rFonts w:hint="default"/>
                      <w:lang w:val="en-US" w:eastAsia="zh-CN"/>
                    </w:rPr>
                  </w:pPr>
                  <w:r>
                    <w:rPr>
                      <w:rFonts w:hint="default"/>
                      <w:lang w:val="en-US" w:eastAsia="zh-CN"/>
                    </w:rPr>
                    <w:t>化学式为C10H14N2Na2O8，分子量为336.206</w:t>
                  </w:r>
                  <w:r>
                    <w:rPr>
                      <w:rFonts w:hint="eastAsia"/>
                      <w:lang w:val="en-US" w:eastAsia="zh-CN"/>
                    </w:rPr>
                    <w:t>，为无味无臭或微咸的白色或乳白色结晶或颗粒状粉末，无臭、无味。它能溶于水，极难溶于乙醇。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氢氧化钠</w:t>
                  </w:r>
                </w:p>
              </w:tc>
              <w:tc>
                <w:tcPr>
                  <w:tcW w:w="6740" w:type="dxa"/>
                  <w:noWrap w:val="0"/>
                  <w:vAlign w:val="center"/>
                </w:tcPr>
                <w:p>
                  <w:pPr>
                    <w:pStyle w:val="26"/>
                    <w:bidi w:val="0"/>
                    <w:jc w:val="center"/>
                    <w:rPr>
                      <w:rFonts w:hint="eastAsia"/>
                      <w:lang w:val="en-US" w:eastAsia="zh-CN"/>
                    </w:rPr>
                  </w:pPr>
                  <w:r>
                    <w:rPr>
                      <w:rFonts w:hint="eastAsia"/>
                      <w:lang w:val="en-US" w:eastAsia="zh-CN"/>
                    </w:rPr>
                    <w:t>也称苛性钠、烧碱、火碱、片碱，是一种无机化合物，化学式NaOH，相对分子量为39.9970，具有强碱性，腐蚀性极强，可作酸中和剂、配合掩蔽剂、沉淀剂、沉淀掩蔽剂、显色剂、皂化剂、去皮剂、洗涤剂等，用途非常广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盐酸利多卡因</w:t>
                  </w:r>
                </w:p>
              </w:tc>
              <w:tc>
                <w:tcPr>
                  <w:tcW w:w="6740" w:type="dxa"/>
                  <w:noWrap w:val="0"/>
                  <w:vAlign w:val="center"/>
                </w:tcPr>
                <w:p>
                  <w:pPr>
                    <w:pStyle w:val="26"/>
                    <w:bidi w:val="0"/>
                    <w:jc w:val="center"/>
                    <w:rPr>
                      <w:rFonts w:hint="eastAsia"/>
                      <w:lang w:val="en-US" w:eastAsia="zh-CN"/>
                    </w:rPr>
                  </w:pPr>
                  <w:r>
                    <w:rPr>
                      <w:rFonts w:hint="eastAsia"/>
                      <w:lang w:val="en-US" w:eastAsia="zh-CN"/>
                    </w:rPr>
                    <w:t>是一种有机化合物，化学式为C14H23ClN2O，分子量：270.798，熔点：80-82℃，沸点：350.8℃，闪点：166℃，白色结晶性粉末。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滑石粉</w:t>
                  </w:r>
                </w:p>
              </w:tc>
              <w:tc>
                <w:tcPr>
                  <w:tcW w:w="6740" w:type="dxa"/>
                  <w:noWrap w:val="0"/>
                  <w:vAlign w:val="center"/>
                </w:tcPr>
                <w:p>
                  <w:pPr>
                    <w:pStyle w:val="26"/>
                    <w:bidi w:val="0"/>
                    <w:jc w:val="center"/>
                    <w:rPr>
                      <w:rFonts w:hint="eastAsia"/>
                      <w:lang w:val="en-US" w:eastAsia="zh-CN"/>
                    </w:rPr>
                  </w:pPr>
                  <w:r>
                    <w:rPr>
                      <w:rFonts w:hint="eastAsia"/>
                      <w:lang w:val="en-US" w:eastAsia="zh-CN"/>
                    </w:rPr>
                    <w:t>用于医药、食品行业的添加剂。特点：具有无毒、无味、白色度高，可容性好、光泽度强、口味柔软、光滑度强特点，分子式为Mg3[Si4O10](OH)2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氯化钾</w:t>
                  </w:r>
                </w:p>
              </w:tc>
              <w:tc>
                <w:tcPr>
                  <w:tcW w:w="6740" w:type="dxa"/>
                  <w:noWrap w:val="0"/>
                  <w:vAlign w:val="center"/>
                </w:tcPr>
                <w:p>
                  <w:pPr>
                    <w:pStyle w:val="26"/>
                    <w:bidi w:val="0"/>
                    <w:jc w:val="center"/>
                    <w:rPr>
                      <w:rFonts w:hint="eastAsia"/>
                      <w:lang w:val="en-US" w:eastAsia="zh-CN"/>
                    </w:rPr>
                  </w:pPr>
                  <w:r>
                    <w:rPr>
                      <w:rFonts w:hint="eastAsia"/>
                      <w:lang w:val="en-US" w:eastAsia="zh-CN"/>
                    </w:rPr>
                    <w:t>是一种无机化合物，化学式为KCl，外观如同食盐，无臭、味咸。常用于低钠盐、矿物质水的添加剂。氯化钾是临床常用的电解质平衡调节药，分子量74.551，密度1.98 g/cm³。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硼酸</w:t>
                  </w:r>
                </w:p>
              </w:tc>
              <w:tc>
                <w:tcPr>
                  <w:tcW w:w="6740" w:type="dxa"/>
                  <w:noWrap w:val="0"/>
                  <w:vAlign w:val="center"/>
                </w:tcPr>
                <w:p>
                  <w:pPr>
                    <w:pStyle w:val="26"/>
                    <w:bidi w:val="0"/>
                    <w:jc w:val="center"/>
                    <w:rPr>
                      <w:rFonts w:hint="eastAsia"/>
                      <w:lang w:val="en-US" w:eastAsia="zh-CN"/>
                    </w:rPr>
                  </w:pPr>
                  <w:r>
                    <w:rPr>
                      <w:rFonts w:hint="eastAsia"/>
                      <w:lang w:val="en-US" w:eastAsia="zh-CN"/>
                    </w:rPr>
                    <w:t>是一种无机化合物，化学式为H3BO3，为白色结晶性粉末，有滑腻手感，无气味。可以用于生产卫生用品及药品中。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枸橼酸</w:t>
                  </w:r>
                </w:p>
              </w:tc>
              <w:tc>
                <w:tcPr>
                  <w:tcW w:w="6740" w:type="dxa"/>
                  <w:noWrap w:val="0"/>
                  <w:vAlign w:val="center"/>
                </w:tcPr>
                <w:p>
                  <w:pPr>
                    <w:pStyle w:val="26"/>
                    <w:bidi w:val="0"/>
                    <w:jc w:val="center"/>
                    <w:rPr>
                      <w:rFonts w:hint="eastAsia"/>
                      <w:lang w:val="en-US" w:eastAsia="zh-CN"/>
                    </w:rPr>
                  </w:pPr>
                  <w:r>
                    <w:rPr>
                      <w:rFonts w:hint="eastAsia"/>
                      <w:lang w:val="en-US" w:eastAsia="zh-CN"/>
                    </w:rPr>
                    <w:t>外观与性状：白色结晶粉末，无臭。熔点(℃)：153，沸点(℃)：(分解)，相对密度(水=1)；1.6650，熔点(℃)：100，引燃温度(℃)：10(粉末)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枸橼酸钠</w:t>
                  </w:r>
                </w:p>
              </w:tc>
              <w:tc>
                <w:tcPr>
                  <w:tcW w:w="6740" w:type="dxa"/>
                  <w:noWrap w:val="0"/>
                  <w:vAlign w:val="center"/>
                </w:tcPr>
                <w:p>
                  <w:pPr>
                    <w:pStyle w:val="26"/>
                    <w:bidi w:val="0"/>
                    <w:jc w:val="center"/>
                    <w:rPr>
                      <w:rFonts w:hint="eastAsia" w:eastAsia="宋体"/>
                      <w:lang w:val="en-US" w:eastAsia="zh-CN"/>
                    </w:rPr>
                  </w:pPr>
                  <w:r>
                    <w:rPr>
                      <w:rFonts w:hint="eastAsia"/>
                      <w:lang w:val="en-US" w:eastAsia="zh-CN"/>
                    </w:rPr>
                    <w:t>是一种有机酸钠盐。外观为白色到无色晶体，有凉咸味，在空气中稳定。化学式为C6H5Na3O7，溶于水，难溶于乙醇，水溶液具有微碱性，常用作缓冲剂、络合剂。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乳糖</w:t>
                  </w:r>
                </w:p>
              </w:tc>
              <w:tc>
                <w:tcPr>
                  <w:tcW w:w="6740" w:type="dxa"/>
                  <w:noWrap w:val="0"/>
                  <w:vAlign w:val="center"/>
                </w:tcPr>
                <w:p>
                  <w:pPr>
                    <w:pStyle w:val="26"/>
                    <w:bidi w:val="0"/>
                    <w:jc w:val="center"/>
                    <w:rPr>
                      <w:rFonts w:hint="eastAsia"/>
                      <w:lang w:val="en-US" w:eastAsia="zh-CN"/>
                    </w:rPr>
                  </w:pPr>
                  <w:r>
                    <w:rPr>
                      <w:rFonts w:hint="eastAsia"/>
                      <w:lang w:val="en-US" w:eastAsia="zh-CN"/>
                    </w:rPr>
                    <w:t>白色结晶或结晶性粉末。味甜，甜度约为蔗糖的70%。无臭或略有特征性气味。相对密度d4201.525(含水物)。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聚维酮</w:t>
                  </w:r>
                </w:p>
              </w:tc>
              <w:tc>
                <w:tcPr>
                  <w:tcW w:w="6740" w:type="dxa"/>
                  <w:noWrap w:val="0"/>
                  <w:vAlign w:val="center"/>
                </w:tcPr>
                <w:p>
                  <w:pPr>
                    <w:pStyle w:val="26"/>
                    <w:bidi w:val="0"/>
                    <w:jc w:val="center"/>
                    <w:rPr>
                      <w:rFonts w:hint="eastAsia"/>
                      <w:lang w:val="en-US" w:eastAsia="zh-CN"/>
                    </w:rPr>
                  </w:pPr>
                  <w:r>
                    <w:rPr>
                      <w:rFonts w:hint="eastAsia"/>
                      <w:lang w:val="en-US" w:eastAsia="zh-CN"/>
                    </w:rPr>
                    <w:t>聚维酮是一种有机化合物，分子式为（C6H9NO）n，白色至乳白色粉末；无臭或稍有特臭﹐无味。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交联羧甲纤维素钠</w:t>
                  </w:r>
                </w:p>
              </w:tc>
              <w:tc>
                <w:tcPr>
                  <w:tcW w:w="6740" w:type="dxa"/>
                  <w:noWrap w:val="0"/>
                  <w:vAlign w:val="center"/>
                </w:tcPr>
                <w:p>
                  <w:pPr>
                    <w:pStyle w:val="26"/>
                    <w:bidi w:val="0"/>
                    <w:jc w:val="center"/>
                    <w:rPr>
                      <w:rFonts w:hint="eastAsia"/>
                      <w:lang w:val="en-US" w:eastAsia="zh-CN"/>
                    </w:rPr>
                  </w:pPr>
                  <w:r>
                    <w:rPr>
                      <w:rFonts w:hint="eastAsia"/>
                      <w:lang w:val="en-US" w:eastAsia="zh-CN"/>
                    </w:rPr>
                    <w:t>交联羧甲基纤维素钠为无味，白色或灰白色粉末。在片剂、胶囊剂和颗粒剂中用作崩解剂，通常被视为基本无毒、无刺激性的辅料。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微晶纤维素</w:t>
                  </w:r>
                </w:p>
              </w:tc>
              <w:tc>
                <w:tcPr>
                  <w:tcW w:w="6740" w:type="dxa"/>
                  <w:noWrap w:val="0"/>
                  <w:vAlign w:val="center"/>
                </w:tcPr>
                <w:p>
                  <w:pPr>
                    <w:pStyle w:val="26"/>
                    <w:bidi w:val="0"/>
                    <w:jc w:val="center"/>
                    <w:rPr>
                      <w:rFonts w:hint="eastAsia"/>
                      <w:lang w:val="en-US" w:eastAsia="zh-CN"/>
                    </w:rPr>
                  </w:pPr>
                  <w:r>
                    <w:rPr>
                      <w:rFonts w:hint="eastAsia"/>
                      <w:lang w:val="en-US" w:eastAsia="zh-CN"/>
                    </w:rPr>
                    <w:t>颗粒大小一般在20~ 80μm，极限聚合度（LODP）在15~ 375，不具纤维性而流动性极强。不溶于水、稀酸、有机溶剂和油脂，在稀碱溶液中部分溶解、润涨，在羧甲基化、乙酰化、酯化过程中具有较高的反应性能。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硬脂酸镁</w:t>
                  </w:r>
                </w:p>
              </w:tc>
              <w:tc>
                <w:tcPr>
                  <w:tcW w:w="6740" w:type="dxa"/>
                  <w:noWrap w:val="0"/>
                  <w:vAlign w:val="center"/>
                </w:tcPr>
                <w:p>
                  <w:pPr>
                    <w:pStyle w:val="26"/>
                    <w:bidi w:val="0"/>
                    <w:jc w:val="center"/>
                    <w:rPr>
                      <w:rFonts w:hint="eastAsia"/>
                      <w:lang w:val="en-US" w:eastAsia="zh-CN"/>
                    </w:rPr>
                  </w:pPr>
                  <w:r>
                    <w:rPr>
                      <w:rFonts w:hint="eastAsia"/>
                      <w:lang w:val="en-US" w:eastAsia="zh-CN"/>
                    </w:rPr>
                    <w:t>化学式为C36H70MgO4，分子量为591.24，是一种有机化合物，为白色无砂性的细粉，与皮肤接触有滑腻感。在水、乙醇或乙醚中不溶，主要用作润滑剂、抗粘剂、助流剂。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羟丙纤维素</w:t>
                  </w:r>
                </w:p>
              </w:tc>
              <w:tc>
                <w:tcPr>
                  <w:tcW w:w="6740" w:type="dxa"/>
                  <w:noWrap w:val="0"/>
                  <w:vAlign w:val="center"/>
                </w:tcPr>
                <w:p>
                  <w:pPr>
                    <w:pStyle w:val="26"/>
                    <w:bidi w:val="0"/>
                    <w:jc w:val="center"/>
                    <w:rPr>
                      <w:rFonts w:hint="eastAsia"/>
                      <w:lang w:val="en-US" w:eastAsia="zh-CN"/>
                    </w:rPr>
                  </w:pPr>
                  <w:r>
                    <w:rPr>
                      <w:rFonts w:hint="eastAsia"/>
                      <w:lang w:val="en-US" w:eastAsia="zh-CN"/>
                    </w:rPr>
                    <w:t>本品为白色或类白色粉末；无臭，无味。 本品在水或乙醇中溶胀成胶体溶液；在乙醚中几乎不溶。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低取代羟丙纤维素</w:t>
                  </w:r>
                </w:p>
              </w:tc>
              <w:tc>
                <w:tcPr>
                  <w:tcW w:w="6740" w:type="dxa"/>
                  <w:noWrap w:val="0"/>
                  <w:vAlign w:val="center"/>
                </w:tcPr>
                <w:p>
                  <w:pPr>
                    <w:pStyle w:val="26"/>
                    <w:bidi w:val="0"/>
                    <w:jc w:val="center"/>
                    <w:rPr>
                      <w:rFonts w:hint="eastAsia"/>
                      <w:lang w:val="en-US" w:eastAsia="zh-CN"/>
                    </w:rPr>
                  </w:pPr>
                  <w:r>
                    <w:rPr>
                      <w:rFonts w:hint="eastAsia"/>
                      <w:lang w:val="en-US" w:eastAsia="zh-CN"/>
                    </w:rPr>
                    <w:t>羟丙基纤维素是一种半人工合成有机化合物。它是一种白色或类白色粉末，常温下难溶于苯和乙醚，溶于水、甲醇、乙醇、异丙醇等极性有机溶剂。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乙醇</w:t>
                  </w:r>
                </w:p>
              </w:tc>
              <w:tc>
                <w:tcPr>
                  <w:tcW w:w="6740" w:type="dxa"/>
                  <w:noWrap w:val="0"/>
                  <w:vAlign w:val="center"/>
                </w:tcPr>
                <w:p>
                  <w:pPr>
                    <w:pStyle w:val="26"/>
                    <w:bidi w:val="0"/>
                    <w:jc w:val="center"/>
                    <w:rPr>
                      <w:rFonts w:hint="eastAsia"/>
                      <w:lang w:val="en-US" w:eastAsia="zh-CN"/>
                    </w:rPr>
                  </w:pPr>
                  <w:r>
                    <w:rPr>
                      <w:rFonts w:hint="eastAsia"/>
                      <w:lang w:val="en-US" w:eastAsia="zh-CN"/>
                    </w:rPr>
                    <w:t>乙醇(Ethyl Alcohol)，俗称酒精、火酒，是醇类化合物的一种，化学式为C2H6O，结构简式为CH3CH2OH或C2H5OH。乙醇燃烧性很好，是常用的燃料、溶剂和消毒剂等，在有机合成中应用广泛。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甘露醇</w:t>
                  </w:r>
                </w:p>
              </w:tc>
              <w:tc>
                <w:tcPr>
                  <w:tcW w:w="6740" w:type="dxa"/>
                  <w:noWrap w:val="0"/>
                  <w:vAlign w:val="center"/>
                </w:tcPr>
                <w:p>
                  <w:pPr>
                    <w:pStyle w:val="26"/>
                    <w:bidi w:val="0"/>
                    <w:jc w:val="center"/>
                    <w:rPr>
                      <w:rFonts w:hint="eastAsia"/>
                      <w:lang w:val="en-US" w:eastAsia="zh-CN"/>
                    </w:rPr>
                  </w:pPr>
                  <w:r>
                    <w:rPr>
                      <w:rFonts w:hint="eastAsia"/>
                      <w:lang w:val="en-US" w:eastAsia="zh-CN"/>
                    </w:rPr>
                    <w:t>又称木蜜醇，化学式为C6H14O6，是一种白色结晶固体，属于己六醇类物质，是一种常用的脱水剂，具有利尿作用，同时也可用作甜味剂。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琥珀酸</w:t>
                  </w:r>
                </w:p>
              </w:tc>
              <w:tc>
                <w:tcPr>
                  <w:tcW w:w="6740" w:type="dxa"/>
                  <w:noWrap w:val="0"/>
                  <w:vAlign w:val="center"/>
                </w:tcPr>
                <w:p>
                  <w:pPr>
                    <w:pStyle w:val="26"/>
                    <w:bidi w:val="0"/>
                    <w:jc w:val="center"/>
                    <w:rPr>
                      <w:rFonts w:hint="eastAsia"/>
                      <w:lang w:val="en-US" w:eastAsia="zh-CN"/>
                    </w:rPr>
                  </w:pPr>
                  <w:r>
                    <w:rPr>
                      <w:rFonts w:hint="eastAsia"/>
                      <w:lang w:val="en-US" w:eastAsia="zh-CN"/>
                    </w:rPr>
                    <w:t>无色结晶；相对密度1.572（25/4℃），熔点188℃，在235℃时分解；在减压下蒸馏可升华；能溶于水，微溶于乙醇、乙醚和丙酮中。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聚乙二醇</w:t>
                  </w:r>
                </w:p>
              </w:tc>
              <w:tc>
                <w:tcPr>
                  <w:tcW w:w="6740" w:type="dxa"/>
                  <w:noWrap w:val="0"/>
                  <w:vAlign w:val="center"/>
                </w:tcPr>
                <w:p>
                  <w:pPr>
                    <w:pStyle w:val="26"/>
                    <w:bidi w:val="0"/>
                    <w:jc w:val="center"/>
                    <w:rPr>
                      <w:rFonts w:hint="eastAsia"/>
                      <w:lang w:val="en-US" w:eastAsia="zh-CN"/>
                    </w:rPr>
                  </w:pPr>
                  <w:r>
                    <w:rPr>
                      <w:rFonts w:hint="eastAsia"/>
                      <w:lang w:val="en-US" w:eastAsia="zh-CN"/>
                    </w:rPr>
                    <w:t>聚乙二醇是一种高分子聚合物，化学式是HO(CH2CH2O)nH，无刺激性，味微苦，具有良好的水溶性，并与许多有机物组分有良好的相溶性。具有优良的润滑性、保湿性、分散性、粘接性，可作为抗静电剂及柔软剂等使用，在化妆品、制药、化纤、橡胶、塑料、造纸、油漆、电镀、农药、金属加工及食品加工等行业中均有着极为广泛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氧化铁红</w:t>
                  </w:r>
                </w:p>
              </w:tc>
              <w:tc>
                <w:tcPr>
                  <w:tcW w:w="6740" w:type="dxa"/>
                  <w:noWrap w:val="0"/>
                  <w:vAlign w:val="center"/>
                </w:tcPr>
                <w:p>
                  <w:pPr>
                    <w:pStyle w:val="26"/>
                    <w:bidi w:val="0"/>
                    <w:jc w:val="center"/>
                    <w:rPr>
                      <w:rFonts w:hint="eastAsia"/>
                      <w:lang w:val="en-US" w:eastAsia="zh-CN"/>
                    </w:rPr>
                  </w:pPr>
                  <w:r>
                    <w:rPr>
                      <w:rFonts w:hint="eastAsia"/>
                      <w:lang w:val="en-US" w:eastAsia="zh-CN"/>
                    </w:rPr>
                    <w:t>（别名铁红，铁锈，氧化铁红、三氧化二铁），是一种无机化合物，化学式为Fe2O3，分子量为159.69 g/mol，红棕色粉末，无臭，是铁氧化物的一种形式。氧化铁不溶于水、有机酸和有机溶剂，溶于盐酸、硫酸，微溶于硝酸。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新橙皮苷二氢查尔酮</w:t>
                  </w:r>
                </w:p>
              </w:tc>
              <w:tc>
                <w:tcPr>
                  <w:tcW w:w="6740" w:type="dxa"/>
                  <w:noWrap w:val="0"/>
                  <w:vAlign w:val="center"/>
                </w:tcPr>
                <w:p>
                  <w:pPr>
                    <w:pStyle w:val="26"/>
                    <w:bidi w:val="0"/>
                    <w:jc w:val="center"/>
                    <w:rPr>
                      <w:rFonts w:hint="eastAsia"/>
                      <w:lang w:val="en-US" w:eastAsia="zh-CN"/>
                    </w:rPr>
                  </w:pPr>
                  <w:r>
                    <w:rPr>
                      <w:rFonts w:hint="eastAsia"/>
                      <w:lang w:val="en-US" w:eastAsia="zh-CN"/>
                    </w:rPr>
                    <w:t>分子式C28H36O15，分子量 612.58，熔点 152-154℃，溶解性 0.2g/L（20℃）、653g/L（80℃），外观白色或微黄粉末结晶。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聚山梨酯20</w:t>
                  </w:r>
                </w:p>
              </w:tc>
              <w:tc>
                <w:tcPr>
                  <w:tcW w:w="6740" w:type="dxa"/>
                  <w:noWrap w:val="0"/>
                  <w:vAlign w:val="center"/>
                </w:tcPr>
                <w:p>
                  <w:pPr>
                    <w:pStyle w:val="26"/>
                    <w:bidi w:val="0"/>
                    <w:jc w:val="center"/>
                    <w:rPr>
                      <w:rFonts w:hint="eastAsia"/>
                      <w:lang w:val="en-US" w:eastAsia="zh-CN"/>
                    </w:rPr>
                  </w:pPr>
                  <w:r>
                    <w:rPr>
                      <w:rFonts w:hint="eastAsia"/>
                      <w:lang w:val="en-US" w:eastAsia="zh-CN"/>
                    </w:rPr>
                    <w:t>淡黄色至黄色的黏稠油状液体；微有特臭，在水、乙醇、甲醇或乙酸乙酯中易溶，在液体石蜡中微溶。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十二烷基硫酸钠</w:t>
                  </w:r>
                </w:p>
              </w:tc>
              <w:tc>
                <w:tcPr>
                  <w:tcW w:w="6740" w:type="dxa"/>
                  <w:noWrap w:val="0"/>
                  <w:vAlign w:val="center"/>
                </w:tcPr>
                <w:p>
                  <w:pPr>
                    <w:pStyle w:val="26"/>
                    <w:bidi w:val="0"/>
                    <w:jc w:val="center"/>
                    <w:rPr>
                      <w:rFonts w:hint="eastAsia"/>
                      <w:lang w:val="en-US" w:eastAsia="zh-CN"/>
                    </w:rPr>
                  </w:pPr>
                  <w:r>
                    <w:rPr>
                      <w:rFonts w:hint="eastAsia"/>
                      <w:lang w:val="en-US" w:eastAsia="zh-CN"/>
                    </w:rPr>
                    <w:t>密度：1.03g/cm</w:t>
                  </w:r>
                  <w:r>
                    <w:rPr>
                      <w:rFonts w:hint="eastAsia"/>
                      <w:vertAlign w:val="superscript"/>
                      <w:lang w:val="en-US" w:eastAsia="zh-CN"/>
                    </w:rPr>
                    <w:t>3</w:t>
                  </w:r>
                  <w:r>
                    <w:rPr>
                      <w:rFonts w:hint="eastAsia"/>
                      <w:lang w:val="en-US" w:eastAsia="zh-CN"/>
                    </w:rPr>
                    <w:t>，熔点：206-207℃，外观：白色或淡黄色粉状，</w:t>
                  </w:r>
                </w:p>
                <w:p>
                  <w:pPr>
                    <w:pStyle w:val="26"/>
                    <w:bidi w:val="0"/>
                    <w:jc w:val="center"/>
                    <w:rPr>
                      <w:rFonts w:hint="eastAsia"/>
                      <w:lang w:val="en-US" w:eastAsia="zh-CN"/>
                    </w:rPr>
                  </w:pPr>
                  <w:r>
                    <w:rPr>
                      <w:rFonts w:hint="eastAsia"/>
                      <w:lang w:val="en-US" w:eastAsia="zh-CN"/>
                    </w:rPr>
                    <w:t>溶解性：易溶于水，微溶于乙醇，几乎不溶于氯仿、乙醚和轻石油。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lang w:val="en-US" w:eastAsia="zh-CN"/>
                    </w:rPr>
                  </w:pPr>
                  <w:r>
                    <w:rPr>
                      <w:rFonts w:hint="eastAsia"/>
                      <w:lang w:val="en-US" w:eastAsia="zh-CN"/>
                    </w:rPr>
                    <w:t>二氧化钛</w:t>
                  </w:r>
                </w:p>
              </w:tc>
              <w:tc>
                <w:tcPr>
                  <w:tcW w:w="6740" w:type="dxa"/>
                  <w:noWrap w:val="0"/>
                  <w:vAlign w:val="center"/>
                </w:tcPr>
                <w:p>
                  <w:pPr>
                    <w:pStyle w:val="26"/>
                    <w:bidi w:val="0"/>
                    <w:jc w:val="center"/>
                    <w:rPr>
                      <w:rFonts w:hint="eastAsia"/>
                      <w:lang w:val="en-US" w:eastAsia="zh-CN"/>
                    </w:rPr>
                  </w:pPr>
                  <w:r>
                    <w:rPr>
                      <w:rFonts w:hint="eastAsia"/>
                      <w:lang w:val="en-US" w:eastAsia="zh-CN"/>
                    </w:rPr>
                    <w:t>是一种无机化合物，化学式为TiO2，为白色固体或粉末状的两性氧化物，分子量79.866，具有稳定的化学性质。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rFonts w:hint="eastAsia"/>
                      <w:u w:val="single"/>
                      <w:lang w:val="en-US" w:eastAsia="zh-CN"/>
                    </w:rPr>
                    <w:t>五氧化二磷</w:t>
                  </w:r>
                </w:p>
              </w:tc>
              <w:tc>
                <w:tcPr>
                  <w:tcW w:w="6740" w:type="dxa"/>
                  <w:noWrap w:val="0"/>
                  <w:vAlign w:val="center"/>
                </w:tcPr>
                <w:p>
                  <w:pPr>
                    <w:pStyle w:val="26"/>
                    <w:bidi w:val="0"/>
                    <w:jc w:val="center"/>
                    <w:rPr>
                      <w:rFonts w:hint="eastAsia"/>
                      <w:u w:val="single"/>
                      <w:lang w:val="en-US" w:eastAsia="zh-CN"/>
                    </w:rPr>
                  </w:pPr>
                  <w:r>
                    <w:rPr>
                      <w:rFonts w:hint="eastAsia"/>
                      <w:u w:val="single"/>
                      <w:lang w:val="en-US" w:eastAsia="zh-CN"/>
                    </w:rPr>
                    <w:t>五氧化二磷(P₂O₅)，磷在氧气中燃烧生成，化学式P₂O₅，分子式P4O10。白色无定形粉末或六方晶体。暴露在空气中极易吸湿而潮解。360℃升华。不燃烧。溶于水产生大量热并生成磷酸，是磷酸的酸酐。对乙醇的反应与水相似。相对密度 2.30。熔点340℃。为酸性氧化物，具有强腐蚀性。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rFonts w:hint="eastAsia"/>
                      <w:u w:val="single"/>
                      <w:lang w:val="en-US" w:eastAsia="zh-CN"/>
                    </w:rPr>
                    <w:t>冰醋酸</w:t>
                  </w:r>
                </w:p>
              </w:tc>
              <w:tc>
                <w:tcPr>
                  <w:tcW w:w="6740" w:type="dxa"/>
                  <w:noWrap w:val="0"/>
                  <w:vAlign w:val="center"/>
                </w:tcPr>
                <w:p>
                  <w:pPr>
                    <w:pStyle w:val="26"/>
                    <w:bidi w:val="0"/>
                    <w:jc w:val="center"/>
                    <w:rPr>
                      <w:rFonts w:hint="eastAsia"/>
                      <w:u w:val="single"/>
                      <w:lang w:val="en-US" w:eastAsia="zh-CN"/>
                    </w:rPr>
                  </w:pPr>
                  <w:r>
                    <w:rPr>
                      <w:rFonts w:hint="eastAsia"/>
                      <w:u w:val="single"/>
                      <w:lang w:val="en-US" w:eastAsia="zh-CN"/>
                    </w:rPr>
                    <w:t>冰醋酸，也叫醋酸、乙酸，化学式CH₃COOH，是一种有机一元酸，为食醋内酸味及刺激性气味的来源。纯的无水乙酸（冰醋酸）是无色的吸湿性液体，凝固点为16.7℃（62℉），凝固后为无色晶体。尽管根据乙酸在水溶液中的解离能力它是一种弱酸，但是乙酸是具有腐蚀性的，其蒸汽对眼和鼻有刺激性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rFonts w:hint="eastAsia"/>
                      <w:u w:val="single"/>
                      <w:lang w:val="en-US" w:eastAsia="zh-CN"/>
                    </w:rPr>
                    <w:t>硫酸铵</w:t>
                  </w:r>
                </w:p>
              </w:tc>
              <w:tc>
                <w:tcPr>
                  <w:tcW w:w="6740" w:type="dxa"/>
                  <w:noWrap w:val="0"/>
                  <w:vAlign w:val="center"/>
                </w:tcPr>
                <w:p>
                  <w:pPr>
                    <w:pStyle w:val="26"/>
                    <w:bidi w:val="0"/>
                    <w:jc w:val="center"/>
                    <w:rPr>
                      <w:rFonts w:hint="eastAsia"/>
                      <w:u w:val="single"/>
                      <w:lang w:val="en-US" w:eastAsia="zh-CN"/>
                    </w:rPr>
                  </w:pPr>
                  <w:r>
                    <w:rPr>
                      <w:rFonts w:hint="eastAsia"/>
                      <w:u w:val="single"/>
                      <w:lang w:val="en-US" w:eastAsia="zh-CN"/>
                    </w:rPr>
                    <w:t>无色结晶或白色颗粒。无气味。280℃以上分解。水中溶解度:0℃时70.6g，100℃时103.8g。不溶于乙醇和丙酮。0.1mol/L水溶液的pH为5.5。相对密度1.77。折光率1.521。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rFonts w:hint="eastAsia"/>
                      <w:u w:val="single"/>
                      <w:lang w:val="en-US" w:eastAsia="zh-CN"/>
                    </w:rPr>
                    <w:t>三氯甲烷</w:t>
                  </w:r>
                </w:p>
              </w:tc>
              <w:tc>
                <w:tcPr>
                  <w:tcW w:w="6740" w:type="dxa"/>
                  <w:noWrap w:val="0"/>
                  <w:vAlign w:val="center"/>
                </w:tcPr>
                <w:p>
                  <w:pPr>
                    <w:pStyle w:val="26"/>
                    <w:bidi w:val="0"/>
                    <w:jc w:val="center"/>
                    <w:rPr>
                      <w:rFonts w:hint="eastAsia"/>
                      <w:u w:val="single"/>
                      <w:lang w:val="en-US" w:eastAsia="zh-CN"/>
                    </w:rPr>
                  </w:pPr>
                  <w:r>
                    <w:rPr>
                      <w:rFonts w:hint="eastAsia"/>
                      <w:u w:val="single"/>
                      <w:lang w:val="en-US" w:eastAsia="zh-CN"/>
                    </w:rPr>
                    <w:t>无色透明液体。有特殊气味。味甜。高折光，不燃，质重，易挥发。纯品对光敏感，遇光照会与空气中的氧作用，逐渐分解而生成剧毒的光气(碳酰氯)和氯化氢。可加入0.6%~1%的乙醇作稳定剂。能与乙醇、苯、乙醚、石油醚、四氯化碳、二硫化碳和油类等混溶、 25℃时1ml溶于200ml水。相对密度1.4840。凝固点-63.5℃。沸点61~62℃。折光率1.4476。低毒，半数致死量(大鼠，经口)1194mg/kg。有麻醉性。有致癌可能性。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rFonts w:hint="eastAsia"/>
                      <w:u w:val="single"/>
                      <w:lang w:val="en-US" w:eastAsia="zh-CN"/>
                    </w:rPr>
                    <w:t>氨水</w:t>
                  </w:r>
                </w:p>
              </w:tc>
              <w:tc>
                <w:tcPr>
                  <w:tcW w:w="6740" w:type="dxa"/>
                  <w:noWrap w:val="0"/>
                  <w:vAlign w:val="center"/>
                </w:tcPr>
                <w:p>
                  <w:pPr>
                    <w:pStyle w:val="26"/>
                    <w:bidi w:val="0"/>
                    <w:jc w:val="center"/>
                    <w:rPr>
                      <w:rFonts w:hint="eastAsia"/>
                      <w:u w:val="single"/>
                      <w:lang w:val="en-US" w:eastAsia="zh-CN"/>
                    </w:rPr>
                  </w:pPr>
                  <w:r>
                    <w:rPr>
                      <w:rFonts w:hint="eastAsia"/>
                      <w:u w:val="single"/>
                      <w:lang w:val="en-US" w:eastAsia="zh-CN"/>
                    </w:rPr>
                    <w:t>氨水又称阿摩尼亚水，主要成分为NH3·H2O，是氨的水溶液，无色透明且具有刺激性气味。氨的熔点-77.773℃，沸点-33.34℃，密度0.91g/cm³。氨气易溶于水、乙醇。易挥发，具有部分碱的通性。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rFonts w:hint="eastAsia"/>
                      <w:u w:val="single"/>
                      <w:lang w:val="en-US" w:eastAsia="zh-CN"/>
                    </w:rPr>
                    <w:t>丙酮</w:t>
                  </w:r>
                </w:p>
              </w:tc>
              <w:tc>
                <w:tcPr>
                  <w:tcW w:w="6740" w:type="dxa"/>
                  <w:noWrap w:val="0"/>
                  <w:vAlign w:val="center"/>
                </w:tcPr>
                <w:p>
                  <w:pPr>
                    <w:pStyle w:val="26"/>
                    <w:bidi w:val="0"/>
                    <w:jc w:val="center"/>
                    <w:rPr>
                      <w:rFonts w:hint="eastAsia"/>
                      <w:u w:val="single"/>
                      <w:lang w:val="en-US" w:eastAsia="zh-CN"/>
                    </w:rPr>
                  </w:pPr>
                  <w:r>
                    <w:rPr>
                      <w:rFonts w:hint="eastAsia"/>
                      <w:u w:val="single"/>
                      <w:lang w:val="en-US" w:eastAsia="zh-CN"/>
                    </w:rPr>
                    <w:t>丙酮(acetone，CH3COCH3)，又名二甲基酮，为最简单的饱和酮。是一种无色透明液体，有特殊的辛辣气味。易溶于水和甲醇、乙醇、乙醚、氯仿、吡啶等有机溶剂。易燃、易挥发，化学性质较活泼。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rFonts w:hint="eastAsia"/>
                      <w:u w:val="single"/>
                      <w:lang w:val="en-US" w:eastAsia="zh-CN"/>
                    </w:rPr>
                    <w:t>硫酸</w:t>
                  </w:r>
                </w:p>
              </w:tc>
              <w:tc>
                <w:tcPr>
                  <w:tcW w:w="6740" w:type="dxa"/>
                  <w:noWrap w:val="0"/>
                  <w:vAlign w:val="center"/>
                </w:tcPr>
                <w:p>
                  <w:pPr>
                    <w:pStyle w:val="26"/>
                    <w:bidi w:val="0"/>
                    <w:jc w:val="center"/>
                    <w:rPr>
                      <w:rFonts w:hint="default"/>
                      <w:u w:val="single"/>
                      <w:lang w:val="en-US" w:eastAsia="zh-CN"/>
                    </w:rPr>
                  </w:pPr>
                  <w:r>
                    <w:rPr>
                      <w:rFonts w:hint="eastAsia"/>
                      <w:u w:val="single"/>
                      <w:lang w:val="en-US" w:eastAsia="zh-CN"/>
                    </w:rPr>
                    <w:t>硫酸(化学式:H</w:t>
                  </w:r>
                  <w:r>
                    <w:rPr>
                      <w:rFonts w:hint="eastAsia"/>
                      <w:u w:val="single"/>
                      <w:vertAlign w:val="subscript"/>
                      <w:lang w:val="en-US" w:eastAsia="zh-CN"/>
                    </w:rPr>
                    <w:t>2</w:t>
                  </w:r>
                  <w:r>
                    <w:rPr>
                      <w:rFonts w:hint="eastAsia"/>
                      <w:u w:val="single"/>
                      <w:lang w:val="en-US" w:eastAsia="zh-CN"/>
                    </w:rPr>
                    <w:t>SO₄)，密度1.8305 g/cm³，透明无色无臭液体，与水任意比互溶，</w:t>
                  </w:r>
                  <w:r>
                    <w:rPr>
                      <w:rFonts w:hint="eastAsia" w:ascii="Times New Roman" w:hAnsi="Times New Roman" w:eastAsia="宋体" w:cs="Times New Roman"/>
                      <w:u w:val="single"/>
                      <w:lang w:val="en-US" w:eastAsia="zh-CN"/>
                    </w:rPr>
                    <w:t>分子量98.078，有强腐蚀性，有刺激性气味，易溶于水。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rFonts w:hint="eastAsia"/>
                      <w:u w:val="single"/>
                      <w:lang w:val="en-US" w:eastAsia="zh-CN"/>
                    </w:rPr>
                    <w:t>正己烷</w:t>
                  </w:r>
                </w:p>
              </w:tc>
              <w:tc>
                <w:tcPr>
                  <w:tcW w:w="6740" w:type="dxa"/>
                  <w:noWrap w:val="0"/>
                  <w:vAlign w:val="center"/>
                </w:tcPr>
                <w:p>
                  <w:pPr>
                    <w:pStyle w:val="26"/>
                    <w:bidi w:val="0"/>
                    <w:jc w:val="center"/>
                    <w:rPr>
                      <w:rFonts w:hint="default"/>
                      <w:u w:val="single"/>
                      <w:lang w:val="en-US" w:eastAsia="zh-CN"/>
                    </w:rPr>
                  </w:pPr>
                  <w:r>
                    <w:rPr>
                      <w:rFonts w:hint="eastAsia"/>
                      <w:u w:val="single"/>
                      <w:lang w:val="en-US" w:eastAsia="zh-CN"/>
                    </w:rPr>
                    <w:t>正己烷，是低毒、有微弱的特殊气味的无色液体，化学式C6H14，密度0.692 g/mL，正己烷是一种化学溶剂，主要用于丙烯等烯烃聚合时的溶剂、食用植物油的提取剂、橡胶和涂料的溶剂以及颜料的稀释剂，具有一定的毒性，会通过呼吸道、皮肤等途径进入人体。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rFonts w:hint="eastAsia"/>
                      <w:u w:val="single"/>
                      <w:lang w:val="en-US" w:eastAsia="zh-CN"/>
                    </w:rPr>
                    <w:t>甲酸</w:t>
                  </w:r>
                </w:p>
              </w:tc>
              <w:tc>
                <w:tcPr>
                  <w:tcW w:w="6740" w:type="dxa"/>
                  <w:noWrap w:val="0"/>
                  <w:vAlign w:val="center"/>
                </w:tcPr>
                <w:p>
                  <w:pPr>
                    <w:pStyle w:val="26"/>
                    <w:bidi w:val="0"/>
                    <w:jc w:val="center"/>
                    <w:rPr>
                      <w:rFonts w:hint="eastAsia"/>
                      <w:u w:val="single"/>
                      <w:lang w:val="en-US" w:eastAsia="zh-CN"/>
                    </w:rPr>
                  </w:pPr>
                  <w:r>
                    <w:rPr>
                      <w:rFonts w:hint="eastAsia"/>
                      <w:u w:val="single"/>
                      <w:lang w:val="en-US" w:eastAsia="zh-CN"/>
                    </w:rPr>
                    <w:t>甲酸，又称作蚁酸，分子式为HCOOH。甲酸无色而有刺激气味，且有腐蚀性，人类皮肤接触后会起泡红肿。甲酸同时具有酸和醛的性质。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u w:val="single"/>
                    </w:rPr>
                    <w:t>盐酸</w:t>
                  </w:r>
                </w:p>
              </w:tc>
              <w:tc>
                <w:tcPr>
                  <w:tcW w:w="6740" w:type="dxa"/>
                  <w:noWrap w:val="0"/>
                  <w:vAlign w:val="center"/>
                </w:tcPr>
                <w:p>
                  <w:pPr>
                    <w:pStyle w:val="26"/>
                    <w:bidi w:val="0"/>
                    <w:jc w:val="center"/>
                    <w:rPr>
                      <w:rFonts w:hint="eastAsia"/>
                      <w:u w:val="single"/>
                      <w:lang w:val="en-US" w:eastAsia="zh-CN"/>
                    </w:rPr>
                  </w:pPr>
                  <w:r>
                    <w:rPr>
                      <w:rFonts w:hint="eastAsia"/>
                      <w:u w:val="single"/>
                      <w:lang w:val="en-US" w:eastAsia="zh-CN"/>
                    </w:rPr>
                    <w:t>盐酸为氯化氢的水溶液,浓盐酸在空气中发烟，有刺激性气味，味酸,能与水及乙醇任意混和，有强烈的腐蚀性，呈强酸性，能与许多金属和金属的氧化物、碱类和大部分盐类起化学作用，能与碱中和，与磷、硫等非金属均无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rFonts w:hint="eastAsia"/>
                      <w:u w:val="single"/>
                      <w:lang w:val="en-US" w:eastAsia="zh-CN"/>
                    </w:rPr>
                    <w:t>硝酸</w:t>
                  </w:r>
                </w:p>
              </w:tc>
              <w:tc>
                <w:tcPr>
                  <w:tcW w:w="6740" w:type="dxa"/>
                  <w:noWrap w:val="0"/>
                  <w:vAlign w:val="center"/>
                </w:tcPr>
                <w:p>
                  <w:pPr>
                    <w:pStyle w:val="26"/>
                    <w:bidi w:val="0"/>
                    <w:jc w:val="center"/>
                    <w:rPr>
                      <w:rFonts w:hint="eastAsia"/>
                      <w:u w:val="single"/>
                      <w:lang w:val="en-US" w:eastAsia="zh-CN"/>
                    </w:rPr>
                  </w:pPr>
                  <w:r>
                    <w:rPr>
                      <w:rFonts w:hint="eastAsia"/>
                      <w:u w:val="single"/>
                      <w:lang w:val="en-US" w:eastAsia="zh-CN"/>
                    </w:rPr>
                    <w:t>硝酸是一种具有强氧化性、腐蚀性的强酸。化学式:HNO</w:t>
                  </w:r>
                  <w:r>
                    <w:rPr>
                      <w:rFonts w:hint="eastAsia"/>
                      <w:u w:val="single"/>
                      <w:vertAlign w:val="subscript"/>
                      <w:lang w:val="en-US" w:eastAsia="zh-CN"/>
                    </w:rPr>
                    <w:t>3</w:t>
                  </w:r>
                  <w:r>
                    <w:rPr>
                      <w:rFonts w:hint="eastAsia"/>
                      <w:u w:val="single"/>
                      <w:lang w:val="en-US" w:eastAsia="zh-CN"/>
                    </w:rPr>
                    <w:t>。熔点:-42℃，沸点:78℃，易溶于水，常温下纯硝酸溶液无色透明。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rFonts w:hint="eastAsia"/>
                      <w:u w:val="single"/>
                      <w:lang w:val="en-US" w:eastAsia="zh-CN"/>
                    </w:rPr>
                    <w:t>甲苯</w:t>
                  </w:r>
                </w:p>
              </w:tc>
              <w:tc>
                <w:tcPr>
                  <w:tcW w:w="6740" w:type="dxa"/>
                  <w:noWrap w:val="0"/>
                  <w:vAlign w:val="center"/>
                </w:tcPr>
                <w:p>
                  <w:pPr>
                    <w:pStyle w:val="26"/>
                    <w:bidi w:val="0"/>
                    <w:jc w:val="center"/>
                    <w:rPr>
                      <w:rFonts w:hint="eastAsia"/>
                      <w:u w:val="single"/>
                      <w:lang w:val="en-US" w:eastAsia="zh-CN"/>
                    </w:rPr>
                  </w:pPr>
                  <w:r>
                    <w:rPr>
                      <w:rFonts w:hint="eastAsia"/>
                      <w:u w:val="single"/>
                      <w:lang w:val="en-US" w:eastAsia="zh-CN"/>
                    </w:rPr>
                    <w:t>无色澄清液体。有苯样气味。有强折光性。能与乙醇、 乙醚、丙酮、氯仿、二硫化碳和冰乙酸混溶，极微溶于水。相对密度 0.866。凝固点-95℃。沸点110.6℃。折光率 1.4967。闪点(闭杯) 4.4℃。易燃。蒸气能与空气形成爆炸性混合物。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rFonts w:hint="eastAsia"/>
                      <w:u w:val="single"/>
                      <w:lang w:val="en-US" w:eastAsia="zh-CN"/>
                    </w:rPr>
                    <w:t>磷酸</w:t>
                  </w:r>
                </w:p>
              </w:tc>
              <w:tc>
                <w:tcPr>
                  <w:tcW w:w="6740" w:type="dxa"/>
                  <w:noWrap w:val="0"/>
                  <w:vAlign w:val="center"/>
                </w:tcPr>
                <w:p>
                  <w:pPr>
                    <w:pStyle w:val="26"/>
                    <w:bidi w:val="0"/>
                    <w:jc w:val="center"/>
                    <w:rPr>
                      <w:rFonts w:hint="eastAsia"/>
                      <w:u w:val="single"/>
                      <w:lang w:val="en-US" w:eastAsia="zh-CN"/>
                    </w:rPr>
                  </w:pPr>
                  <w:r>
                    <w:rPr>
                      <w:rFonts w:hint="eastAsia"/>
                      <w:u w:val="single"/>
                      <w:lang w:val="en-US" w:eastAsia="zh-CN"/>
                    </w:rPr>
                    <w:t>磷酸，化学式H3PO4，分子量为97.9724，是一种常见的无机酸，是中强酸。由十氧化四磷溶于热水中即可得到。正磷酸工业上用硫酸处理磷灰石即得。磷酸在空气中容易潮解。加热会失水得到焦磷酸，再进一步失水得到偏磷酸。磷酸主要用于制药、食品、肥料等工业，也可用作化学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u w:val="single"/>
                    </w:rPr>
                    <w:t>甲醇</w:t>
                  </w:r>
                </w:p>
              </w:tc>
              <w:tc>
                <w:tcPr>
                  <w:tcW w:w="6740" w:type="dxa"/>
                  <w:noWrap w:val="0"/>
                  <w:vAlign w:val="center"/>
                </w:tcPr>
                <w:p>
                  <w:pPr>
                    <w:pStyle w:val="26"/>
                    <w:bidi w:val="0"/>
                    <w:jc w:val="center"/>
                    <w:rPr>
                      <w:rFonts w:hint="eastAsia"/>
                      <w:u w:val="single"/>
                      <w:lang w:val="en-US" w:eastAsia="zh-CN"/>
                    </w:rPr>
                  </w:pPr>
                  <w:r>
                    <w:rPr>
                      <w:rFonts w:hint="eastAsia"/>
                      <w:u w:val="single"/>
                      <w:lang w:val="en-US" w:eastAsia="zh-CN"/>
                    </w:rPr>
                    <w:t>甲醇（Methanol，dried,CH3OH）系结构最为简单的饱和一元醇，CAS号有67-56-1、170082-17-4，分子量32.04，沸点64.7℃。又称“木醇”或“木精”。是无色有酒精气味易挥发的液体。人口服中毒最低剂量约为100mg/kg体重，经口摄入0.3～1g/kg可致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dxa"/>
                  <w:noWrap w:val="0"/>
                  <w:vAlign w:val="center"/>
                </w:tcPr>
                <w:p>
                  <w:pPr>
                    <w:pStyle w:val="26"/>
                    <w:bidi w:val="0"/>
                    <w:jc w:val="center"/>
                    <w:rPr>
                      <w:rFonts w:hint="eastAsia"/>
                      <w:u w:val="single"/>
                      <w:lang w:val="en-US" w:eastAsia="zh-CN"/>
                    </w:rPr>
                  </w:pPr>
                  <w:r>
                    <w:rPr>
                      <w:rFonts w:hint="eastAsia"/>
                      <w:u w:val="single"/>
                      <w:lang w:val="en-US" w:eastAsia="zh-CN"/>
                    </w:rPr>
                    <w:t>乙腈</w:t>
                  </w:r>
                </w:p>
              </w:tc>
              <w:tc>
                <w:tcPr>
                  <w:tcW w:w="6740" w:type="dxa"/>
                  <w:noWrap w:val="0"/>
                  <w:vAlign w:val="center"/>
                </w:tcPr>
                <w:p>
                  <w:pPr>
                    <w:pStyle w:val="26"/>
                    <w:bidi w:val="0"/>
                    <w:jc w:val="center"/>
                    <w:rPr>
                      <w:rFonts w:hint="eastAsia"/>
                      <w:u w:val="single"/>
                      <w:lang w:val="en-US" w:eastAsia="zh-CN"/>
                    </w:rPr>
                  </w:pPr>
                  <w:r>
                    <w:rPr>
                      <w:rFonts w:hint="eastAsia"/>
                      <w:u w:val="single"/>
                      <w:lang w:val="en-US" w:eastAsia="zh-CN"/>
                    </w:rPr>
                    <w:t>乙腈，是一种重要的有机化合物，其化学式为CH3CN或C2H3N。这种无色透明的液体具有优良的溶剂性能，能够溶解多种有机、无机和气体物质。乙腈与水和醇都能无限互溶。</w:t>
                  </w:r>
                </w:p>
              </w:tc>
            </w:tr>
          </w:tbl>
          <w:p>
            <w:pPr>
              <w:pStyle w:val="2"/>
              <w:bidi w:val="0"/>
              <w:rPr>
                <w:rFonts w:hint="default"/>
                <w:lang w:val="en-US" w:eastAsia="zh-CN"/>
              </w:rPr>
            </w:pPr>
            <w:r>
              <w:rPr>
                <w:rFonts w:hint="eastAsia"/>
                <w:lang w:val="en-US" w:eastAsia="zh-CN"/>
              </w:rPr>
              <w:t>（二）</w:t>
            </w:r>
            <w:r>
              <w:rPr>
                <w:rFonts w:hint="default"/>
                <w:lang w:val="en-US" w:eastAsia="zh-CN"/>
              </w:rPr>
              <w:t>工程技术方案</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1、总平面布置</w:t>
            </w:r>
          </w:p>
          <w:p>
            <w:pPr>
              <w:rPr>
                <w:rFonts w:hint="default"/>
                <w:color w:val="FF0000"/>
                <w:u w:val="none"/>
                <w:lang w:val="en-US" w:eastAsia="zh-CN"/>
              </w:rPr>
            </w:pPr>
            <w:r>
              <w:rPr>
                <w:rFonts w:hint="eastAsia" w:cs="Times New Roman"/>
                <w:bCs/>
                <w:color w:val="auto"/>
                <w:sz w:val="24"/>
                <w:szCs w:val="24"/>
                <w:u w:val="none"/>
                <w:lang w:val="en-US" w:eastAsia="zh-CN"/>
              </w:rPr>
              <w:t xml:space="preserve">    </w:t>
            </w:r>
            <w:r>
              <w:rPr>
                <w:rFonts w:hint="eastAsia" w:cs="Times New Roman"/>
                <w:bCs/>
                <w:color w:val="auto"/>
                <w:sz w:val="24"/>
                <w:szCs w:val="24"/>
                <w:u w:val="single"/>
                <w:lang w:val="en-US" w:eastAsia="zh-CN"/>
              </w:rPr>
              <w:t>本项目总占地面积为33514m</w:t>
            </w:r>
            <w:r>
              <w:rPr>
                <w:rFonts w:hint="eastAsia" w:cs="Times New Roman"/>
                <w:bCs/>
                <w:color w:val="auto"/>
                <w:sz w:val="24"/>
                <w:szCs w:val="24"/>
                <w:u w:val="single"/>
                <w:vertAlign w:val="superscript"/>
                <w:lang w:val="en-US" w:eastAsia="zh-CN"/>
              </w:rPr>
              <w:t>2</w:t>
            </w:r>
            <w:r>
              <w:rPr>
                <w:rFonts w:hint="eastAsia" w:cs="Times New Roman"/>
                <w:bCs/>
                <w:color w:val="auto"/>
                <w:sz w:val="24"/>
                <w:szCs w:val="24"/>
                <w:u w:val="single"/>
                <w:lang w:val="en-US" w:eastAsia="zh-CN"/>
              </w:rPr>
              <w:t>，整个用地呈矩形，其中地块中部设置生产车间和综合仓库，生产车间1楼生产冻干、部分注射液、胶囊剂产品，2楼生产部分注射液产品，3楼生产固体剂产品（颗粒剂、片剂），地块西南角设置综合楼，综合楼主要用于生产人员食堂及宿舍，地块东南角设置质检研发楼，质检研发楼4、5楼用于产品质量检测及产品研发，1、2、3楼用于行政人员办公，北部靠围墙一侧设置废弃物仓库及污水处理站位置，厂区分别在南侧及西北侧设置人行出口及车行出口。</w:t>
            </w:r>
          </w:p>
          <w:p>
            <w:pPr>
              <w:pStyle w:val="6"/>
              <w:bidi w:val="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2、给排水设计</w:t>
            </w:r>
          </w:p>
          <w:p>
            <w:pPr>
              <w:spacing w:line="360" w:lineRule="auto"/>
              <w:ind w:firstLine="480" w:firstLineChars="200"/>
              <w:rPr>
                <w:rFonts w:hint="eastAsia" w:ascii="Times New Roman" w:hAnsi="Times New Roman" w:eastAsia="宋体" w:cs="宋体"/>
                <w:sz w:val="24"/>
                <w:u w:val="none"/>
                <w:lang w:eastAsia="zh-CN"/>
              </w:rPr>
            </w:pPr>
            <w:r>
              <w:rPr>
                <w:rFonts w:hint="eastAsia" w:ascii="Times New Roman" w:hAnsi="Times New Roman" w:eastAsia="宋体" w:cs="宋体"/>
                <w:sz w:val="24"/>
                <w:u w:val="none"/>
                <w:lang w:eastAsia="zh-CN"/>
              </w:rPr>
              <w:t>（</w:t>
            </w:r>
            <w:r>
              <w:rPr>
                <w:rFonts w:hint="eastAsia" w:ascii="Times New Roman" w:hAnsi="Times New Roman" w:eastAsia="宋体" w:cs="宋体"/>
                <w:sz w:val="24"/>
                <w:u w:val="none"/>
                <w:lang w:val="en-US" w:eastAsia="zh-CN"/>
              </w:rPr>
              <w:t>1</w:t>
            </w:r>
            <w:r>
              <w:rPr>
                <w:rFonts w:hint="eastAsia" w:ascii="Times New Roman" w:hAnsi="Times New Roman" w:eastAsia="宋体" w:cs="宋体"/>
                <w:sz w:val="24"/>
                <w:u w:val="none"/>
                <w:lang w:eastAsia="zh-CN"/>
              </w:rPr>
              <w:t>）给排水</w:t>
            </w:r>
          </w:p>
          <w:p>
            <w:pPr>
              <w:spacing w:line="360" w:lineRule="auto"/>
              <w:ind w:firstLine="480" w:firstLineChars="200"/>
              <w:jc w:val="left"/>
              <w:rPr>
                <w:rFonts w:cs="宋体"/>
                <w:sz w:val="24"/>
                <w:u w:val="none"/>
              </w:rPr>
            </w:pPr>
            <w:r>
              <w:rPr>
                <w:rFonts w:hint="eastAsia" w:cs="宋体"/>
                <w:sz w:val="24"/>
                <w:u w:val="none"/>
              </w:rPr>
              <w:t>本项目给水由</w:t>
            </w:r>
            <w:r>
              <w:rPr>
                <w:rFonts w:hint="eastAsia" w:cs="宋体"/>
                <w:sz w:val="24"/>
                <w:u w:val="none"/>
                <w:lang w:eastAsia="zh-CN"/>
              </w:rPr>
              <w:t>常德市经济技术开发区</w:t>
            </w:r>
            <w:r>
              <w:rPr>
                <w:rFonts w:hint="eastAsia" w:cs="宋体"/>
                <w:sz w:val="24"/>
                <w:u w:val="none"/>
              </w:rPr>
              <w:t>自来水供水系统提供。</w:t>
            </w:r>
          </w:p>
          <w:p>
            <w:pPr>
              <w:spacing w:line="360" w:lineRule="auto"/>
              <w:ind w:firstLine="480" w:firstLineChars="200"/>
              <w:rPr>
                <w:rFonts w:cs="宋体"/>
                <w:sz w:val="24"/>
                <w:u w:val="none"/>
              </w:rPr>
            </w:pPr>
            <w:r>
              <w:rPr>
                <w:rFonts w:hint="eastAsia" w:cs="宋体"/>
                <w:sz w:val="24"/>
                <w:u w:val="none"/>
              </w:rPr>
              <w:t>本项目室外排水采取雨污分流。生活污水</w:t>
            </w:r>
            <w:r>
              <w:rPr>
                <w:rFonts w:hint="eastAsia" w:cs="宋体"/>
                <w:sz w:val="24"/>
                <w:u w:val="none"/>
                <w:lang w:eastAsia="zh-CN"/>
              </w:rPr>
              <w:t>经隔油池和化粪池预处理后再与生产</w:t>
            </w:r>
            <w:r>
              <w:rPr>
                <w:rFonts w:hint="eastAsia" w:cs="宋体"/>
                <w:sz w:val="24"/>
                <w:u w:val="none"/>
              </w:rPr>
              <w:t>废水</w:t>
            </w:r>
            <w:r>
              <w:rPr>
                <w:rFonts w:hint="eastAsia" w:cs="宋体"/>
                <w:sz w:val="24"/>
                <w:u w:val="none"/>
                <w:lang w:eastAsia="zh-CN"/>
              </w:rPr>
              <w:t>汇合</w:t>
            </w:r>
            <w:r>
              <w:rPr>
                <w:rFonts w:hint="eastAsia" w:cs="宋体"/>
                <w:sz w:val="24"/>
                <w:u w:val="none"/>
              </w:rPr>
              <w:t>进入</w:t>
            </w:r>
            <w:r>
              <w:rPr>
                <w:rFonts w:hint="eastAsia" w:cs="宋体"/>
                <w:sz w:val="24"/>
                <w:u w:val="none"/>
                <w:lang w:eastAsia="zh-CN"/>
              </w:rPr>
              <w:t>厂区自建</w:t>
            </w:r>
            <w:r>
              <w:rPr>
                <w:rFonts w:hint="eastAsia" w:cs="宋体"/>
                <w:sz w:val="24"/>
                <w:u w:val="none"/>
              </w:rPr>
              <w:t>的污水处理站</w:t>
            </w:r>
            <w:r>
              <w:rPr>
                <w:rFonts w:hint="eastAsia" w:cs="宋体"/>
                <w:sz w:val="24"/>
                <w:u w:val="none"/>
                <w:lang w:eastAsia="zh-CN"/>
              </w:rPr>
              <w:t>预</w:t>
            </w:r>
            <w:r>
              <w:rPr>
                <w:rFonts w:hint="eastAsia" w:cs="宋体"/>
                <w:sz w:val="24"/>
                <w:u w:val="none"/>
              </w:rPr>
              <w:t>处理，处理后排入</w:t>
            </w:r>
            <w:r>
              <w:rPr>
                <w:rFonts w:hint="eastAsia" w:cs="宋体"/>
                <w:sz w:val="24"/>
                <w:u w:val="none"/>
                <w:lang w:eastAsia="zh-CN"/>
              </w:rPr>
              <w:t>德山污水处理厂</w:t>
            </w:r>
            <w:r>
              <w:rPr>
                <w:rFonts w:hint="eastAsia" w:cs="宋体"/>
                <w:sz w:val="24"/>
                <w:u w:val="none"/>
              </w:rPr>
              <w:t>，最终进入</w:t>
            </w:r>
            <w:r>
              <w:rPr>
                <w:rFonts w:hint="eastAsia" w:cs="宋体"/>
                <w:sz w:val="24"/>
                <w:u w:val="none"/>
                <w:lang w:eastAsia="zh-CN"/>
              </w:rPr>
              <w:t>沅江</w:t>
            </w:r>
            <w:r>
              <w:rPr>
                <w:rFonts w:hint="eastAsia" w:cs="宋体"/>
                <w:sz w:val="24"/>
                <w:u w:val="none"/>
              </w:rPr>
              <w:t>。</w:t>
            </w:r>
          </w:p>
          <w:p>
            <w:pPr>
              <w:spacing w:line="360" w:lineRule="auto"/>
              <w:ind w:firstLine="482"/>
              <w:rPr>
                <w:sz w:val="24"/>
                <w:u w:val="none"/>
              </w:rPr>
            </w:pPr>
            <w:r>
              <w:rPr>
                <w:sz w:val="24"/>
                <w:u w:val="none"/>
              </w:rPr>
              <w:t>（</w:t>
            </w:r>
            <w:r>
              <w:rPr>
                <w:rFonts w:hint="eastAsia"/>
                <w:sz w:val="24"/>
                <w:u w:val="none"/>
                <w:lang w:val="en-US" w:eastAsia="zh-CN"/>
              </w:rPr>
              <w:t>2</w:t>
            </w:r>
            <w:r>
              <w:rPr>
                <w:sz w:val="24"/>
                <w:u w:val="none"/>
              </w:rPr>
              <w:t>）供配电</w:t>
            </w:r>
          </w:p>
          <w:p>
            <w:pPr>
              <w:spacing w:line="360" w:lineRule="auto"/>
              <w:ind w:firstLine="480" w:firstLineChars="200"/>
              <w:rPr>
                <w:rFonts w:cs="宋体"/>
                <w:sz w:val="24"/>
                <w:u w:val="none"/>
              </w:rPr>
            </w:pPr>
            <w:r>
              <w:rPr>
                <w:rFonts w:hint="eastAsia" w:cs="宋体"/>
                <w:sz w:val="24"/>
                <w:u w:val="none"/>
              </w:rPr>
              <w:t>本项目供电由</w:t>
            </w:r>
            <w:r>
              <w:rPr>
                <w:rFonts w:hint="eastAsia" w:cs="宋体"/>
                <w:sz w:val="24"/>
                <w:u w:val="none"/>
                <w:lang w:eastAsia="zh-CN"/>
              </w:rPr>
              <w:t>市政</w:t>
            </w:r>
            <w:r>
              <w:rPr>
                <w:rFonts w:hint="eastAsia" w:cs="宋体"/>
                <w:sz w:val="24"/>
                <w:u w:val="none"/>
              </w:rPr>
              <w:t>电网供电。</w:t>
            </w:r>
          </w:p>
          <w:p>
            <w:pPr>
              <w:spacing w:line="360" w:lineRule="auto"/>
              <w:ind w:firstLine="482"/>
              <w:rPr>
                <w:rFonts w:hint="eastAsia" w:eastAsia="宋体"/>
                <w:sz w:val="24"/>
                <w:u w:val="none"/>
                <w:lang w:eastAsia="zh-CN"/>
              </w:rPr>
            </w:pPr>
            <w:r>
              <w:rPr>
                <w:sz w:val="24"/>
                <w:u w:val="none"/>
              </w:rPr>
              <w:t>（</w:t>
            </w:r>
            <w:r>
              <w:rPr>
                <w:rFonts w:hint="eastAsia"/>
                <w:sz w:val="24"/>
                <w:u w:val="none"/>
                <w:lang w:val="en-US" w:eastAsia="zh-CN"/>
              </w:rPr>
              <w:t>3</w:t>
            </w:r>
            <w:r>
              <w:rPr>
                <w:sz w:val="24"/>
                <w:u w:val="none"/>
              </w:rPr>
              <w:t>）</w:t>
            </w:r>
            <w:r>
              <w:rPr>
                <w:rStyle w:val="24"/>
                <w:rFonts w:hint="eastAsia"/>
                <w:kern w:val="0"/>
                <w:sz w:val="24"/>
                <w:szCs w:val="24"/>
                <w:u w:val="none"/>
                <w:lang w:eastAsia="zh-CN"/>
              </w:rPr>
              <w:t>供热</w:t>
            </w:r>
          </w:p>
          <w:p>
            <w:pPr>
              <w:snapToGrid w:val="0"/>
              <w:spacing w:line="360" w:lineRule="auto"/>
              <w:ind w:firstLine="480" w:firstLineChars="200"/>
              <w:contextualSpacing/>
              <w:rPr>
                <w:rFonts w:hint="eastAsia" w:eastAsia="宋体"/>
                <w:color w:val="auto"/>
                <w:sz w:val="24"/>
                <w:u w:val="none"/>
                <w:lang w:eastAsia="zh-CN"/>
              </w:rPr>
            </w:pPr>
            <w:r>
              <w:rPr>
                <w:color w:val="auto"/>
                <w:sz w:val="24"/>
                <w:u w:val="none"/>
              </w:rPr>
              <w:t>本项目</w:t>
            </w:r>
            <w:r>
              <w:rPr>
                <w:rFonts w:hint="eastAsia"/>
                <w:color w:val="auto"/>
                <w:sz w:val="24"/>
                <w:u w:val="none"/>
                <w:lang w:eastAsia="zh-CN"/>
              </w:rPr>
              <w:t>厂区内不设锅炉，运营期蒸汽来源于常德北控生物质能发电有限公司。</w:t>
            </w:r>
          </w:p>
          <w:p>
            <w:pPr>
              <w:spacing w:line="360" w:lineRule="auto"/>
              <w:ind w:firstLine="480" w:firstLineChars="200"/>
              <w:rPr>
                <w:sz w:val="24"/>
                <w:u w:val="none"/>
              </w:rPr>
            </w:pPr>
            <w:r>
              <w:rPr>
                <w:rFonts w:hint="eastAsia"/>
                <w:sz w:val="24"/>
                <w:u w:val="none"/>
              </w:rPr>
              <w:t>（</w:t>
            </w:r>
            <w:r>
              <w:rPr>
                <w:rFonts w:hint="eastAsia"/>
                <w:sz w:val="24"/>
                <w:u w:val="none"/>
                <w:lang w:val="en-US" w:eastAsia="zh-CN"/>
              </w:rPr>
              <w:t>4</w:t>
            </w:r>
            <w:r>
              <w:rPr>
                <w:rFonts w:hint="eastAsia"/>
                <w:sz w:val="24"/>
                <w:u w:val="none"/>
              </w:rPr>
              <w:t>）</w:t>
            </w:r>
            <w:r>
              <w:rPr>
                <w:rFonts w:hint="eastAsia" w:cs="宋体"/>
                <w:sz w:val="24"/>
                <w:u w:val="none"/>
              </w:rPr>
              <w:t>消防</w:t>
            </w:r>
          </w:p>
          <w:p>
            <w:pPr>
              <w:pStyle w:val="3"/>
              <w:spacing w:line="360" w:lineRule="auto"/>
              <w:ind w:left="0" w:leftChars="0" w:firstLine="480" w:firstLineChars="200"/>
              <w:rPr>
                <w:rFonts w:cs="宋体"/>
                <w:sz w:val="24"/>
                <w:u w:val="none"/>
                <w:lang w:val="ru-RU"/>
              </w:rPr>
            </w:pPr>
            <w:r>
              <w:rPr>
                <w:rFonts w:cs="宋体"/>
                <w:sz w:val="24"/>
                <w:u w:val="none"/>
                <w:lang w:val="ru-RU"/>
              </w:rPr>
              <w:t>本工程</w:t>
            </w:r>
            <w:r>
              <w:rPr>
                <w:rFonts w:hint="eastAsia" w:cs="宋体"/>
                <w:sz w:val="24"/>
                <w:u w:val="none"/>
                <w:lang w:val="ru-RU" w:eastAsia="zh-CN"/>
              </w:rPr>
              <w:t>厂房</w:t>
            </w:r>
            <w:r>
              <w:rPr>
                <w:rFonts w:cs="宋体"/>
                <w:sz w:val="24"/>
                <w:u w:val="none"/>
                <w:lang w:val="ru-RU"/>
              </w:rPr>
              <w:t>设置火灾探测报警系统，建筑物内各房间根据规范要求，配置火灾探测器。配电室和控制室内布置手提式灭火器，可采用磷酸铵盐干粉灭火器，另外配置适量的砂箱和消防铲。</w:t>
            </w:r>
          </w:p>
          <w:p>
            <w:pPr>
              <w:pStyle w:val="2"/>
              <w:bidi w:val="0"/>
              <w:rPr>
                <w:rFonts w:hint="default"/>
                <w:lang w:val="en-US" w:eastAsia="zh-CN"/>
              </w:rPr>
            </w:pPr>
            <w:r>
              <w:rPr>
                <w:rFonts w:hint="eastAsia"/>
                <w:lang w:val="en-US" w:eastAsia="zh-CN"/>
              </w:rPr>
              <w:t>（三）</w:t>
            </w:r>
            <w:r>
              <w:rPr>
                <w:rFonts w:hint="default"/>
                <w:lang w:val="en-US" w:eastAsia="zh-CN"/>
              </w:rPr>
              <w:t>项目投资及资金来源</w:t>
            </w:r>
          </w:p>
          <w:p>
            <w:pPr>
              <w:pStyle w:val="3"/>
              <w:spacing w:line="360" w:lineRule="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本项目总投资为</w:t>
            </w:r>
            <w:r>
              <w:rPr>
                <w:rFonts w:hint="eastAsia" w:ascii="Times New Roman" w:hAnsi="Times New Roman" w:cs="Times New Roman"/>
                <w:color w:val="auto"/>
                <w:sz w:val="24"/>
                <w:szCs w:val="24"/>
                <w:lang w:val="en-US" w:eastAsia="zh-CN"/>
              </w:rPr>
              <w:t>50000</w:t>
            </w:r>
            <w:r>
              <w:rPr>
                <w:rFonts w:hint="default" w:ascii="Times New Roman" w:hAnsi="Times New Roman" w:cs="Times New Roman"/>
                <w:bCs/>
                <w:color w:val="auto"/>
                <w:sz w:val="24"/>
                <w:szCs w:val="24"/>
                <w:lang w:val="en-US" w:eastAsia="zh-CN"/>
              </w:rPr>
              <w:t>万元，</w:t>
            </w:r>
            <w:r>
              <w:rPr>
                <w:rFonts w:hint="eastAsia" w:ascii="Times New Roman" w:hAnsi="Times New Roman" w:cs="Times New Roman"/>
                <w:bCs/>
                <w:color w:val="auto"/>
                <w:sz w:val="24"/>
                <w:szCs w:val="24"/>
                <w:lang w:val="en-US" w:eastAsia="zh-CN"/>
              </w:rPr>
              <w:t>其中固定资产30000万元，</w:t>
            </w:r>
            <w:r>
              <w:rPr>
                <w:rFonts w:hint="default" w:ascii="Times New Roman" w:hAnsi="Times New Roman" w:cs="Times New Roman"/>
                <w:bCs/>
                <w:color w:val="auto"/>
                <w:sz w:val="24"/>
                <w:szCs w:val="24"/>
                <w:lang w:val="en-US" w:eastAsia="zh-CN"/>
              </w:rPr>
              <w:t>均由企业自筹。</w:t>
            </w:r>
          </w:p>
          <w:p>
            <w:pPr>
              <w:pStyle w:val="2"/>
              <w:bidi w:val="0"/>
              <w:rPr>
                <w:rFonts w:hint="default"/>
                <w:lang w:val="en-US" w:eastAsia="zh-CN"/>
              </w:rPr>
            </w:pPr>
            <w:r>
              <w:rPr>
                <w:rFonts w:hint="eastAsia"/>
                <w:lang w:val="en-US" w:eastAsia="zh-CN"/>
              </w:rPr>
              <w:t>（四）</w:t>
            </w:r>
            <w:r>
              <w:rPr>
                <w:rFonts w:hint="default"/>
                <w:lang w:val="en-US" w:eastAsia="zh-CN"/>
              </w:rPr>
              <w:t>劳动定员及工作制度</w:t>
            </w:r>
          </w:p>
          <w:p>
            <w:pPr>
              <w:pStyle w:val="3"/>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项目总定员100人，其中管理（含销售）及技术人员20人（不常驻厂区），生产人员80名；每天工作8h，一年工作330天。</w:t>
            </w:r>
          </w:p>
          <w:p>
            <w:pPr>
              <w:pStyle w:val="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（五）水平衡</w:t>
            </w:r>
          </w:p>
          <w:p>
            <w:pPr>
              <w:pStyle w:val="3"/>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rPr>
                <w:rFonts w:hint="default"/>
                <w:lang w:val="en-US" w:eastAsia="zh-CN"/>
              </w:rPr>
            </w:pPr>
          </w:p>
          <w:p>
            <w:pPr>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object>
                <v:shape id="_x0000_i1026" o:spt="75" type="#_x0000_t75" style="height:305.35pt;width:408.65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5" r:id="rId12">
                  <o:LockedField>false</o:LockedField>
                </o:OLEObject>
              </w:object>
            </w:r>
          </w:p>
          <w:p>
            <w:pPr>
              <w:pStyle w:val="2"/>
              <w:jc w:val="center"/>
              <w:rPr>
                <w:rFonts w:hint="default"/>
                <w:lang w:val="en-US" w:eastAsia="zh-CN"/>
              </w:rPr>
            </w:pPr>
            <w:r>
              <w:rPr>
                <w:rFonts w:hint="eastAsia" w:ascii="Times New Roman" w:hAnsi="Times New Roman" w:cs="Times New Roman"/>
                <w:bCs/>
                <w:color w:val="auto"/>
                <w:sz w:val="24"/>
                <w:szCs w:val="24"/>
                <w:lang w:val="en-US" w:eastAsia="zh-CN"/>
              </w:rPr>
              <w:t>图2-1  本项目运营期水平衡图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440" w:type="dxa"/>
            <w:noWrap w:val="0"/>
            <w:vAlign w:val="center"/>
          </w:tcPr>
          <w:p>
            <w:pPr>
              <w:pStyle w:val="14"/>
              <w:adjustRightInd w:val="0"/>
              <w:snapToGrid w:val="0"/>
              <w:spacing w:before="0" w:beforeAutospacing="0" w:after="0" w:afterAutospacing="0"/>
              <w:jc w:val="center"/>
              <w:rPr>
                <w:rFonts w:hint="default" w:ascii="Times New Roman" w:hAnsi="Times New Roman" w:cs="Times New Roman"/>
                <w:color w:val="FF0000"/>
                <w:sz w:val="24"/>
                <w:szCs w:val="24"/>
              </w:rPr>
            </w:pPr>
            <w:r>
              <w:rPr>
                <w:rFonts w:hint="default" w:ascii="Times New Roman" w:hAnsi="Times New Roman" w:cs="Times New Roman"/>
                <w:color w:val="auto"/>
                <w:sz w:val="24"/>
                <w:szCs w:val="24"/>
              </w:rPr>
              <w:t>工艺流程和产排污环节</w:t>
            </w:r>
          </w:p>
        </w:tc>
        <w:tc>
          <w:tcPr>
            <w:tcW w:w="8400" w:type="dxa"/>
            <w:noWrap w:val="0"/>
            <w:vAlign w:val="top"/>
          </w:tcPr>
          <w:p>
            <w:pPr>
              <w:pStyle w:val="2"/>
              <w:bidi w:val="0"/>
              <w:rPr>
                <w:rFonts w:hint="default" w:ascii="Times New Roman" w:hAnsi="Times New Roman" w:eastAsia="宋体" w:cs="Times New Roman"/>
              </w:rPr>
            </w:pPr>
            <w:r>
              <w:rPr>
                <w:rFonts w:hint="default" w:ascii="Times New Roman" w:hAnsi="Times New Roman" w:eastAsia="宋体" w:cs="Times New Roman"/>
              </w:rPr>
              <w:t>1、施工期工艺流程及产污环节</w:t>
            </w:r>
          </w:p>
          <w:p>
            <w:pPr>
              <w:pStyle w:val="31"/>
              <w:spacing w:line="360" w:lineRule="auto"/>
              <w:ind w:firstLine="482" w:firstLineChars="200"/>
              <w:jc w:val="left"/>
              <w:rPr>
                <w:rFonts w:hint="eastAsia" w:hAnsi="宋体"/>
                <w:b/>
                <w:sz w:val="24"/>
                <w:szCs w:val="24"/>
              </w:rPr>
            </w:pPr>
            <w:r>
              <w:rPr>
                <w:rFonts w:hint="eastAsia" w:hAnsi="宋体"/>
                <w:b/>
                <w:sz w:val="24"/>
                <w:szCs w:val="24"/>
              </w:rPr>
              <w:t>施工期工艺流程</w:t>
            </w:r>
          </w:p>
          <w:p>
            <w:pPr>
              <w:spacing w:line="360" w:lineRule="auto"/>
              <w:ind w:firstLine="420" w:firstLineChars="200"/>
              <w:rPr>
                <w:rFonts w:hint="default" w:ascii="Times New Roman" w:hAnsi="Times New Roman" w:cs="Times New Roman"/>
                <w:sz w:val="24"/>
                <w:szCs w:val="24"/>
                <w:lang w:val="zh-CN"/>
              </w:rPr>
            </w:pPr>
            <w:r>
              <w:rPr>
                <w:rFonts w:hint="default" w:ascii="Times New Roman" w:hAnsi="Times New Roman" w:cs="Times New Roman"/>
                <w:sz w:val="21"/>
                <w:szCs w:val="21"/>
              </w:rPr>
              <mc:AlternateContent>
                <mc:Choice Requires="wps">
                  <w:drawing>
                    <wp:anchor distT="0" distB="0" distL="114300" distR="114300" simplePos="0" relativeHeight="251682816" behindDoc="0" locked="0" layoutInCell="1" allowOverlap="1">
                      <wp:simplePos x="0" y="0"/>
                      <wp:positionH relativeFrom="column">
                        <wp:posOffset>4012565</wp:posOffset>
                      </wp:positionH>
                      <wp:positionV relativeFrom="paragraph">
                        <wp:posOffset>291465</wp:posOffset>
                      </wp:positionV>
                      <wp:extent cx="828675" cy="301625"/>
                      <wp:effectExtent l="0" t="0" r="0" b="0"/>
                      <wp:wrapNone/>
                      <wp:docPr id="103" name="矩形 568"/>
                      <wp:cNvGraphicFramePr/>
                      <a:graphic xmlns:a="http://schemas.openxmlformats.org/drawingml/2006/main">
                        <a:graphicData uri="http://schemas.microsoft.com/office/word/2010/wordprocessingShape">
                          <wps:wsp>
                            <wps:cNvSpPr/>
                            <wps:spPr>
                              <a:xfrm>
                                <a:off x="0" y="0"/>
                                <a:ext cx="828675" cy="285750"/>
                              </a:xfrm>
                              <a:prstGeom prst="rect">
                                <a:avLst/>
                              </a:prstGeom>
                              <a:noFill/>
                              <a:ln>
                                <a:noFill/>
                              </a:ln>
                              <a:effectLst/>
                            </wps:spPr>
                            <wps:txbx>
                              <w:txbxContent>
                                <w:p>
                                  <w:pPr>
                                    <w:rPr>
                                      <w:rFonts w:hint="eastAsia"/>
                                      <w:sz w:val="18"/>
                                      <w:szCs w:val="18"/>
                                    </w:rPr>
                                  </w:pPr>
                                  <w:r>
                                    <w:rPr>
                                      <w:rFonts w:hint="eastAsia"/>
                                      <w:sz w:val="18"/>
                                      <w:szCs w:val="18"/>
                                    </w:rPr>
                                    <w:t>废气、噪声</w:t>
                                  </w:r>
                                </w:p>
                              </w:txbxContent>
                            </wps:txbx>
                            <wps:bodyPr vert="horz" wrap="square" anchor="t" anchorCtr="0" upright="1"/>
                          </wps:wsp>
                        </a:graphicData>
                      </a:graphic>
                    </wp:anchor>
                  </w:drawing>
                </mc:Choice>
                <mc:Fallback>
                  <w:pict>
                    <v:rect id="矩形 568" o:spid="_x0000_s1026" o:spt="1" style="position:absolute;left:0pt;margin-left:315.95pt;margin-top:22.95pt;height:23.75pt;width:65.25pt;z-index:251682816;mso-width-relative:page;mso-height-relative:page;" filled="f" stroked="f" coordsize="21600,21600" o:gfxdata="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3PBPTbAAAACQEAAA8AAAAAAAAAAQAgAAAAIgAAAGRy&#10;cy9kb3ducmV2LnhtbFBLAQIUABQAAAAIAIdO4kDqz9Y0yQEAAIUDAAAOAAAAAAAAAAEAIAAAACoB&#10;AABkcnMvZTJvRG9jLnhtbFBLBQYAAAAABgAGAFkBAABlBQAAAAA=&#10;">
                      <v:fill on="f" focussize="0,0"/>
                      <v:stroke on="f"/>
                      <v:imagedata o:title=""/>
                      <o:lock v:ext="edit" aspectratio="f"/>
                      <v:textbox>
                        <w:txbxContent>
                          <w:p>
                            <w:pPr>
                              <w:rPr>
                                <w:rFonts w:hint="eastAsia"/>
                                <w:sz w:val="18"/>
                                <w:szCs w:val="18"/>
                              </w:rPr>
                            </w:pPr>
                            <w:r>
                              <w:rPr>
                                <w:rFonts w:hint="eastAsia"/>
                                <w:sz w:val="18"/>
                                <w:szCs w:val="18"/>
                              </w:rPr>
                              <w:t>废气、噪声</w:t>
                            </w:r>
                          </w:p>
                        </w:txbxContent>
                      </v:textbox>
                    </v:rect>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80768" behindDoc="0" locked="0" layoutInCell="1" allowOverlap="1">
                      <wp:simplePos x="0" y="0"/>
                      <wp:positionH relativeFrom="column">
                        <wp:posOffset>2860675</wp:posOffset>
                      </wp:positionH>
                      <wp:positionV relativeFrom="paragraph">
                        <wp:posOffset>288925</wp:posOffset>
                      </wp:positionV>
                      <wp:extent cx="1151890" cy="313690"/>
                      <wp:effectExtent l="0" t="0" r="0" b="0"/>
                      <wp:wrapNone/>
                      <wp:docPr id="101" name="矩形 566"/>
                      <wp:cNvGraphicFramePr/>
                      <a:graphic xmlns:a="http://schemas.openxmlformats.org/drawingml/2006/main">
                        <a:graphicData uri="http://schemas.microsoft.com/office/word/2010/wordprocessingShape">
                          <wps:wsp>
                            <wps:cNvSpPr/>
                            <wps:spPr>
                              <a:xfrm>
                                <a:off x="0" y="0"/>
                                <a:ext cx="1151890" cy="285750"/>
                              </a:xfrm>
                              <a:prstGeom prst="rect">
                                <a:avLst/>
                              </a:prstGeom>
                              <a:noFill/>
                              <a:ln>
                                <a:noFill/>
                              </a:ln>
                              <a:effectLst/>
                            </wps:spPr>
                            <wps:txbx>
                              <w:txbxContent>
                                <w:p>
                                  <w:pPr>
                                    <w:rPr>
                                      <w:rFonts w:hint="eastAsia"/>
                                      <w:sz w:val="18"/>
                                      <w:szCs w:val="18"/>
                                    </w:rPr>
                                  </w:pPr>
                                  <w:r>
                                    <w:rPr>
                                      <w:rFonts w:hint="eastAsia"/>
                                      <w:sz w:val="18"/>
                                      <w:szCs w:val="18"/>
                                    </w:rPr>
                                    <w:t>废水、噪声、废气</w:t>
                                  </w:r>
                                </w:p>
                              </w:txbxContent>
                            </wps:txbx>
                            <wps:bodyPr vert="horz" wrap="square" anchor="t" anchorCtr="0" upright="1"/>
                          </wps:wsp>
                        </a:graphicData>
                      </a:graphic>
                    </wp:anchor>
                  </w:drawing>
                </mc:Choice>
                <mc:Fallback>
                  <w:pict>
                    <v:rect id="矩形 566" o:spid="_x0000_s1026" o:spt="1" style="position:absolute;left:0pt;margin-left:225.25pt;margin-top:22.75pt;height:24.7pt;width:90.7pt;z-index:251680768;mso-width-relative:page;mso-height-relative:page;" filled="f" stroked="f" coordsize="21600,21600" o:gfxdata="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KwzJdoAAAAJAQAADwAAAAAAAAABACAAAAAiAAAAZHJz&#10;L2Rvd25yZXYueG1sUEsBAhQAFAAAAAgAh07iQLIjXz3JAQAAhgMAAA4AAAAAAAAAAQAgAAAAKQEA&#10;AGRycy9lMm9Eb2MueG1sUEsFBgAAAAAGAAYAWQEAAGQFAAAAAA==&#10;">
                      <v:fill on="f" focussize="0,0"/>
                      <v:stroke on="f"/>
                      <v:imagedata o:title=""/>
                      <o:lock v:ext="edit" aspectratio="f"/>
                      <v:textbox>
                        <w:txbxContent>
                          <w:p>
                            <w:pPr>
                              <w:rPr>
                                <w:rFonts w:hint="eastAsia"/>
                                <w:sz w:val="18"/>
                                <w:szCs w:val="18"/>
                              </w:rPr>
                            </w:pPr>
                            <w:r>
                              <w:rPr>
                                <w:rFonts w:hint="eastAsia"/>
                                <w:sz w:val="18"/>
                                <w:szCs w:val="18"/>
                              </w:rPr>
                              <w:t>废水、噪声、废气</w:t>
                            </w:r>
                          </w:p>
                        </w:txbxContent>
                      </v:textbox>
                    </v:rect>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76672" behindDoc="0" locked="0" layoutInCell="1" allowOverlap="1">
                      <wp:simplePos x="0" y="0"/>
                      <wp:positionH relativeFrom="column">
                        <wp:posOffset>576580</wp:posOffset>
                      </wp:positionH>
                      <wp:positionV relativeFrom="paragraph">
                        <wp:posOffset>293370</wp:posOffset>
                      </wp:positionV>
                      <wp:extent cx="1114425" cy="303530"/>
                      <wp:effectExtent l="0" t="0" r="0" b="0"/>
                      <wp:wrapNone/>
                      <wp:docPr id="97" name="矩形 562"/>
                      <wp:cNvGraphicFramePr/>
                      <a:graphic xmlns:a="http://schemas.openxmlformats.org/drawingml/2006/main">
                        <a:graphicData uri="http://schemas.microsoft.com/office/word/2010/wordprocessingShape">
                          <wps:wsp>
                            <wps:cNvSpPr/>
                            <wps:spPr>
                              <a:xfrm>
                                <a:off x="0" y="0"/>
                                <a:ext cx="1114425" cy="285750"/>
                              </a:xfrm>
                              <a:prstGeom prst="rect">
                                <a:avLst/>
                              </a:prstGeom>
                              <a:noFill/>
                              <a:ln>
                                <a:noFill/>
                              </a:ln>
                              <a:effectLst/>
                            </wps:spPr>
                            <wps:txbx>
                              <w:txbxContent>
                                <w:p>
                                  <w:pPr>
                                    <w:rPr>
                                      <w:rFonts w:hint="eastAsia"/>
                                      <w:sz w:val="18"/>
                                      <w:szCs w:val="18"/>
                                    </w:rPr>
                                  </w:pPr>
                                  <w:r>
                                    <w:rPr>
                                      <w:rFonts w:hint="eastAsia"/>
                                      <w:sz w:val="18"/>
                                      <w:szCs w:val="18"/>
                                    </w:rPr>
                                    <w:t>粉尘、固废、噪声</w:t>
                                  </w:r>
                                </w:p>
                              </w:txbxContent>
                            </wps:txbx>
                            <wps:bodyPr vert="horz" wrap="square" anchor="t" anchorCtr="0" upright="1"/>
                          </wps:wsp>
                        </a:graphicData>
                      </a:graphic>
                    </wp:anchor>
                  </w:drawing>
                </mc:Choice>
                <mc:Fallback>
                  <w:pict>
                    <v:rect id="矩形 562" o:spid="_x0000_s1026" o:spt="1" style="position:absolute;left:0pt;margin-left:45.4pt;margin-top:23.1pt;height:23.9pt;width:87.75pt;z-index:251676672;mso-width-relative:page;mso-height-relative:page;" filled="f" stroked="f" coordsize="21600,21600" o:gfxdata="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bPE8u2AAAAAgBAAAPAAAAAAAAAAEAIAAAACIAAABkcnMv&#10;ZG93bnJldi54bWxQSwECFAAUAAAACACHTuJAioIlicoBAACFAwAADgAAAAAAAAABACAAAAAnAQAA&#10;ZHJzL2Uyb0RvYy54bWxQSwUGAAAAAAYABgBZAQAAYwUAAAAA&#10;">
                      <v:fill on="f" focussize="0,0"/>
                      <v:stroke on="f"/>
                      <v:imagedata o:title=""/>
                      <o:lock v:ext="edit" aspectratio="f"/>
                      <v:textbox>
                        <w:txbxContent>
                          <w:p>
                            <w:pPr>
                              <w:rPr>
                                <w:rFonts w:hint="eastAsia"/>
                                <w:sz w:val="18"/>
                                <w:szCs w:val="18"/>
                              </w:rPr>
                            </w:pPr>
                            <w:r>
                              <w:rPr>
                                <w:rFonts w:hint="eastAsia"/>
                                <w:sz w:val="18"/>
                                <w:szCs w:val="18"/>
                              </w:rPr>
                              <w:t>粉尘、固废、噪声</w:t>
                            </w:r>
                          </w:p>
                        </w:txbxContent>
                      </v:textbox>
                    </v:rect>
                  </w:pict>
                </mc:Fallback>
              </mc:AlternateContent>
            </w:r>
            <w:r>
              <w:rPr>
                <w:rFonts w:hint="default" w:ascii="Times New Roman" w:hAnsi="Times New Roman" w:cs="Times New Roman"/>
                <w:sz w:val="24"/>
                <w:szCs w:val="24"/>
                <w:lang w:val="en-US" w:eastAsia="zh-CN"/>
              </w:rPr>
              <w:t>本项目</w:t>
            </w:r>
            <w:r>
              <w:rPr>
                <w:rFonts w:hint="default" w:ascii="Times New Roman" w:hAnsi="Times New Roman" w:cs="Times New Roman"/>
                <w:sz w:val="24"/>
                <w:szCs w:val="24"/>
                <w:lang w:val="zh-CN"/>
              </w:rPr>
              <w:t>施工流程及各阶段主要污染物产生情况见图</w:t>
            </w: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zh-CN"/>
              </w:rPr>
              <w:t>。</w:t>
            </w:r>
          </w:p>
          <w:p>
            <w:pPr>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mc:AlternateContent>
                <mc:Choice Requires="wps">
                  <w:drawing>
                    <wp:anchor distT="0" distB="0" distL="114300" distR="114300" simplePos="0" relativeHeight="251678720" behindDoc="0" locked="0" layoutInCell="1" allowOverlap="1">
                      <wp:simplePos x="0" y="0"/>
                      <wp:positionH relativeFrom="column">
                        <wp:posOffset>1755140</wp:posOffset>
                      </wp:positionH>
                      <wp:positionV relativeFrom="paragraph">
                        <wp:posOffset>1270</wp:posOffset>
                      </wp:positionV>
                      <wp:extent cx="1093470" cy="319405"/>
                      <wp:effectExtent l="0" t="0" r="0" b="0"/>
                      <wp:wrapNone/>
                      <wp:docPr id="99" name="矩形 564"/>
                      <wp:cNvGraphicFramePr/>
                      <a:graphic xmlns:a="http://schemas.openxmlformats.org/drawingml/2006/main">
                        <a:graphicData uri="http://schemas.microsoft.com/office/word/2010/wordprocessingShape">
                          <wps:wsp>
                            <wps:cNvSpPr/>
                            <wps:spPr>
                              <a:xfrm>
                                <a:off x="0" y="0"/>
                                <a:ext cx="1093470" cy="285750"/>
                              </a:xfrm>
                              <a:prstGeom prst="rect">
                                <a:avLst/>
                              </a:prstGeom>
                              <a:noFill/>
                              <a:ln>
                                <a:noFill/>
                              </a:ln>
                              <a:effectLst/>
                            </wps:spPr>
                            <wps:txbx>
                              <w:txbxContent>
                                <w:p>
                                  <w:pPr>
                                    <w:rPr>
                                      <w:rFonts w:hint="eastAsia"/>
                                      <w:sz w:val="18"/>
                                      <w:szCs w:val="18"/>
                                    </w:rPr>
                                  </w:pPr>
                                  <w:r>
                                    <w:rPr>
                                      <w:rFonts w:hint="eastAsia"/>
                                      <w:sz w:val="18"/>
                                      <w:szCs w:val="18"/>
                                    </w:rPr>
                                    <w:t>固废、噪声、粉尘</w:t>
                                  </w:r>
                                </w:p>
                              </w:txbxContent>
                            </wps:txbx>
                            <wps:bodyPr vert="horz" wrap="square" anchor="t" anchorCtr="0" upright="1"/>
                          </wps:wsp>
                        </a:graphicData>
                      </a:graphic>
                    </wp:anchor>
                  </w:drawing>
                </mc:Choice>
                <mc:Fallback>
                  <w:pict>
                    <v:rect id="矩形 564" o:spid="_x0000_s1026" o:spt="1" style="position:absolute;left:0pt;margin-left:138.2pt;margin-top:0.1pt;height:25.15pt;width:86.1pt;z-index:251678720;mso-width-relative:page;mso-height-relative:page;" filled="f" stroked="f" coordsize="21600,21600" o:gfxdata="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2VgE2AAAAAcBAAAPAAAAAAAAAAEAIAAAACIAAABkcnMv&#10;ZG93bnJldi54bWxQSwECFAAUAAAACACHTuJA4mIyAMoBAACFAwAADgAAAAAAAAABACAAAAAnAQAA&#10;ZHJzL2Uyb0RvYy54bWxQSwUGAAAAAAYABgBZAQAAYwUAAAAA&#10;">
                      <v:fill on="f" focussize="0,0"/>
                      <v:stroke on="f"/>
                      <v:imagedata o:title=""/>
                      <o:lock v:ext="edit" aspectratio="f"/>
                      <v:textbox>
                        <w:txbxContent>
                          <w:p>
                            <w:pPr>
                              <w:rPr>
                                <w:rFonts w:hint="eastAsia"/>
                                <w:sz w:val="18"/>
                                <w:szCs w:val="18"/>
                              </w:rPr>
                            </w:pPr>
                            <w:r>
                              <w:rPr>
                                <w:rFonts w:hint="eastAsia"/>
                                <w:sz w:val="18"/>
                                <w:szCs w:val="18"/>
                              </w:rPr>
                              <w:t>固废、噪声、粉尘</w:t>
                            </w:r>
                          </w:p>
                        </w:txbxContent>
                      </v:textbox>
                    </v:rect>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71552" behindDoc="0" locked="0" layoutInCell="1" allowOverlap="1">
                      <wp:simplePos x="0" y="0"/>
                      <wp:positionH relativeFrom="column">
                        <wp:posOffset>4114800</wp:posOffset>
                      </wp:positionH>
                      <wp:positionV relativeFrom="paragraph">
                        <wp:posOffset>494665</wp:posOffset>
                      </wp:positionV>
                      <wp:extent cx="786765" cy="339725"/>
                      <wp:effectExtent l="4445" t="4445" r="8890" b="17780"/>
                      <wp:wrapNone/>
                      <wp:docPr id="92" name="矩形 557"/>
                      <wp:cNvGraphicFramePr/>
                      <a:graphic xmlns:a="http://schemas.openxmlformats.org/drawingml/2006/main">
                        <a:graphicData uri="http://schemas.microsoft.com/office/word/2010/wordprocessingShape">
                          <wps:wsp>
                            <wps:cNvSpPr/>
                            <wps:spPr>
                              <a:xfrm>
                                <a:off x="0" y="0"/>
                                <a:ext cx="728345" cy="285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sz w:val="21"/>
                                      <w:szCs w:val="21"/>
                                    </w:rPr>
                                    <w:t>设备安装</w:t>
                                  </w:r>
                                </w:p>
                              </w:txbxContent>
                            </wps:txbx>
                            <wps:bodyPr vert="horz" wrap="square" anchor="t" anchorCtr="0" upright="1"/>
                          </wps:wsp>
                        </a:graphicData>
                      </a:graphic>
                    </wp:anchor>
                  </w:drawing>
                </mc:Choice>
                <mc:Fallback>
                  <w:pict>
                    <v:rect id="矩形 557" o:spid="_x0000_s1026" o:spt="1" style="position:absolute;left:0pt;margin-left:324pt;margin-top:38.95pt;height:26.75pt;width:61.95pt;z-index:251671552;mso-width-relative:page;mso-height-relative:page;" fillcolor="#FFFFFF" filled="t" stroked="t" coordsize="21600,21600" o:gfxdata="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jsdUdkAAAAKAQAADwAAAAAAAAABACAAAAAiAAAAZHJzL2Rvd25yZXYueG1sUEsBAhQAFAAA&#10;AAgAh07iQPpuJ58nAgAAbAQAAA4AAAAAAAAAAQAgAAAAKAEAAGRycy9lMm9Eb2MueG1sUEsFBgAA&#10;AAAGAAYAWQEAAMEFAAAAAA==&#10;">
                      <v:fill on="t" focussize="0,0"/>
                      <v:stroke color="#000000" joinstyle="miter"/>
                      <v:imagedata o:title=""/>
                      <o:lock v:ext="edit" aspectratio="f"/>
                      <v:textbox>
                        <w:txbxContent>
                          <w:p>
                            <w:pPr>
                              <w:jc w:val="center"/>
                              <w:rPr>
                                <w:rFonts w:hint="eastAsia"/>
                              </w:rPr>
                            </w:pPr>
                            <w:r>
                              <w:rPr>
                                <w:rFonts w:hint="eastAsia"/>
                                <w:sz w:val="21"/>
                                <w:szCs w:val="21"/>
                              </w:rPr>
                              <w:t>设备安装</w:t>
                            </w:r>
                          </w:p>
                        </w:txbxContent>
                      </v:textbox>
                    </v:rect>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70528" behindDoc="0" locked="0" layoutInCell="1" allowOverlap="1">
                      <wp:simplePos x="0" y="0"/>
                      <wp:positionH relativeFrom="column">
                        <wp:posOffset>3038475</wp:posOffset>
                      </wp:positionH>
                      <wp:positionV relativeFrom="paragraph">
                        <wp:posOffset>504190</wp:posOffset>
                      </wp:positionV>
                      <wp:extent cx="771525" cy="327025"/>
                      <wp:effectExtent l="4445" t="4445" r="5080" b="11430"/>
                      <wp:wrapNone/>
                      <wp:docPr id="91" name="矩形 556"/>
                      <wp:cNvGraphicFramePr/>
                      <a:graphic xmlns:a="http://schemas.openxmlformats.org/drawingml/2006/main">
                        <a:graphicData uri="http://schemas.microsoft.com/office/word/2010/wordprocessingShape">
                          <wps:wsp>
                            <wps:cNvSpPr/>
                            <wps:spPr>
                              <a:xfrm>
                                <a:off x="0" y="0"/>
                                <a:ext cx="771525" cy="285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sz w:val="21"/>
                                      <w:szCs w:val="21"/>
                                    </w:rPr>
                                    <w:t>装饰工程</w:t>
                                  </w:r>
                                </w:p>
                              </w:txbxContent>
                            </wps:txbx>
                            <wps:bodyPr vert="horz" wrap="square" anchor="t" anchorCtr="0" upright="1"/>
                          </wps:wsp>
                        </a:graphicData>
                      </a:graphic>
                    </wp:anchor>
                  </w:drawing>
                </mc:Choice>
                <mc:Fallback>
                  <w:pict>
                    <v:rect id="矩形 556" o:spid="_x0000_s1026" o:spt="1" style="position:absolute;left:0pt;margin-left:239.25pt;margin-top:39.7pt;height:25.75pt;width:60.75pt;z-index:251670528;mso-width-relative:page;mso-height-relative:page;" fillcolor="#FFFFFF" filled="t" stroked="t" coordsize="21600,21600" o:gfxdata="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lTIhJ2AAAAAoBAAAPAAAAAAAAAAEAIAAAACIAAABkcnMvZG93bnJldi54bWxQSwECFAAUAAAA&#10;CACHTuJA4gch2ScCAABsBAAADgAAAAAAAAABACAAAAAnAQAAZHJzL2Uyb0RvYy54bWxQSwUGAAAA&#10;AAYABgBZAQAAwAUAAAAA&#10;">
                      <v:fill on="t" focussize="0,0"/>
                      <v:stroke color="#000000" joinstyle="miter"/>
                      <v:imagedata o:title=""/>
                      <o:lock v:ext="edit" aspectratio="f"/>
                      <v:textbox>
                        <w:txbxContent>
                          <w:p>
                            <w:pPr>
                              <w:rPr>
                                <w:rFonts w:hint="eastAsia"/>
                              </w:rPr>
                            </w:pPr>
                            <w:r>
                              <w:rPr>
                                <w:rFonts w:hint="eastAsia"/>
                                <w:sz w:val="21"/>
                                <w:szCs w:val="21"/>
                              </w:rPr>
                              <w:t>装饰工程</w:t>
                            </w:r>
                          </w:p>
                        </w:txbxContent>
                      </v:textbox>
                    </v:rect>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69504" behindDoc="0" locked="0" layoutInCell="1" allowOverlap="1">
                      <wp:simplePos x="0" y="0"/>
                      <wp:positionH relativeFrom="column">
                        <wp:posOffset>1914525</wp:posOffset>
                      </wp:positionH>
                      <wp:positionV relativeFrom="paragraph">
                        <wp:posOffset>513715</wp:posOffset>
                      </wp:positionV>
                      <wp:extent cx="771525" cy="333375"/>
                      <wp:effectExtent l="4445" t="4445" r="5080" b="5080"/>
                      <wp:wrapNone/>
                      <wp:docPr id="90" name="矩形 555"/>
                      <wp:cNvGraphicFramePr/>
                      <a:graphic xmlns:a="http://schemas.openxmlformats.org/drawingml/2006/main">
                        <a:graphicData uri="http://schemas.microsoft.com/office/word/2010/wordprocessingShape">
                          <wps:wsp>
                            <wps:cNvSpPr/>
                            <wps:spPr>
                              <a:xfrm>
                                <a:off x="0" y="0"/>
                                <a:ext cx="771525" cy="285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sz w:val="21"/>
                                      <w:szCs w:val="21"/>
                                    </w:rPr>
                                    <w:t>主体工程</w:t>
                                  </w:r>
                                </w:p>
                              </w:txbxContent>
                            </wps:txbx>
                            <wps:bodyPr vert="horz" wrap="square" anchor="t" anchorCtr="0" upright="1"/>
                          </wps:wsp>
                        </a:graphicData>
                      </a:graphic>
                    </wp:anchor>
                  </w:drawing>
                </mc:Choice>
                <mc:Fallback>
                  <w:pict>
                    <v:rect id="矩形 555" o:spid="_x0000_s1026" o:spt="1" style="position:absolute;left:0pt;margin-left:150.75pt;margin-top:40.45pt;height:26.25pt;width:60.75pt;z-index:251669504;mso-width-relative:page;mso-height-relative:page;" fillcolor="#FFFFFF" filled="t" stroked="t" coordsize="21600,21600" o:gfxdata="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nplw1wAAAAoBAAAPAAAAAAAAAAEAIAAAACIAAABkcnMvZG93bnJldi54bWxQSwECFAAUAAAACACH&#10;TuJA603T4SUCAABsBAAADgAAAAAAAAABACAAAAAmAQAAZHJzL2Uyb0RvYy54bWxQSwUGAAAAAAYA&#10;BgBZAQAAvQUAAAAA&#10;">
                      <v:fill on="t" focussize="0,0"/>
                      <v:stroke color="#000000" joinstyle="miter"/>
                      <v:imagedata o:title=""/>
                      <o:lock v:ext="edit" aspectratio="f"/>
                      <v:textbox>
                        <w:txbxContent>
                          <w:p>
                            <w:pPr>
                              <w:rPr>
                                <w:rFonts w:hint="eastAsia"/>
                              </w:rPr>
                            </w:pPr>
                            <w:r>
                              <w:rPr>
                                <w:rFonts w:hint="eastAsia"/>
                                <w:sz w:val="21"/>
                                <w:szCs w:val="21"/>
                              </w:rPr>
                              <w:t>主体工程</w:t>
                            </w:r>
                          </w:p>
                        </w:txbxContent>
                      </v:textbox>
                    </v:rect>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73600" behindDoc="0" locked="0" layoutInCell="1" allowOverlap="1">
                      <wp:simplePos x="0" y="0"/>
                      <wp:positionH relativeFrom="column">
                        <wp:posOffset>2695575</wp:posOffset>
                      </wp:positionH>
                      <wp:positionV relativeFrom="paragraph">
                        <wp:posOffset>656590</wp:posOffset>
                      </wp:positionV>
                      <wp:extent cx="342900" cy="0"/>
                      <wp:effectExtent l="0" t="38100" r="0" b="38100"/>
                      <wp:wrapNone/>
                      <wp:docPr id="94" name="直线 559"/>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59" o:spid="_x0000_s1026" o:spt="20" style="position:absolute;left:0pt;margin-left:212.25pt;margin-top:51.7pt;height:0pt;width:27pt;z-index:251673600;mso-width-relative:page;mso-height-relative:page;" filled="f" stroked="t" coordsize="21600,21600" o:gfxdata="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7pui7ZAAAACwEAAA8AAAAAAAAAAQAgAAAAIgAAAGRycy9kb3ducmV2LnhtbFBL&#10;AQIUABQAAAAIAIdO4kBru0F+9QEAAO8DAAAOAAAAAAAAAAEAIAAAACgBAABkcnMvZTJvRG9jLnht&#10;bFBLBQYAAAAABgAGAFkBAACPBQAAAAA=&#10;">
                      <v:fill on="f" focussize="0,0"/>
                      <v:stroke color="#000000" joinstyle="round" endarrow="block"/>
                      <v:imagedata o:title=""/>
                      <o:lock v:ext="edit" aspectratio="f"/>
                    </v:lin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72576" behindDoc="0" locked="0" layoutInCell="1" allowOverlap="1">
                      <wp:simplePos x="0" y="0"/>
                      <wp:positionH relativeFrom="column">
                        <wp:posOffset>1543050</wp:posOffset>
                      </wp:positionH>
                      <wp:positionV relativeFrom="paragraph">
                        <wp:posOffset>666115</wp:posOffset>
                      </wp:positionV>
                      <wp:extent cx="361950" cy="0"/>
                      <wp:effectExtent l="0" t="38100" r="0" b="38100"/>
                      <wp:wrapNone/>
                      <wp:docPr id="93" name="直线 558"/>
                      <wp:cNvGraphicFramePr/>
                      <a:graphic xmlns:a="http://schemas.openxmlformats.org/drawingml/2006/main">
                        <a:graphicData uri="http://schemas.microsoft.com/office/word/2010/wordprocessingShape">
                          <wps:wsp>
                            <wps:cNvCnPr/>
                            <wps:spPr>
                              <a:xfrm>
                                <a:off x="0" y="0"/>
                                <a:ext cx="3619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58" o:spid="_x0000_s1026" o:spt="20" style="position:absolute;left:0pt;margin-left:121.5pt;margin-top:52.45pt;height:0pt;width:28.5pt;z-index:251672576;mso-width-relative:page;mso-height-relative:page;" filled="f" stroked="t" coordsize="21600,21600" o:gfxdata="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cLVu2QAAAAsBAAAPAAAAAAAAAAEAIAAAACIAAABkcnMvZG93bnJldi54bWxQ&#10;SwECFAAUAAAACACHTuJAVWFtA/YBAADvAwAADgAAAAAAAAABACAAAAAoAQAAZHJzL2Uyb0RvYy54&#10;bWxQSwUGAAAAAAYABgBZAQAAkAUAAAAA&#10;">
                      <v:fill on="f" focussize="0,0"/>
                      <v:stroke color="#000000" joinstyle="round" endarrow="block"/>
                      <v:imagedata o:title=""/>
                      <o:lock v:ext="edit" aspectratio="f"/>
                    </v:lin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81792" behindDoc="0" locked="0" layoutInCell="1" allowOverlap="1">
                      <wp:simplePos x="0" y="0"/>
                      <wp:positionH relativeFrom="column">
                        <wp:posOffset>4391025</wp:posOffset>
                      </wp:positionH>
                      <wp:positionV relativeFrom="paragraph">
                        <wp:posOffset>250825</wp:posOffset>
                      </wp:positionV>
                      <wp:extent cx="0" cy="219075"/>
                      <wp:effectExtent l="38100" t="0" r="38100" b="9525"/>
                      <wp:wrapNone/>
                      <wp:docPr id="102" name="直线 567"/>
                      <wp:cNvGraphicFramePr/>
                      <a:graphic xmlns:a="http://schemas.openxmlformats.org/drawingml/2006/main">
                        <a:graphicData uri="http://schemas.microsoft.com/office/word/2010/wordprocessingShape">
                          <wps:wsp>
                            <wps:cNvCnPr/>
                            <wps:spPr>
                              <a:xfrm flipV="1">
                                <a:off x="0" y="0"/>
                                <a:ext cx="0" cy="219075"/>
                              </a:xfrm>
                              <a:prstGeom prst="line">
                                <a:avLst/>
                              </a:prstGeom>
                              <a:ln w="9525" cap="flat" cmpd="sng">
                                <a:solidFill>
                                  <a:srgbClr val="000000"/>
                                </a:solidFill>
                                <a:prstDash val="dash"/>
                                <a:headEnd type="none" w="med" len="med"/>
                                <a:tailEnd type="triangle" w="med" len="med"/>
                              </a:ln>
                              <a:effectLst/>
                            </wps:spPr>
                            <wps:bodyPr upright="1"/>
                          </wps:wsp>
                        </a:graphicData>
                      </a:graphic>
                    </wp:anchor>
                  </w:drawing>
                </mc:Choice>
                <mc:Fallback>
                  <w:pict>
                    <v:line id="直线 567" o:spid="_x0000_s1026" o:spt="20" style="position:absolute;left:0pt;flip:y;margin-left:345.75pt;margin-top:19.75pt;height:17.25pt;width:0pt;z-index:251681792;mso-width-relative:page;mso-height-relative:page;" filled="f" stroked="t" coordsize="21600,21600" o:gfxdata="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W/4adUAAAAJAQAADwAAAAAAAAABACAAAAAiAAAAZHJzL2Rvd25yZXYueG1s&#10;UEsBAhQAFAAAAAgAh07iQLS7FBr7AQAA+QMAAA4AAAAAAAAAAQAgAAAAJAEAAGRycy9lMm9Eb2Mu&#10;eG1sUEsFBgAAAAAGAAYAWQEAAJEFAAAAAA==&#10;">
                      <v:fill on="f" focussize="0,0"/>
                      <v:stroke color="#000000" joinstyle="round" dashstyle="dash" endarrow="block"/>
                      <v:imagedata o:title=""/>
                      <o:lock v:ext="edit" aspectratio="f"/>
                    </v:lin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79744" behindDoc="0" locked="0" layoutInCell="1" allowOverlap="1">
                      <wp:simplePos x="0" y="0"/>
                      <wp:positionH relativeFrom="column">
                        <wp:posOffset>3419475</wp:posOffset>
                      </wp:positionH>
                      <wp:positionV relativeFrom="paragraph">
                        <wp:posOffset>269875</wp:posOffset>
                      </wp:positionV>
                      <wp:extent cx="0" cy="219075"/>
                      <wp:effectExtent l="38100" t="0" r="38100" b="9525"/>
                      <wp:wrapNone/>
                      <wp:docPr id="100" name="直线 565"/>
                      <wp:cNvGraphicFramePr/>
                      <a:graphic xmlns:a="http://schemas.openxmlformats.org/drawingml/2006/main">
                        <a:graphicData uri="http://schemas.microsoft.com/office/word/2010/wordprocessingShape">
                          <wps:wsp>
                            <wps:cNvCnPr/>
                            <wps:spPr>
                              <a:xfrm flipV="1">
                                <a:off x="0" y="0"/>
                                <a:ext cx="0" cy="219075"/>
                              </a:xfrm>
                              <a:prstGeom prst="line">
                                <a:avLst/>
                              </a:prstGeom>
                              <a:ln w="9525" cap="flat" cmpd="sng">
                                <a:solidFill>
                                  <a:srgbClr val="000000"/>
                                </a:solidFill>
                                <a:prstDash val="dash"/>
                                <a:headEnd type="none" w="med" len="med"/>
                                <a:tailEnd type="triangle" w="med" len="med"/>
                              </a:ln>
                              <a:effectLst/>
                            </wps:spPr>
                            <wps:bodyPr upright="1"/>
                          </wps:wsp>
                        </a:graphicData>
                      </a:graphic>
                    </wp:anchor>
                  </w:drawing>
                </mc:Choice>
                <mc:Fallback>
                  <w:pict>
                    <v:line id="直线 565" o:spid="_x0000_s1026" o:spt="20" style="position:absolute;left:0pt;flip:y;margin-left:269.25pt;margin-top:21.25pt;height:17.25pt;width:0pt;z-index:251679744;mso-width-relative:page;mso-height-relative:page;" filled="f" stroked="t" coordsize="21600,21600" o:gfxdata="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aiWDF1QAAAAkBAAAPAAAAAAAAAAEAIAAAACIAAABkcnMvZG93bnJldi54&#10;bWxQSwECFAAUAAAACACHTuJA7MPRYP0BAAD5AwAADgAAAAAAAAABACAAAAAkAQAAZHJzL2Uyb0Rv&#10;Yy54bWxQSwUGAAAAAAYABgBZAQAAkwUAAAAA&#10;">
                      <v:fill on="f" focussize="0,0"/>
                      <v:stroke color="#000000" joinstyle="round" dashstyle="dash" endarrow="block"/>
                      <v:imagedata o:title=""/>
                      <o:lock v:ext="edit" aspectratio="f"/>
                    </v:lin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77696" behindDoc="0" locked="0" layoutInCell="1" allowOverlap="1">
                      <wp:simplePos x="0" y="0"/>
                      <wp:positionH relativeFrom="column">
                        <wp:posOffset>2286000</wp:posOffset>
                      </wp:positionH>
                      <wp:positionV relativeFrom="paragraph">
                        <wp:posOffset>279400</wp:posOffset>
                      </wp:positionV>
                      <wp:extent cx="0" cy="219075"/>
                      <wp:effectExtent l="38100" t="0" r="38100" b="9525"/>
                      <wp:wrapNone/>
                      <wp:docPr id="98" name="直线 563"/>
                      <wp:cNvGraphicFramePr/>
                      <a:graphic xmlns:a="http://schemas.openxmlformats.org/drawingml/2006/main">
                        <a:graphicData uri="http://schemas.microsoft.com/office/word/2010/wordprocessingShape">
                          <wps:wsp>
                            <wps:cNvCnPr/>
                            <wps:spPr>
                              <a:xfrm flipV="1">
                                <a:off x="0" y="0"/>
                                <a:ext cx="0" cy="219075"/>
                              </a:xfrm>
                              <a:prstGeom prst="line">
                                <a:avLst/>
                              </a:prstGeom>
                              <a:ln w="9525" cap="flat" cmpd="sng">
                                <a:solidFill>
                                  <a:srgbClr val="000000"/>
                                </a:solidFill>
                                <a:prstDash val="dash"/>
                                <a:headEnd type="none" w="med" len="med"/>
                                <a:tailEnd type="triangle" w="med" len="med"/>
                              </a:ln>
                              <a:effectLst/>
                            </wps:spPr>
                            <wps:bodyPr upright="1"/>
                          </wps:wsp>
                        </a:graphicData>
                      </a:graphic>
                    </wp:anchor>
                  </w:drawing>
                </mc:Choice>
                <mc:Fallback>
                  <w:pict>
                    <v:line id="直线 563" o:spid="_x0000_s1026" o:spt="20" style="position:absolute;left:0pt;flip:y;margin-left:180pt;margin-top:22pt;height:17.25pt;width:0pt;z-index:251677696;mso-width-relative:page;mso-height-relative:page;" filled="f" stroked="t" coordsize="21600,21600" o:gfxdata="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qlJSNYAAAAJAQAADwAAAAAAAAABACAAAAAiAAAAZHJzL2Rvd25yZXYueG1s&#10;UEsBAhQAFAAAAAgAh07iQJo7WHD6AQAA+AMAAA4AAAAAAAAAAQAgAAAAJQEAAGRycy9lMm9Eb2Mu&#10;eG1sUEsFBgAAAAAGAAYAWQEAAJEFAAAAAA==&#10;">
                      <v:fill on="f" focussize="0,0"/>
                      <v:stroke color="#000000" joinstyle="round" dashstyle="dash" endarrow="block"/>
                      <v:imagedata o:title=""/>
                      <o:lock v:ext="edit" aspectratio="f"/>
                    </v:line>
                  </w:pict>
                </mc:Fallback>
              </mc:AlternateContent>
            </w:r>
          </w:p>
          <w:p>
            <w:pPr>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mc:AlternateContent>
                <mc:Choice Requires="wps">
                  <w:drawing>
                    <wp:anchor distT="0" distB="0" distL="114300" distR="114300" simplePos="0" relativeHeight="251668480" behindDoc="0" locked="0" layoutInCell="1" allowOverlap="1">
                      <wp:simplePos x="0" y="0"/>
                      <wp:positionH relativeFrom="column">
                        <wp:posOffset>779780</wp:posOffset>
                      </wp:positionH>
                      <wp:positionV relativeFrom="paragraph">
                        <wp:posOffset>226060</wp:posOffset>
                      </wp:positionV>
                      <wp:extent cx="753745" cy="317500"/>
                      <wp:effectExtent l="4445" t="4445" r="22860" b="20955"/>
                      <wp:wrapNone/>
                      <wp:docPr id="89" name="矩形 554"/>
                      <wp:cNvGraphicFramePr/>
                      <a:graphic xmlns:a="http://schemas.openxmlformats.org/drawingml/2006/main">
                        <a:graphicData uri="http://schemas.microsoft.com/office/word/2010/wordprocessingShape">
                          <wps:wsp>
                            <wps:cNvSpPr/>
                            <wps:spPr>
                              <a:xfrm>
                                <a:off x="0" y="0"/>
                                <a:ext cx="771525" cy="285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1"/>
                                      <w:szCs w:val="21"/>
                                    </w:rPr>
                                  </w:pPr>
                                  <w:r>
                                    <w:rPr>
                                      <w:rFonts w:hint="eastAsia"/>
                                      <w:sz w:val="21"/>
                                      <w:szCs w:val="21"/>
                                    </w:rPr>
                                    <w:t>基础工程</w:t>
                                  </w:r>
                                </w:p>
                              </w:txbxContent>
                            </wps:txbx>
                            <wps:bodyPr vert="horz" wrap="square" anchor="t" anchorCtr="0" upright="1"/>
                          </wps:wsp>
                        </a:graphicData>
                      </a:graphic>
                    </wp:anchor>
                  </w:drawing>
                </mc:Choice>
                <mc:Fallback>
                  <w:pict>
                    <v:rect id="矩形 554" o:spid="_x0000_s1026" o:spt="1" style="position:absolute;left:0pt;margin-left:61.4pt;margin-top:17.8pt;height:25pt;width:59.35pt;z-index:251668480;mso-width-relative:page;mso-height-relative:page;" fillcolor="#FFFFFF" filled="t" stroked="t" coordsize="21600,21600" o:gfxdata="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CbWybXAAAACQEAAA8AAAAAAAAAAQAgAAAAIgAAAGRycy9kb3ducmV2LnhtbFBLAQIUABQAAAAI&#10;AIdO4kAclsqCJwIAAGwEAAAOAAAAAAAAAAEAIAAAACYBAABkcnMvZTJvRG9jLnhtbFBLBQYAAAAA&#10;BgAGAFkBAAC/BQAAAAA=&#10;">
                      <v:fill on="t" focussize="0,0"/>
                      <v:stroke color="#000000" joinstyle="miter"/>
                      <v:imagedata o:title=""/>
                      <o:lock v:ext="edit" aspectratio="f"/>
                      <v:textbox>
                        <w:txbxContent>
                          <w:p>
                            <w:pPr>
                              <w:rPr>
                                <w:sz w:val="21"/>
                                <w:szCs w:val="21"/>
                              </w:rPr>
                            </w:pPr>
                            <w:r>
                              <w:rPr>
                                <w:rFonts w:hint="eastAsia"/>
                                <w:sz w:val="21"/>
                                <w:szCs w:val="21"/>
                              </w:rPr>
                              <w:t>基础工程</w:t>
                            </w:r>
                          </w:p>
                        </w:txbxContent>
                      </v:textbox>
                    </v:rect>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75648" behindDoc="0" locked="0" layoutInCell="1" allowOverlap="1">
                      <wp:simplePos x="0" y="0"/>
                      <wp:positionH relativeFrom="column">
                        <wp:posOffset>1143000</wp:posOffset>
                      </wp:positionH>
                      <wp:positionV relativeFrom="paragraph">
                        <wp:posOffset>1270</wp:posOffset>
                      </wp:positionV>
                      <wp:extent cx="0" cy="219075"/>
                      <wp:effectExtent l="38100" t="0" r="38100" b="9525"/>
                      <wp:wrapNone/>
                      <wp:docPr id="96" name="直线 561"/>
                      <wp:cNvGraphicFramePr/>
                      <a:graphic xmlns:a="http://schemas.openxmlformats.org/drawingml/2006/main">
                        <a:graphicData uri="http://schemas.microsoft.com/office/word/2010/wordprocessingShape">
                          <wps:wsp>
                            <wps:cNvCnPr/>
                            <wps:spPr>
                              <a:xfrm flipV="1">
                                <a:off x="0" y="0"/>
                                <a:ext cx="0" cy="219075"/>
                              </a:xfrm>
                              <a:prstGeom prst="line">
                                <a:avLst/>
                              </a:prstGeom>
                              <a:ln w="9525" cap="flat" cmpd="sng">
                                <a:solidFill>
                                  <a:srgbClr val="000000"/>
                                </a:solidFill>
                                <a:prstDash val="dash"/>
                                <a:headEnd type="none" w="med" len="med"/>
                                <a:tailEnd type="triangle" w="med" len="med"/>
                              </a:ln>
                              <a:effectLst/>
                            </wps:spPr>
                            <wps:bodyPr upright="1"/>
                          </wps:wsp>
                        </a:graphicData>
                      </a:graphic>
                    </wp:anchor>
                  </w:drawing>
                </mc:Choice>
                <mc:Fallback>
                  <w:pict>
                    <v:line id="直线 561" o:spid="_x0000_s1026" o:spt="20" style="position:absolute;left:0pt;flip:y;margin-left:90pt;margin-top:0.1pt;height:17.25pt;width:0pt;z-index:251675648;mso-width-relative:page;mso-height-relative:page;" filled="f" stroked="t" coordsize="21600,21600" o:gfxdata="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9pI4NMAAAAHAQAADwAAAAAAAAABACAAAAAiAAAAZHJzL2Rvd25yZXYueG1sUEsB&#10;AhQAFAAAAAgAh07iQADPOVH6AQAA+AMAAA4AAAAAAAAAAQAgAAAAIgEAAGRycy9lMm9Eb2MueG1s&#10;UEsFBgAAAAAGAAYAWQEAAI4FAAAAAA==&#10;">
                      <v:fill on="f" focussize="0,0"/>
                      <v:stroke color="#000000" joinstyle="round" dashstyle="dash" endarrow="block"/>
                      <v:imagedata o:title=""/>
                      <o:lock v:ext="edit" aspectratio="f"/>
                    </v:line>
                  </w:pict>
                </mc:Fallback>
              </mc:AlternateContent>
            </w:r>
          </w:p>
          <w:p>
            <w:pPr>
              <w:spacing w:line="360" w:lineRule="auto"/>
              <w:rPr>
                <w:rFonts w:hint="default" w:ascii="Times New Roman" w:hAnsi="Times New Roman" w:cs="Times New Roman"/>
                <w:sz w:val="21"/>
                <w:szCs w:val="21"/>
              </w:rPr>
            </w:pPr>
            <w:r>
              <w:rPr>
                <w:rFonts w:hint="default" w:ascii="Times New Roman" w:hAnsi="Times New Roman" w:cs="Times New Roman"/>
                <w:sz w:val="21"/>
                <w:szCs w:val="21"/>
              </w:rPr>
              <mc:AlternateContent>
                <mc:Choice Requires="wps">
                  <w:drawing>
                    <wp:anchor distT="0" distB="0" distL="114300" distR="114300" simplePos="0" relativeHeight="251674624" behindDoc="0" locked="0" layoutInCell="1" allowOverlap="1">
                      <wp:simplePos x="0" y="0"/>
                      <wp:positionH relativeFrom="column">
                        <wp:posOffset>3819525</wp:posOffset>
                      </wp:positionH>
                      <wp:positionV relativeFrom="paragraph">
                        <wp:posOffset>43180</wp:posOffset>
                      </wp:positionV>
                      <wp:extent cx="304800" cy="0"/>
                      <wp:effectExtent l="0" t="38100" r="0" b="38100"/>
                      <wp:wrapNone/>
                      <wp:docPr id="95" name="直线 560"/>
                      <wp:cNvGraphicFramePr/>
                      <a:graphic xmlns:a="http://schemas.openxmlformats.org/drawingml/2006/main">
                        <a:graphicData uri="http://schemas.microsoft.com/office/word/2010/wordprocessingShape">
                          <wps:wsp>
                            <wps:cNvCnPr/>
                            <wps:spPr>
                              <a:xfrm>
                                <a:off x="0" y="0"/>
                                <a:ext cx="304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60" o:spid="_x0000_s1026" o:spt="20" style="position:absolute;left:0pt;margin-left:300.75pt;margin-top:3.4pt;height:0pt;width:24pt;z-index:251674624;mso-width-relative:page;mso-height-relative:page;" filled="f" stroked="t" coordsize="21600,21600" o:gfxdata="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PESl1gAAAAcBAAAPAAAAAAAAAAEAIAAAACIAAABkcnMvZG93bnJldi54bWxQSwECFAAU&#10;AAAACACHTuJAC5qTNfMBAADvAwAADgAAAAAAAAABACAAAAAlAQAAZHJzL2Uyb0RvYy54bWxQSwUG&#10;AAAAAAYABgBZAQAAigUAAAAA&#10;">
                      <v:fill on="f" focussize="0,0"/>
                      <v:stroke color="#000000" joinstyle="round" endarrow="block"/>
                      <v:imagedata o:title=""/>
                      <o:lock v:ext="edit" aspectratio="f"/>
                    </v:line>
                  </w:pict>
                </mc:Fallback>
              </mc:AlternateContent>
            </w:r>
          </w:p>
          <w:p>
            <w:pPr>
              <w:adjustRightInd w:val="0"/>
              <w:snapToGrid w:val="0"/>
              <w:spacing w:line="360" w:lineRule="auto"/>
              <w:jc w:val="center"/>
              <w:rPr>
                <w:rFonts w:hint="default" w:ascii="Times New Roman" w:hAnsi="Times New Roman" w:cs="Times New Roman"/>
                <w:b/>
                <w:sz w:val="21"/>
                <w:szCs w:val="21"/>
              </w:rPr>
            </w:pPr>
          </w:p>
          <w:p>
            <w:pPr>
              <w:adjustRightInd w:val="0"/>
              <w:snapToGrid w:val="0"/>
              <w:spacing w:line="36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图2-</w:t>
            </w:r>
            <w:r>
              <w:rPr>
                <w:rFonts w:hint="default" w:ascii="Times New Roman" w:hAnsi="Times New Roman" w:cs="Times New Roman"/>
                <w:b/>
                <w:sz w:val="21"/>
                <w:szCs w:val="21"/>
                <w:lang w:val="en-US" w:eastAsia="zh-CN"/>
              </w:rPr>
              <w:t>2</w:t>
            </w:r>
            <w:r>
              <w:rPr>
                <w:rFonts w:hint="default" w:ascii="Times New Roman" w:hAnsi="Times New Roman" w:cs="Times New Roman"/>
                <w:b/>
                <w:sz w:val="21"/>
                <w:szCs w:val="21"/>
              </w:rPr>
              <w:t xml:space="preserve">  施工期主要流程及产污环节</w:t>
            </w:r>
          </w:p>
          <w:p>
            <w:pPr>
              <w:pStyle w:val="15"/>
              <w:spacing w:after="0"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本项目施工期间的基础工程、主体工程、装饰工程、设备安装等工序将产生噪声、扬尘、固体废弃物、少量污水和废气污染物，其排放量随工期和施工强度不同而有所变化。</w:t>
            </w:r>
          </w:p>
          <w:p>
            <w:pPr>
              <w:pStyle w:val="31"/>
              <w:spacing w:line="360" w:lineRule="auto"/>
              <w:ind w:firstLine="482" w:firstLineChars="200"/>
              <w:jc w:val="left"/>
              <w:rPr>
                <w:rFonts w:hAnsi="宋体"/>
                <w:b/>
                <w:sz w:val="24"/>
                <w:szCs w:val="24"/>
              </w:rPr>
            </w:pPr>
            <w:r>
              <w:rPr>
                <w:rFonts w:hint="eastAsia" w:hAnsi="宋体"/>
                <w:b/>
                <w:sz w:val="24"/>
                <w:szCs w:val="24"/>
              </w:rPr>
              <w:t>施工期产污环节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（1）施工期的大气污染物主要有施工扬尘、粉尘、燃油机械废气。</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（2）施工过程中产生的废水主要有施工废水、施工人员生活污水。</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（3）施工期噪声污染源包括施工机械噪声及交通运输噪声。</w:t>
            </w:r>
          </w:p>
          <w:p>
            <w:pPr>
              <w:spacing w:line="360" w:lineRule="auto"/>
              <w:ind w:firstLine="480" w:firstLineChars="200"/>
              <w:rPr>
                <w:sz w:val="24"/>
                <w:szCs w:val="24"/>
              </w:rPr>
            </w:pPr>
            <w:r>
              <w:rPr>
                <w:rFonts w:hint="default" w:ascii="Times New Roman" w:hAnsi="Times New Roman" w:cs="Times New Roman"/>
                <w:sz w:val="24"/>
                <w:szCs w:val="24"/>
              </w:rPr>
              <w:t>（4）施工期固废主要为场地平整产生的施工弃渣，装修过程产生建筑垃圾和施工人员生活垃圾</w:t>
            </w:r>
            <w:r>
              <w:rPr>
                <w:rFonts w:hint="eastAsia" w:ascii="Times New Roman" w:hAnsi="宋体" w:eastAsia="宋体" w:cs="Times New Roman"/>
                <w:sz w:val="24"/>
                <w:szCs w:val="24"/>
              </w:rPr>
              <w:t>。</w:t>
            </w:r>
          </w:p>
          <w:p>
            <w:pPr>
              <w:pStyle w:val="2"/>
              <w:bidi w:val="0"/>
              <w:rPr>
                <w:rFonts w:hint="default" w:ascii="Times New Roman" w:hAnsi="Times New Roman" w:eastAsia="宋体" w:cs="Times New Roman"/>
              </w:rPr>
            </w:pPr>
            <w:r>
              <w:rPr>
                <w:rFonts w:hint="eastAsia" w:ascii="Times New Roman" w:hAnsi="Times New Roman" w:eastAsia="宋体" w:cs="Times New Roman"/>
                <w:lang w:val="en-US" w:eastAsia="zh-CN"/>
              </w:rPr>
              <w:t>2、</w:t>
            </w:r>
            <w:r>
              <w:rPr>
                <w:rFonts w:hint="default" w:ascii="Times New Roman" w:hAnsi="Times New Roman" w:eastAsia="宋体" w:cs="Times New Roman"/>
              </w:rPr>
              <w:t>运营期工艺流程</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（1）注射液产品生产工艺</w:t>
            </w:r>
          </w:p>
          <w:p>
            <w:pPr>
              <w:rPr>
                <w:rFonts w:hint="default" w:ascii="Times New Roman" w:hAnsi="Times New Roman" w:cs="Times New Roman"/>
                <w:lang w:val="en-US" w:eastAsia="zh-CN"/>
              </w:rPr>
            </w:pPr>
            <w:r>
              <w:rPr>
                <w:rFonts w:hint="default"/>
                <w:lang w:val="en-US" w:eastAsia="zh-CN"/>
              </w:rPr>
              <w:object>
                <v:shape id="_x0000_i1044" o:spt="75" type="#_x0000_t75" style="height:426pt;width:378pt;" o:ole="t" filled="f" o:preferrelative="t" stroked="f" coordsize="21600,21600">
                  <v:path/>
                  <v:fill on="f" focussize="0,0"/>
                  <v:stroke on="f"/>
                  <v:imagedata r:id="rId15" o:title=""/>
                  <o:lock v:ext="edit" aspectratio="f"/>
                  <w10:wrap type="none"/>
                  <w10:anchorlock/>
                </v:shape>
                <o:OLEObject Type="Embed" ProgID="Visio.Drawing.11" ShapeID="_x0000_i1044" DrawAspect="Content" ObjectID="_1468075726" r:id="rId14">
                  <o:LockedField>false</o:LockedField>
                </o:OLEObject>
              </w:object>
            </w:r>
          </w:p>
          <w:p>
            <w:pPr>
              <w:adjustRightInd w:val="0"/>
              <w:snapToGrid w:val="0"/>
              <w:spacing w:line="360" w:lineRule="auto"/>
              <w:ind w:firstLine="422" w:firstLineChars="20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图2-</w:t>
            </w:r>
            <w:r>
              <w:rPr>
                <w:rFonts w:hint="eastAsia" w:cs="Times New Roman"/>
                <w:b/>
                <w:bCs/>
                <w:color w:val="auto"/>
                <w:sz w:val="21"/>
                <w:szCs w:val="21"/>
                <w:u w:val="single"/>
                <w:lang w:val="en-US" w:eastAsia="zh-CN"/>
              </w:rPr>
              <w:t>3</w:t>
            </w:r>
            <w:r>
              <w:rPr>
                <w:rFonts w:hint="default" w:ascii="Times New Roman" w:hAnsi="Times New Roman" w:cs="Times New Roman"/>
                <w:b/>
                <w:bCs/>
                <w:color w:val="auto"/>
                <w:sz w:val="21"/>
                <w:szCs w:val="21"/>
                <w:u w:val="single"/>
                <w:lang w:val="en-US" w:eastAsia="zh-CN"/>
              </w:rPr>
              <w:t xml:space="preserve">   </w:t>
            </w:r>
            <w:r>
              <w:rPr>
                <w:rFonts w:hint="eastAsia" w:ascii="Times New Roman" w:hAnsi="Times New Roman" w:cs="Times New Roman"/>
                <w:b/>
                <w:bCs/>
                <w:color w:val="auto"/>
                <w:sz w:val="21"/>
                <w:szCs w:val="21"/>
                <w:u w:val="single"/>
                <w:lang w:val="en-US" w:eastAsia="zh-CN"/>
              </w:rPr>
              <w:t>注射液产品</w:t>
            </w:r>
            <w:r>
              <w:rPr>
                <w:rFonts w:hint="default" w:ascii="Times New Roman" w:hAnsi="Times New Roman" w:cs="Times New Roman"/>
                <w:b/>
                <w:bCs/>
                <w:color w:val="auto"/>
                <w:sz w:val="21"/>
                <w:szCs w:val="21"/>
                <w:u w:val="single"/>
                <w:lang w:val="en-US" w:eastAsia="zh-CN"/>
              </w:rPr>
              <w:t>工艺流程图</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工艺流程说明：</w:t>
            </w:r>
          </w:p>
          <w:p>
            <w:pPr>
              <w:spacing w:line="360" w:lineRule="auto"/>
              <w:ind w:firstLine="480" w:firstLineChars="200"/>
              <w:rPr>
                <w:rFonts w:hint="default" w:ascii="Times New Roman" w:hAnsi="Times New Roman" w:eastAsia="宋体" w:cs="Times New Roman"/>
                <w:sz w:val="24"/>
                <w:szCs w:val="24"/>
                <w:u w:val="single"/>
                <w:lang w:eastAsia="zh-CN"/>
              </w:rPr>
            </w:pPr>
            <w:r>
              <w:rPr>
                <w:rFonts w:hint="eastAsia" w:ascii="Times New Roman" w:hAnsi="Times New Roman" w:eastAsia="宋体" w:cs="Times New Roman"/>
                <w:sz w:val="24"/>
                <w:szCs w:val="24"/>
                <w:u w:val="single"/>
                <w:lang w:val="en-US" w:eastAsia="zh-CN"/>
              </w:rPr>
              <w:t>1、</w:t>
            </w:r>
            <w:r>
              <w:rPr>
                <w:rFonts w:hint="eastAsia" w:ascii="Times New Roman" w:hAnsi="Times New Roman" w:eastAsia="宋体" w:cs="Times New Roman"/>
                <w:sz w:val="24"/>
                <w:szCs w:val="24"/>
                <w:u w:val="single"/>
                <w:lang w:eastAsia="zh-CN"/>
              </w:rPr>
              <w:t>称量、配料：</w:t>
            </w:r>
          </w:p>
          <w:p>
            <w:pPr>
              <w:spacing w:line="360" w:lineRule="auto"/>
              <w:ind w:firstLine="480" w:firstLineChars="200"/>
              <w:rPr>
                <w:rFonts w:hint="default" w:ascii="Times New Roman" w:hAnsi="Times New Roman" w:eastAsia="宋体" w:cs="Times New Roman"/>
                <w:sz w:val="24"/>
                <w:szCs w:val="24"/>
                <w:u w:val="single"/>
                <w:lang w:eastAsia="zh-CN"/>
              </w:rPr>
            </w:pPr>
            <w:r>
              <w:rPr>
                <w:rFonts w:hint="eastAsia" w:ascii="Times New Roman" w:hAnsi="Times New Roman" w:eastAsia="宋体" w:cs="Times New Roman"/>
                <w:sz w:val="24"/>
                <w:szCs w:val="24"/>
                <w:u w:val="single"/>
                <w:lang w:eastAsia="zh-CN"/>
              </w:rPr>
              <w:t>核对原辅料的品名、规格、批号、数量与领料单一致，且各原辅料经QC检验合格，提供有检验单号并经过质量管理人员放行。</w:t>
            </w:r>
          </w:p>
          <w:p>
            <w:pPr>
              <w:spacing w:line="360" w:lineRule="auto"/>
              <w:ind w:firstLine="480" w:firstLineChars="200"/>
              <w:rPr>
                <w:rFonts w:hint="default" w:ascii="Times New Roman" w:hAnsi="Times New Roman" w:eastAsia="宋体" w:cs="Times New Roman"/>
                <w:sz w:val="24"/>
                <w:szCs w:val="24"/>
                <w:u w:val="single"/>
                <w:lang w:eastAsia="zh-CN"/>
              </w:rPr>
            </w:pPr>
            <w:r>
              <w:rPr>
                <w:rFonts w:hint="eastAsia" w:ascii="Times New Roman" w:hAnsi="Times New Roman" w:eastAsia="宋体" w:cs="Times New Roman"/>
                <w:sz w:val="24"/>
                <w:szCs w:val="24"/>
                <w:u w:val="single"/>
                <w:lang w:eastAsia="zh-CN"/>
              </w:rPr>
              <w:t>按生产指令单准确称量各原辅料并做好标识，称量过程需第2人单独复核，现场QA人员全过程监控。</w:t>
            </w:r>
          </w:p>
          <w:p>
            <w:pPr>
              <w:spacing w:line="360" w:lineRule="auto"/>
              <w:ind w:firstLine="480" w:firstLineChars="200"/>
              <w:rPr>
                <w:rFonts w:hint="default" w:ascii="Times New Roman" w:hAnsi="Times New Roman" w:eastAsia="宋体" w:cs="Times New Roman"/>
                <w:sz w:val="24"/>
                <w:szCs w:val="24"/>
                <w:u w:val="single"/>
                <w:lang w:eastAsia="zh-CN"/>
              </w:rPr>
            </w:pPr>
            <w:r>
              <w:rPr>
                <w:rFonts w:hint="eastAsia" w:ascii="Times New Roman" w:hAnsi="Times New Roman" w:eastAsia="宋体" w:cs="Times New Roman"/>
                <w:sz w:val="24"/>
                <w:szCs w:val="24"/>
                <w:u w:val="single"/>
                <w:lang w:val="en-US" w:eastAsia="zh-CN"/>
              </w:rPr>
              <w:t>2、</w:t>
            </w:r>
            <w:r>
              <w:rPr>
                <w:rFonts w:hint="eastAsia" w:ascii="Times New Roman" w:hAnsi="Times New Roman" w:eastAsia="宋体" w:cs="Times New Roman"/>
                <w:sz w:val="24"/>
                <w:szCs w:val="24"/>
                <w:u w:val="single"/>
                <w:lang w:eastAsia="zh-CN"/>
              </w:rPr>
              <w:t>配液：</w:t>
            </w:r>
          </w:p>
          <w:p>
            <w:pPr>
              <w:spacing w:line="360" w:lineRule="auto"/>
              <w:ind w:firstLine="480" w:firstLineChars="200"/>
              <w:rPr>
                <w:rFonts w:hint="eastAsia" w:ascii="Times New Roman" w:hAnsi="Times New Roman" w:eastAsia="宋体" w:cs="Times New Roman"/>
                <w:b/>
                <w:bCs/>
                <w:sz w:val="24"/>
                <w:szCs w:val="24"/>
                <w:u w:val="single"/>
                <w:lang w:eastAsia="zh-CN"/>
              </w:rPr>
            </w:pPr>
            <w:r>
              <w:rPr>
                <w:rFonts w:hint="eastAsia" w:ascii="Times New Roman" w:hAnsi="Times New Roman" w:eastAsia="宋体" w:cs="Times New Roman"/>
                <w:sz w:val="24"/>
                <w:szCs w:val="24"/>
                <w:u w:val="single"/>
                <w:lang w:eastAsia="zh-CN"/>
              </w:rPr>
              <w:t>把辅料</w:t>
            </w:r>
            <w:r>
              <w:rPr>
                <w:rFonts w:hint="default" w:ascii="Times New Roman" w:hAnsi="Times New Roman" w:eastAsia="宋体" w:cs="Times New Roman"/>
                <w:sz w:val="24"/>
                <w:szCs w:val="24"/>
                <w:u w:val="single"/>
                <w:lang w:eastAsia="zh-CN"/>
              </w:rPr>
              <w:t>及原料依次加入到适量纯化水中，</w:t>
            </w:r>
            <w:r>
              <w:rPr>
                <w:rFonts w:hint="eastAsia" w:ascii="Times New Roman" w:hAnsi="Times New Roman" w:eastAsia="宋体" w:cs="Times New Roman"/>
                <w:sz w:val="24"/>
                <w:szCs w:val="24"/>
                <w:u w:val="single"/>
                <w:lang w:eastAsia="zh-CN"/>
              </w:rPr>
              <w:t>边加边搅拌，</w:t>
            </w:r>
            <w:r>
              <w:rPr>
                <w:rFonts w:hint="default" w:ascii="Times New Roman" w:hAnsi="Times New Roman" w:eastAsia="宋体" w:cs="Times New Roman"/>
                <w:sz w:val="24"/>
                <w:szCs w:val="24"/>
                <w:u w:val="single"/>
                <w:lang w:eastAsia="zh-CN"/>
              </w:rPr>
              <w:t>使成均匀的</w:t>
            </w:r>
            <w:r>
              <w:rPr>
                <w:rFonts w:hint="default" w:ascii="Times New Roman" w:hAnsi="Times New Roman" w:eastAsia="宋体" w:cs="Times New Roman"/>
                <w:sz w:val="24"/>
                <w:szCs w:val="24"/>
                <w:u w:val="single"/>
              </w:rPr>
              <w:t>溶液</w:t>
            </w:r>
            <w:r>
              <w:rPr>
                <w:rFonts w:hint="eastAsia" w:ascii="Times New Roman" w:hAnsi="Times New Roman" w:eastAsia="宋体" w:cs="Times New Roman"/>
                <w:sz w:val="24"/>
                <w:szCs w:val="24"/>
                <w:u w:val="single"/>
              </w:rPr>
              <w:t>/</w:t>
            </w:r>
            <w:r>
              <w:rPr>
                <w:rFonts w:hint="default" w:ascii="Times New Roman" w:hAnsi="Times New Roman" w:eastAsia="宋体" w:cs="Times New Roman"/>
                <w:sz w:val="24"/>
                <w:szCs w:val="24"/>
                <w:u w:val="single"/>
              </w:rPr>
              <w:t>混悬液</w:t>
            </w:r>
            <w:r>
              <w:rPr>
                <w:rFonts w:hint="eastAsia" w:ascii="Times New Roman" w:hAnsi="Times New Roman" w:eastAsia="宋体" w:cs="Times New Roman"/>
                <w:b/>
                <w:bCs/>
                <w:sz w:val="24"/>
                <w:szCs w:val="24"/>
                <w:u w:val="single"/>
                <w:lang w:eastAsia="zh-CN"/>
              </w:rPr>
              <w:t>。</w:t>
            </w:r>
          </w:p>
          <w:p>
            <w:pPr>
              <w:spacing w:line="360" w:lineRule="auto"/>
              <w:ind w:firstLine="480" w:firstLineChars="200"/>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lang w:val="en-US" w:eastAsia="zh-CN"/>
              </w:rPr>
              <w:t>3、</w:t>
            </w:r>
            <w:r>
              <w:rPr>
                <w:rFonts w:hint="eastAsia" w:ascii="Times New Roman" w:hAnsi="Times New Roman" w:eastAsia="宋体" w:cs="Times New Roman"/>
                <w:sz w:val="24"/>
                <w:szCs w:val="24"/>
                <w:u w:val="single"/>
              </w:rPr>
              <w:t>灌装：</w:t>
            </w:r>
            <w:r>
              <w:rPr>
                <w:rFonts w:hint="default" w:ascii="Times New Roman" w:hAnsi="Times New Roman" w:eastAsia="宋体" w:cs="Times New Roman"/>
                <w:sz w:val="24"/>
                <w:szCs w:val="24"/>
                <w:u w:val="single"/>
              </w:rPr>
              <w:t>搅拌均匀的溶液</w:t>
            </w:r>
            <w:r>
              <w:rPr>
                <w:rFonts w:hint="eastAsia" w:ascii="Times New Roman" w:hAnsi="Times New Roman" w:eastAsia="宋体" w:cs="Times New Roman"/>
                <w:sz w:val="24"/>
                <w:szCs w:val="24"/>
                <w:u w:val="single"/>
              </w:rPr>
              <w:t>/</w:t>
            </w:r>
            <w:r>
              <w:rPr>
                <w:rFonts w:hint="default" w:ascii="Times New Roman" w:hAnsi="Times New Roman" w:eastAsia="宋体" w:cs="Times New Roman"/>
                <w:sz w:val="24"/>
                <w:szCs w:val="24"/>
                <w:u w:val="single"/>
              </w:rPr>
              <w:t>混悬液加入</w:t>
            </w:r>
            <w:r>
              <w:rPr>
                <w:rFonts w:hint="eastAsia" w:ascii="Times New Roman" w:hAnsi="Times New Roman" w:eastAsia="宋体" w:cs="Times New Roman"/>
                <w:sz w:val="24"/>
                <w:szCs w:val="24"/>
                <w:u w:val="single"/>
              </w:rPr>
              <w:t>灌装机的容器内</w:t>
            </w:r>
            <w:r>
              <w:rPr>
                <w:rFonts w:hint="default" w:ascii="Times New Roman" w:hAnsi="Times New Roman" w:eastAsia="宋体" w:cs="Times New Roman"/>
                <w:sz w:val="24"/>
                <w:szCs w:val="24"/>
                <w:u w:val="single"/>
              </w:rPr>
              <w:t>，</w:t>
            </w:r>
            <w:r>
              <w:rPr>
                <w:rFonts w:hint="eastAsia" w:ascii="Times New Roman" w:hAnsi="Times New Roman" w:eastAsia="宋体" w:cs="Times New Roman"/>
                <w:sz w:val="24"/>
                <w:szCs w:val="24"/>
                <w:u w:val="single"/>
              </w:rPr>
              <w:t>按照</w:t>
            </w:r>
            <w:r>
              <w:rPr>
                <w:rFonts w:hint="default" w:ascii="Times New Roman" w:hAnsi="Times New Roman" w:eastAsia="宋体" w:cs="Times New Roman"/>
                <w:sz w:val="24"/>
                <w:szCs w:val="24"/>
                <w:u w:val="single"/>
              </w:rPr>
              <w:t>溶液</w:t>
            </w:r>
            <w:r>
              <w:rPr>
                <w:rFonts w:hint="eastAsia" w:ascii="Times New Roman" w:hAnsi="Times New Roman" w:eastAsia="宋体" w:cs="Times New Roman"/>
                <w:sz w:val="24"/>
                <w:szCs w:val="24"/>
                <w:u w:val="single"/>
              </w:rPr>
              <w:t>/</w:t>
            </w:r>
            <w:r>
              <w:rPr>
                <w:rFonts w:hint="default" w:ascii="Times New Roman" w:hAnsi="Times New Roman" w:eastAsia="宋体" w:cs="Times New Roman"/>
                <w:sz w:val="24"/>
                <w:szCs w:val="24"/>
                <w:u w:val="single"/>
              </w:rPr>
              <w:t>混悬液的含量计算</w:t>
            </w:r>
            <w:r>
              <w:rPr>
                <w:rFonts w:hint="eastAsia" w:ascii="Times New Roman" w:hAnsi="Times New Roman" w:eastAsia="宋体" w:cs="Times New Roman"/>
                <w:sz w:val="24"/>
                <w:szCs w:val="24"/>
                <w:u w:val="single"/>
              </w:rPr>
              <w:t>装量</w:t>
            </w:r>
            <w:r>
              <w:rPr>
                <w:rFonts w:hint="default" w:ascii="Times New Roman" w:hAnsi="Times New Roman" w:eastAsia="宋体" w:cs="Times New Roman"/>
                <w:sz w:val="24"/>
                <w:szCs w:val="24"/>
                <w:u w:val="single"/>
              </w:rPr>
              <w:t>，调整好装量试运行，直到</w:t>
            </w:r>
            <w:r>
              <w:rPr>
                <w:rFonts w:hint="eastAsia" w:ascii="Times New Roman" w:hAnsi="Times New Roman" w:eastAsia="宋体" w:cs="Times New Roman"/>
                <w:sz w:val="24"/>
                <w:szCs w:val="24"/>
                <w:u w:val="single"/>
              </w:rPr>
              <w:t>装量</w:t>
            </w:r>
            <w:r>
              <w:rPr>
                <w:rFonts w:hint="default" w:ascii="Times New Roman" w:hAnsi="Times New Roman" w:eastAsia="宋体" w:cs="Times New Roman"/>
                <w:sz w:val="24"/>
                <w:szCs w:val="24"/>
                <w:u w:val="single"/>
              </w:rPr>
              <w:t>符合要求后开始正式</w:t>
            </w:r>
            <w:r>
              <w:rPr>
                <w:rFonts w:hint="eastAsia" w:ascii="Times New Roman" w:hAnsi="Times New Roman" w:eastAsia="宋体" w:cs="Times New Roman"/>
                <w:sz w:val="24"/>
                <w:szCs w:val="24"/>
                <w:u w:val="single"/>
              </w:rPr>
              <w:t>灌装，</w:t>
            </w:r>
            <w:r>
              <w:rPr>
                <w:rFonts w:hint="default" w:ascii="Times New Roman" w:hAnsi="Times New Roman" w:eastAsia="宋体" w:cs="Times New Roman"/>
                <w:sz w:val="24"/>
                <w:szCs w:val="24"/>
                <w:u w:val="single"/>
              </w:rPr>
              <w:t>并依次经过旋盖机</w:t>
            </w:r>
            <w:r>
              <w:rPr>
                <w:rFonts w:hint="eastAsia" w:ascii="Times New Roman" w:hAnsi="Times New Roman" w:eastAsia="宋体" w:cs="Times New Roman"/>
                <w:sz w:val="24"/>
                <w:szCs w:val="24"/>
                <w:u w:val="single"/>
              </w:rPr>
              <w:t>、</w:t>
            </w:r>
            <w:r>
              <w:rPr>
                <w:rFonts w:hint="default" w:ascii="Times New Roman" w:hAnsi="Times New Roman" w:eastAsia="宋体" w:cs="Times New Roman"/>
                <w:sz w:val="24"/>
                <w:szCs w:val="24"/>
                <w:u w:val="single"/>
              </w:rPr>
              <w:t>贴标机</w:t>
            </w:r>
            <w:r>
              <w:rPr>
                <w:rFonts w:hint="eastAsia" w:ascii="Times New Roman" w:hAnsi="Times New Roman" w:eastAsia="宋体" w:cs="Times New Roman"/>
                <w:sz w:val="24"/>
                <w:szCs w:val="24"/>
                <w:u w:val="single"/>
              </w:rPr>
              <w:t>、</w:t>
            </w:r>
            <w:r>
              <w:rPr>
                <w:rFonts w:hint="default" w:ascii="Times New Roman" w:hAnsi="Times New Roman" w:eastAsia="宋体" w:cs="Times New Roman"/>
                <w:sz w:val="24"/>
                <w:szCs w:val="24"/>
                <w:u w:val="single"/>
              </w:rPr>
              <w:t>喷码机等</w:t>
            </w:r>
            <w:r>
              <w:rPr>
                <w:rFonts w:hint="eastAsia" w:ascii="Times New Roman" w:hAnsi="Times New Roman" w:eastAsia="宋体" w:cs="Times New Roman"/>
                <w:sz w:val="24"/>
                <w:szCs w:val="24"/>
                <w:u w:val="single"/>
              </w:rPr>
              <w:t>进行</w:t>
            </w:r>
            <w:r>
              <w:rPr>
                <w:rFonts w:hint="default" w:ascii="Times New Roman" w:hAnsi="Times New Roman" w:eastAsia="宋体" w:cs="Times New Roman"/>
                <w:sz w:val="24"/>
                <w:szCs w:val="24"/>
                <w:u w:val="single"/>
              </w:rPr>
              <w:t>包装及赋码</w:t>
            </w:r>
            <w:r>
              <w:rPr>
                <w:rFonts w:hint="eastAsia" w:ascii="Times New Roman" w:hAnsi="Times New Roman" w:eastAsia="宋体" w:cs="Times New Roman"/>
                <w:sz w:val="24"/>
                <w:szCs w:val="24"/>
                <w:u w:val="single"/>
              </w:rPr>
              <w:t>。</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4、灭菌</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采用高温蒸汽进行灭菌。</w:t>
            </w:r>
          </w:p>
          <w:p>
            <w:pPr>
              <w:spacing w:line="360" w:lineRule="auto"/>
              <w:ind w:firstLine="480" w:firstLineChars="200"/>
              <w:rPr>
                <w:rFonts w:hint="default" w:ascii="Times New Roman" w:hAnsi="Times New Roman" w:eastAsia="宋体" w:cs="Times New Roman"/>
                <w:sz w:val="24"/>
                <w:szCs w:val="24"/>
                <w:u w:val="single"/>
                <w:lang w:eastAsia="zh-CN"/>
              </w:rPr>
            </w:pPr>
            <w:r>
              <w:rPr>
                <w:rFonts w:hint="eastAsia" w:ascii="Times New Roman" w:hAnsi="Times New Roman" w:eastAsia="宋体" w:cs="Times New Roman"/>
                <w:sz w:val="24"/>
                <w:szCs w:val="24"/>
                <w:u w:val="single"/>
                <w:lang w:val="en-US" w:eastAsia="zh-CN"/>
              </w:rPr>
              <w:t>5、</w:t>
            </w:r>
            <w:r>
              <w:rPr>
                <w:rFonts w:hint="default" w:ascii="Times New Roman" w:hAnsi="Times New Roman" w:eastAsia="宋体" w:cs="Times New Roman"/>
                <w:sz w:val="24"/>
                <w:szCs w:val="24"/>
                <w:u w:val="single"/>
                <w:lang w:eastAsia="zh-CN"/>
              </w:rPr>
              <w:t>外包装：</w:t>
            </w:r>
            <w:r>
              <w:rPr>
                <w:rFonts w:hint="eastAsia" w:ascii="Times New Roman" w:hAnsi="Times New Roman" w:eastAsia="宋体" w:cs="Times New Roman"/>
                <w:sz w:val="24"/>
                <w:szCs w:val="24"/>
                <w:u w:val="single"/>
                <w:lang w:eastAsia="zh-CN"/>
              </w:rPr>
              <w:t>灌装后的药瓶</w:t>
            </w:r>
            <w:r>
              <w:rPr>
                <w:rFonts w:hint="default" w:ascii="Times New Roman" w:hAnsi="Times New Roman" w:eastAsia="宋体" w:cs="Times New Roman"/>
                <w:sz w:val="24"/>
                <w:szCs w:val="24"/>
                <w:u w:val="single"/>
                <w:lang w:eastAsia="zh-CN"/>
              </w:rPr>
              <w:t>装入小盒后再按照数量要求装入大箱。</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6、</w:t>
            </w:r>
            <w:r>
              <w:rPr>
                <w:rFonts w:hint="eastAsia" w:ascii="Times New Roman" w:hAnsi="Times New Roman" w:eastAsia="宋体" w:cs="Times New Roman"/>
                <w:sz w:val="24"/>
                <w:szCs w:val="24"/>
                <w:u w:val="single"/>
                <w:lang w:eastAsia="zh-CN"/>
              </w:rPr>
              <w:t>包装、出库。</w:t>
            </w:r>
          </w:p>
          <w:p>
            <w:pPr>
              <w:pStyle w:val="6"/>
              <w:bidi w:val="0"/>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（2）冻干生产工艺</w:t>
            </w:r>
          </w:p>
          <w:p>
            <w:pPr>
              <w:jc w:val="center"/>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object>
                <v:shape id="_x0000_i1045" o:spt="75" type="#_x0000_t75" style="height:376.3pt;width:352.35pt;" o:ole="t" filled="f" o:preferrelative="t" stroked="f" coordsize="21600,21600">
                  <v:path/>
                  <v:fill on="f" focussize="0,0"/>
                  <v:stroke on="f"/>
                  <v:imagedata r:id="rId17" o:title=""/>
                  <o:lock v:ext="edit" aspectratio="f"/>
                  <w10:wrap type="none"/>
                  <w10:anchorlock/>
                </v:shape>
                <o:OLEObject Type="Embed" ProgID="Visio.Drawing.11" ShapeID="_x0000_i1045" DrawAspect="Content" ObjectID="_1468075727" r:id="rId16">
                  <o:LockedField>false</o:LockedField>
                </o:OLEObject>
              </w:object>
            </w:r>
          </w:p>
          <w:p>
            <w:pPr>
              <w:adjustRightInd w:val="0"/>
              <w:snapToGrid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u w:val="single"/>
                <w:lang w:val="en-US" w:eastAsia="zh-CN"/>
              </w:rPr>
              <w:t>图2-</w:t>
            </w:r>
            <w:r>
              <w:rPr>
                <w:rFonts w:hint="eastAsia" w:cs="Times New Roman"/>
                <w:b/>
                <w:bCs/>
                <w:color w:val="auto"/>
                <w:sz w:val="21"/>
                <w:szCs w:val="21"/>
                <w:u w:val="single"/>
                <w:lang w:val="en-US" w:eastAsia="zh-CN"/>
              </w:rPr>
              <w:t>4</w:t>
            </w:r>
            <w:r>
              <w:rPr>
                <w:rFonts w:hint="default" w:ascii="Times New Roman" w:hAnsi="Times New Roman" w:cs="Times New Roman"/>
                <w:b/>
                <w:bCs/>
                <w:color w:val="auto"/>
                <w:sz w:val="21"/>
                <w:szCs w:val="21"/>
                <w:u w:val="single"/>
                <w:lang w:val="en-US" w:eastAsia="zh-CN"/>
              </w:rPr>
              <w:t xml:space="preserve">   </w:t>
            </w:r>
            <w:r>
              <w:rPr>
                <w:rFonts w:hint="eastAsia" w:ascii="Times New Roman" w:hAnsi="Times New Roman" w:cs="Times New Roman"/>
                <w:b/>
                <w:bCs/>
                <w:color w:val="auto"/>
                <w:sz w:val="21"/>
                <w:szCs w:val="21"/>
                <w:u w:val="single"/>
                <w:lang w:val="en-US" w:eastAsia="zh-CN"/>
              </w:rPr>
              <w:t>冻干产品</w:t>
            </w:r>
            <w:r>
              <w:rPr>
                <w:rFonts w:hint="default" w:ascii="Times New Roman" w:hAnsi="Times New Roman" w:cs="Times New Roman"/>
                <w:b/>
                <w:bCs/>
                <w:color w:val="auto"/>
                <w:sz w:val="21"/>
                <w:szCs w:val="21"/>
                <w:u w:val="single"/>
                <w:lang w:val="en-US" w:eastAsia="zh-CN"/>
              </w:rPr>
              <w:t>工艺流程图</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工艺流程说明：</w:t>
            </w:r>
          </w:p>
          <w:p>
            <w:pPr>
              <w:spacing w:line="360" w:lineRule="auto"/>
              <w:ind w:firstLine="480" w:firstLineChars="200"/>
              <w:rPr>
                <w:rFonts w:hint="default" w:ascii="Times New Roman" w:hAnsi="Times New Roman" w:eastAsia="宋体" w:cs="Times New Roman"/>
                <w:sz w:val="24"/>
                <w:szCs w:val="24"/>
                <w:u w:val="single"/>
                <w:lang w:eastAsia="zh-CN"/>
              </w:rPr>
            </w:pPr>
            <w:r>
              <w:rPr>
                <w:rFonts w:hint="eastAsia" w:ascii="Times New Roman" w:hAnsi="Times New Roman" w:eastAsia="宋体" w:cs="Times New Roman"/>
                <w:sz w:val="24"/>
                <w:szCs w:val="24"/>
                <w:u w:val="single"/>
                <w:lang w:val="en-US" w:eastAsia="zh-CN"/>
              </w:rPr>
              <w:t>1、</w:t>
            </w:r>
            <w:r>
              <w:rPr>
                <w:rFonts w:hint="eastAsia" w:ascii="Times New Roman" w:hAnsi="Times New Roman" w:eastAsia="宋体" w:cs="Times New Roman"/>
                <w:sz w:val="24"/>
                <w:szCs w:val="24"/>
                <w:u w:val="single"/>
                <w:lang w:eastAsia="zh-CN"/>
              </w:rPr>
              <w:t>称量、配料：</w:t>
            </w:r>
          </w:p>
          <w:p>
            <w:pPr>
              <w:spacing w:line="360" w:lineRule="auto"/>
              <w:ind w:firstLine="480" w:firstLineChars="200"/>
              <w:rPr>
                <w:rFonts w:hint="default" w:ascii="Times New Roman" w:hAnsi="Times New Roman" w:eastAsia="宋体" w:cs="Times New Roman"/>
                <w:sz w:val="24"/>
                <w:szCs w:val="24"/>
                <w:u w:val="single"/>
                <w:lang w:eastAsia="zh-CN"/>
              </w:rPr>
            </w:pPr>
            <w:r>
              <w:rPr>
                <w:rFonts w:hint="eastAsia" w:ascii="Times New Roman" w:hAnsi="Times New Roman" w:eastAsia="宋体" w:cs="Times New Roman"/>
                <w:sz w:val="24"/>
                <w:szCs w:val="24"/>
                <w:u w:val="single"/>
                <w:lang w:eastAsia="zh-CN"/>
              </w:rPr>
              <w:t>核对原辅料的品名、规格、批号、数量与领料单一致，且各原辅料经QC检验合格，提供有检验单号并经过质量管理人员放行。</w:t>
            </w:r>
          </w:p>
          <w:p>
            <w:pPr>
              <w:spacing w:line="360" w:lineRule="auto"/>
              <w:ind w:firstLine="480" w:firstLineChars="200"/>
              <w:rPr>
                <w:rFonts w:hint="default" w:ascii="Times New Roman" w:hAnsi="Times New Roman" w:eastAsia="宋体" w:cs="Times New Roman"/>
                <w:sz w:val="24"/>
                <w:szCs w:val="24"/>
                <w:u w:val="single"/>
                <w:lang w:eastAsia="zh-CN"/>
              </w:rPr>
            </w:pPr>
            <w:r>
              <w:rPr>
                <w:rFonts w:hint="eastAsia" w:ascii="Times New Roman" w:hAnsi="Times New Roman" w:eastAsia="宋体" w:cs="Times New Roman"/>
                <w:sz w:val="24"/>
                <w:szCs w:val="24"/>
                <w:u w:val="single"/>
                <w:lang w:eastAsia="zh-CN"/>
              </w:rPr>
              <w:t>按生产指令单准确称量各原辅料并做好标识，称量过程需第2人单独复核，现场QA人员全过程监控。</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2、配液：</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把辅料及</w:t>
            </w:r>
            <w:r>
              <w:rPr>
                <w:rFonts w:hint="default" w:ascii="Times New Roman" w:hAnsi="Times New Roman" w:eastAsia="宋体" w:cs="Times New Roman"/>
                <w:sz w:val="24"/>
                <w:szCs w:val="24"/>
                <w:u w:val="single"/>
                <w:lang w:val="en-US" w:eastAsia="zh-CN"/>
              </w:rPr>
              <w:t>原料依次加入到适量纯化水中，</w:t>
            </w:r>
            <w:r>
              <w:rPr>
                <w:rFonts w:hint="eastAsia" w:ascii="Times New Roman" w:hAnsi="Times New Roman" w:eastAsia="宋体" w:cs="Times New Roman"/>
                <w:sz w:val="24"/>
                <w:szCs w:val="24"/>
                <w:u w:val="single"/>
                <w:lang w:val="en-US" w:eastAsia="zh-CN"/>
              </w:rPr>
              <w:t>边加边搅拌，</w:t>
            </w:r>
            <w:r>
              <w:rPr>
                <w:rFonts w:hint="default" w:ascii="Times New Roman" w:hAnsi="Times New Roman" w:eastAsia="宋体" w:cs="Times New Roman"/>
                <w:sz w:val="24"/>
                <w:szCs w:val="24"/>
                <w:u w:val="single"/>
                <w:lang w:val="en-US" w:eastAsia="zh-CN"/>
              </w:rPr>
              <w:t>使成均匀的溶液</w:t>
            </w:r>
            <w:r>
              <w:rPr>
                <w:rFonts w:hint="eastAsia" w:ascii="Times New Roman" w:hAnsi="Times New Roman" w:eastAsia="宋体" w:cs="Times New Roman"/>
                <w:sz w:val="24"/>
                <w:szCs w:val="24"/>
                <w:u w:val="single"/>
                <w:lang w:val="en-US" w:eastAsia="zh-CN"/>
              </w:rPr>
              <w:t>/</w:t>
            </w:r>
            <w:r>
              <w:rPr>
                <w:rFonts w:hint="default" w:ascii="Times New Roman" w:hAnsi="Times New Roman" w:eastAsia="宋体" w:cs="Times New Roman"/>
                <w:sz w:val="24"/>
                <w:szCs w:val="24"/>
                <w:u w:val="single"/>
                <w:lang w:val="en-US" w:eastAsia="zh-CN"/>
              </w:rPr>
              <w:t>混悬液</w:t>
            </w:r>
            <w:r>
              <w:rPr>
                <w:rFonts w:hint="eastAsia" w:ascii="Times New Roman" w:hAnsi="Times New Roman" w:eastAsia="宋体" w:cs="Times New Roman"/>
                <w:sz w:val="24"/>
                <w:szCs w:val="24"/>
                <w:u w:val="single"/>
                <w:lang w:val="en-US" w:eastAsia="zh-CN"/>
              </w:rPr>
              <w:t>。</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3、除菌过滤</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采用脉动真空灭菌器进行灭菌，将混合溶液经过滤器过滤，去除杂质、微生物或不溶性物质。</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4、灌装、半压塞</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搅拌均匀的溶液</w:t>
            </w:r>
            <w:r>
              <w:rPr>
                <w:rFonts w:hint="eastAsia" w:ascii="Times New Roman" w:hAnsi="Times New Roman" w:eastAsia="宋体" w:cs="Times New Roman"/>
                <w:sz w:val="24"/>
                <w:szCs w:val="24"/>
                <w:u w:val="single"/>
                <w:lang w:val="en-US" w:eastAsia="zh-CN"/>
              </w:rPr>
              <w:t>/</w:t>
            </w:r>
            <w:r>
              <w:rPr>
                <w:rFonts w:hint="default" w:ascii="Times New Roman" w:hAnsi="Times New Roman" w:eastAsia="宋体" w:cs="Times New Roman"/>
                <w:sz w:val="24"/>
                <w:szCs w:val="24"/>
                <w:u w:val="single"/>
                <w:lang w:val="en-US" w:eastAsia="zh-CN"/>
              </w:rPr>
              <w:t>混悬液加入</w:t>
            </w:r>
            <w:r>
              <w:rPr>
                <w:rFonts w:hint="eastAsia" w:ascii="Times New Roman" w:hAnsi="Times New Roman" w:eastAsia="宋体" w:cs="Times New Roman"/>
                <w:sz w:val="24"/>
                <w:szCs w:val="24"/>
                <w:u w:val="single"/>
                <w:lang w:val="en-US" w:eastAsia="zh-CN"/>
              </w:rPr>
              <w:t>灌装机的容器内</w:t>
            </w:r>
            <w:r>
              <w:rPr>
                <w:rFonts w:hint="default" w:ascii="Times New Roman" w:hAnsi="Times New Roman" w:eastAsia="宋体" w:cs="Times New Roman"/>
                <w:sz w:val="24"/>
                <w:szCs w:val="24"/>
                <w:u w:val="single"/>
                <w:lang w:val="en-US" w:eastAsia="zh-CN"/>
              </w:rPr>
              <w:t>，</w:t>
            </w:r>
            <w:r>
              <w:rPr>
                <w:rFonts w:hint="eastAsia" w:ascii="Times New Roman" w:hAnsi="Times New Roman" w:eastAsia="宋体" w:cs="Times New Roman"/>
                <w:sz w:val="24"/>
                <w:szCs w:val="24"/>
                <w:u w:val="single"/>
                <w:lang w:val="en-US" w:eastAsia="zh-CN"/>
              </w:rPr>
              <w:t>按照</w:t>
            </w:r>
            <w:r>
              <w:rPr>
                <w:rFonts w:hint="default" w:ascii="Times New Roman" w:hAnsi="Times New Roman" w:eastAsia="宋体" w:cs="Times New Roman"/>
                <w:sz w:val="24"/>
                <w:szCs w:val="24"/>
                <w:u w:val="single"/>
                <w:lang w:val="en-US" w:eastAsia="zh-CN"/>
              </w:rPr>
              <w:t>溶液</w:t>
            </w:r>
            <w:r>
              <w:rPr>
                <w:rFonts w:hint="eastAsia" w:ascii="Times New Roman" w:hAnsi="Times New Roman" w:eastAsia="宋体" w:cs="Times New Roman"/>
                <w:sz w:val="24"/>
                <w:szCs w:val="24"/>
                <w:u w:val="single"/>
                <w:lang w:val="en-US" w:eastAsia="zh-CN"/>
              </w:rPr>
              <w:t>/</w:t>
            </w:r>
            <w:r>
              <w:rPr>
                <w:rFonts w:hint="default" w:ascii="Times New Roman" w:hAnsi="Times New Roman" w:eastAsia="宋体" w:cs="Times New Roman"/>
                <w:sz w:val="24"/>
                <w:szCs w:val="24"/>
                <w:u w:val="single"/>
                <w:lang w:val="en-US" w:eastAsia="zh-CN"/>
              </w:rPr>
              <w:t>混悬液的含量计算</w:t>
            </w:r>
            <w:r>
              <w:rPr>
                <w:rFonts w:hint="eastAsia" w:ascii="Times New Roman" w:hAnsi="Times New Roman" w:eastAsia="宋体" w:cs="Times New Roman"/>
                <w:sz w:val="24"/>
                <w:szCs w:val="24"/>
                <w:u w:val="single"/>
                <w:lang w:val="en-US" w:eastAsia="zh-CN"/>
              </w:rPr>
              <w:t>装量</w:t>
            </w:r>
            <w:r>
              <w:rPr>
                <w:rFonts w:hint="default" w:ascii="Times New Roman" w:hAnsi="Times New Roman" w:eastAsia="宋体" w:cs="Times New Roman"/>
                <w:sz w:val="24"/>
                <w:szCs w:val="24"/>
                <w:u w:val="single"/>
                <w:lang w:val="en-US" w:eastAsia="zh-CN"/>
              </w:rPr>
              <w:t>，调整好装量试运行，直到</w:t>
            </w:r>
            <w:r>
              <w:rPr>
                <w:rFonts w:hint="eastAsia" w:ascii="Times New Roman" w:hAnsi="Times New Roman" w:eastAsia="宋体" w:cs="Times New Roman"/>
                <w:sz w:val="24"/>
                <w:szCs w:val="24"/>
                <w:u w:val="single"/>
                <w:lang w:val="en-US" w:eastAsia="zh-CN"/>
              </w:rPr>
              <w:t>装量</w:t>
            </w:r>
            <w:r>
              <w:rPr>
                <w:rFonts w:hint="default" w:ascii="Times New Roman" w:hAnsi="Times New Roman" w:eastAsia="宋体" w:cs="Times New Roman"/>
                <w:sz w:val="24"/>
                <w:szCs w:val="24"/>
                <w:u w:val="single"/>
                <w:lang w:val="en-US" w:eastAsia="zh-CN"/>
              </w:rPr>
              <w:t>符合要求后开始正式</w:t>
            </w:r>
            <w:r>
              <w:rPr>
                <w:rFonts w:hint="eastAsia" w:ascii="Times New Roman" w:hAnsi="Times New Roman" w:eastAsia="宋体" w:cs="Times New Roman"/>
                <w:sz w:val="24"/>
                <w:szCs w:val="24"/>
                <w:u w:val="single"/>
                <w:lang w:val="en-US" w:eastAsia="zh-CN"/>
              </w:rPr>
              <w:t>灌装，</w:t>
            </w:r>
            <w:r>
              <w:rPr>
                <w:rFonts w:hint="default" w:ascii="Times New Roman" w:hAnsi="Times New Roman" w:eastAsia="宋体" w:cs="Times New Roman"/>
                <w:sz w:val="24"/>
                <w:szCs w:val="24"/>
                <w:u w:val="single"/>
                <w:lang w:val="en-US" w:eastAsia="zh-CN"/>
              </w:rPr>
              <w:t>并依次经过旋盖机</w:t>
            </w:r>
            <w:r>
              <w:rPr>
                <w:rFonts w:hint="eastAsia" w:ascii="Times New Roman" w:hAnsi="Times New Roman" w:eastAsia="宋体" w:cs="Times New Roman"/>
                <w:sz w:val="24"/>
                <w:szCs w:val="24"/>
                <w:u w:val="single"/>
                <w:lang w:val="en-US" w:eastAsia="zh-CN"/>
              </w:rPr>
              <w:t>、</w:t>
            </w:r>
            <w:r>
              <w:rPr>
                <w:rFonts w:hint="default" w:ascii="Times New Roman" w:hAnsi="Times New Roman" w:eastAsia="宋体" w:cs="Times New Roman"/>
                <w:sz w:val="24"/>
                <w:szCs w:val="24"/>
                <w:u w:val="single"/>
                <w:lang w:val="en-US" w:eastAsia="zh-CN"/>
              </w:rPr>
              <w:t>贴标机</w:t>
            </w:r>
            <w:r>
              <w:rPr>
                <w:rFonts w:hint="eastAsia" w:ascii="Times New Roman" w:hAnsi="Times New Roman" w:eastAsia="宋体" w:cs="Times New Roman"/>
                <w:sz w:val="24"/>
                <w:szCs w:val="24"/>
                <w:u w:val="single"/>
                <w:lang w:val="en-US" w:eastAsia="zh-CN"/>
              </w:rPr>
              <w:t>、</w:t>
            </w:r>
            <w:r>
              <w:rPr>
                <w:rFonts w:hint="default" w:ascii="Times New Roman" w:hAnsi="Times New Roman" w:eastAsia="宋体" w:cs="Times New Roman"/>
                <w:sz w:val="24"/>
                <w:szCs w:val="24"/>
                <w:u w:val="single"/>
                <w:lang w:val="en-US" w:eastAsia="zh-CN"/>
              </w:rPr>
              <w:t>喷码机等</w:t>
            </w:r>
            <w:r>
              <w:rPr>
                <w:rFonts w:hint="eastAsia" w:ascii="Times New Roman" w:hAnsi="Times New Roman" w:eastAsia="宋体" w:cs="Times New Roman"/>
                <w:sz w:val="24"/>
                <w:szCs w:val="24"/>
                <w:u w:val="single"/>
                <w:lang w:val="en-US" w:eastAsia="zh-CN"/>
              </w:rPr>
              <w:t>进行</w:t>
            </w:r>
            <w:r>
              <w:rPr>
                <w:rFonts w:hint="default" w:ascii="Times New Roman" w:hAnsi="Times New Roman" w:eastAsia="宋体" w:cs="Times New Roman"/>
                <w:sz w:val="24"/>
                <w:szCs w:val="24"/>
                <w:u w:val="single"/>
                <w:lang w:val="en-US" w:eastAsia="zh-CN"/>
              </w:rPr>
              <w:t>包装及赋码</w:t>
            </w:r>
            <w:r>
              <w:rPr>
                <w:rFonts w:hint="eastAsia" w:ascii="Times New Roman" w:hAnsi="Times New Roman" w:eastAsia="宋体" w:cs="Times New Roman"/>
                <w:sz w:val="24"/>
                <w:szCs w:val="24"/>
                <w:u w:val="single"/>
                <w:lang w:val="en-US" w:eastAsia="zh-CN"/>
              </w:rPr>
              <w:t>。</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5、冻干</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板层全速降温，先将板层温度降至-35℃，保温2h:再将冷凝器温度降至-55℃以下，开启真空泵将干燥箱真空度降至 0.10mbar 以下，开始对制品进行升华干燥</w:t>
            </w:r>
            <w:r>
              <w:rPr>
                <w:rFonts w:hint="eastAsia" w:ascii="Times New Roman" w:hAnsi="Times New Roman" w:eastAsia="宋体" w:cs="Times New Roman"/>
                <w:sz w:val="24"/>
                <w:szCs w:val="24"/>
                <w:u w:val="single"/>
                <w:lang w:val="en-US" w:eastAsia="zh-CN"/>
              </w:rPr>
              <w:t>。</w:t>
            </w:r>
          </w:p>
          <w:p>
            <w:pPr>
              <w:pStyle w:val="6"/>
              <w:bidi w:val="0"/>
              <w:rPr>
                <w:rFonts w:hint="default" w:ascii="Times New Roman" w:hAnsi="Times New Roman" w:eastAsia="宋体" w:cs="Times New Roman"/>
                <w:b/>
                <w:lang w:val="en-US" w:eastAsia="zh-CN"/>
              </w:rPr>
            </w:pPr>
            <w:r>
              <w:rPr>
                <w:rFonts w:hint="eastAsia" w:ascii="Times New Roman" w:hAnsi="Times New Roman" w:eastAsia="宋体" w:cs="Times New Roman"/>
                <w:b/>
                <w:lang w:val="en-US" w:eastAsia="zh-CN"/>
              </w:rPr>
              <w:t>（3）</w:t>
            </w:r>
            <w:r>
              <w:rPr>
                <w:rFonts w:hint="default" w:ascii="Times New Roman" w:hAnsi="Times New Roman" w:eastAsia="宋体" w:cs="Times New Roman"/>
                <w:b/>
                <w:lang w:val="en-US" w:eastAsia="zh-CN"/>
              </w:rPr>
              <w:t>胶囊剂生产工艺</w:t>
            </w:r>
          </w:p>
          <w:p>
            <w:pPr>
              <w:rPr>
                <w:rFonts w:hint="default" w:ascii="Times New Roman" w:hAnsi="Times New Roman" w:eastAsia="宋体" w:cs="Times New Roman"/>
                <w:b/>
                <w:lang w:val="en-US" w:eastAsia="zh-CN"/>
              </w:rPr>
            </w:pPr>
          </w:p>
          <w:p>
            <w:pPr>
              <w:pStyle w:val="2"/>
              <w:rPr>
                <w:rFonts w:hint="default" w:ascii="Times New Roman" w:hAnsi="Times New Roman" w:eastAsia="宋体" w:cs="Times New Roman"/>
                <w:b/>
                <w:lang w:val="en-US" w:eastAsia="zh-CN"/>
              </w:rPr>
            </w:pPr>
          </w:p>
          <w:p>
            <w:pPr>
              <w:pStyle w:val="3"/>
              <w:rPr>
                <w:rFonts w:hint="default" w:ascii="Times New Roman" w:hAnsi="Times New Roman" w:eastAsia="宋体" w:cs="Times New Roman"/>
                <w:b/>
                <w:lang w:val="en-US" w:eastAsia="zh-CN"/>
              </w:rPr>
            </w:pPr>
          </w:p>
          <w:p>
            <w:pPr>
              <w:rPr>
                <w:rFonts w:hint="default" w:ascii="Times New Roman" w:hAnsi="Times New Roman" w:eastAsia="宋体" w:cs="Times New Roman"/>
                <w:b/>
                <w:lang w:val="en-US" w:eastAsia="zh-CN"/>
              </w:rPr>
            </w:pPr>
          </w:p>
          <w:p>
            <w:pPr>
              <w:pStyle w:val="2"/>
              <w:rPr>
                <w:rFonts w:hint="default" w:ascii="Times New Roman" w:hAnsi="Times New Roman" w:eastAsia="宋体" w:cs="Times New Roman"/>
                <w:b/>
                <w:lang w:val="en-US" w:eastAsia="zh-CN"/>
              </w:rPr>
            </w:pPr>
          </w:p>
          <w:p>
            <w:pPr>
              <w:pStyle w:val="3"/>
              <w:rPr>
                <w:rFonts w:hint="default" w:ascii="Times New Roman" w:hAnsi="Times New Roman" w:eastAsia="宋体" w:cs="Times New Roman"/>
                <w:b/>
                <w:lang w:val="en-US" w:eastAsia="zh-CN"/>
              </w:rPr>
            </w:pPr>
          </w:p>
          <w:p>
            <w:pPr>
              <w:rPr>
                <w:rFonts w:hint="default" w:ascii="Times New Roman" w:hAnsi="Times New Roman" w:eastAsia="宋体" w:cs="Times New Roman"/>
                <w:b/>
                <w:lang w:val="en-US" w:eastAsia="zh-CN"/>
              </w:rPr>
            </w:pPr>
          </w:p>
          <w:p>
            <w:pPr>
              <w:pStyle w:val="3"/>
              <w:rPr>
                <w:rFonts w:hint="default" w:ascii="Times New Roman" w:hAnsi="Times New Roman" w:eastAsia="宋体" w:cs="Times New Roman"/>
                <w:b/>
                <w:lang w:val="en-US" w:eastAsia="zh-CN"/>
              </w:rPr>
            </w:pPr>
          </w:p>
          <w:p>
            <w:pPr>
              <w:jc w:val="center"/>
              <w:rPr>
                <w:rFonts w:hint="default" w:ascii="Times New Roman" w:hAnsi="Times New Roman" w:eastAsia="宋体" w:cs="Times New Roman"/>
                <w:b/>
                <w:lang w:val="en-US" w:eastAsia="zh-CN"/>
              </w:rPr>
            </w:pPr>
            <w:r>
              <w:rPr>
                <w:rFonts w:hint="eastAsia" w:ascii="Times New Roman" w:hAnsi="Times New Roman" w:eastAsia="宋体" w:cs="Times New Roman"/>
                <w:b/>
                <w:lang w:val="en-US" w:eastAsia="zh-CN"/>
              </w:rPr>
              <w:object>
                <v:shape id="_x0000_i1035" o:spt="75" type="#_x0000_t75" style="height:314pt;width:379.45pt;" o:ole="t" filled="f" o:preferrelative="t" stroked="f" coordsize="21600,21600">
                  <v:path/>
                  <v:fill on="f" focussize="0,0"/>
                  <v:stroke on="f"/>
                  <v:imagedata r:id="rId19" o:title=""/>
                  <o:lock v:ext="edit" aspectratio="f"/>
                  <w10:wrap type="none"/>
                  <w10:anchorlock/>
                </v:shape>
                <o:OLEObject Type="Embed" ProgID="Visio.Drawing.11" ShapeID="_x0000_i1035" DrawAspect="Content" ObjectID="_1468075728" r:id="rId18">
                  <o:LockedField>false</o:LockedField>
                </o:OLEObject>
              </w:object>
            </w:r>
          </w:p>
          <w:p>
            <w:pPr>
              <w:adjustRightInd w:val="0"/>
              <w:snapToGrid w:val="0"/>
              <w:spacing w:line="360" w:lineRule="auto"/>
              <w:ind w:firstLine="422" w:firstLineChars="20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图2-</w:t>
            </w:r>
            <w:r>
              <w:rPr>
                <w:rFonts w:hint="eastAsia" w:cs="Times New Roman"/>
                <w:b/>
                <w:bCs/>
                <w:color w:val="auto"/>
                <w:sz w:val="21"/>
                <w:szCs w:val="21"/>
                <w:u w:val="single"/>
                <w:lang w:val="en-US" w:eastAsia="zh-CN"/>
              </w:rPr>
              <w:t>5</w:t>
            </w:r>
            <w:r>
              <w:rPr>
                <w:rFonts w:hint="default" w:ascii="Times New Roman" w:hAnsi="Times New Roman" w:cs="Times New Roman"/>
                <w:b/>
                <w:bCs/>
                <w:color w:val="auto"/>
                <w:sz w:val="21"/>
                <w:szCs w:val="21"/>
                <w:u w:val="single"/>
                <w:lang w:val="en-US" w:eastAsia="zh-CN"/>
              </w:rPr>
              <w:t xml:space="preserve">   </w:t>
            </w:r>
            <w:r>
              <w:rPr>
                <w:rFonts w:hint="eastAsia" w:ascii="Times New Roman" w:hAnsi="Times New Roman" w:cs="Times New Roman"/>
                <w:b/>
                <w:bCs/>
                <w:color w:val="auto"/>
                <w:sz w:val="21"/>
                <w:szCs w:val="21"/>
                <w:u w:val="single"/>
                <w:lang w:val="en-US" w:eastAsia="zh-CN"/>
              </w:rPr>
              <w:t>胶囊</w:t>
            </w:r>
            <w:r>
              <w:rPr>
                <w:rFonts w:hint="default" w:ascii="Times New Roman" w:hAnsi="Times New Roman" w:cs="Times New Roman"/>
                <w:b/>
                <w:bCs/>
                <w:color w:val="auto"/>
                <w:sz w:val="21"/>
                <w:szCs w:val="21"/>
                <w:u w:val="single"/>
                <w:lang w:val="en-US" w:eastAsia="zh-CN"/>
              </w:rPr>
              <w:t>剂工艺流程图</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工艺流程说明：</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1、称量、配料：</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（1）核对原辅料的品名、规格、批号、数量与领料单一致，且各原辅料经QC检验合格，提供有检验单号并经过质量管理人员放行。</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（2）按生产指令单准确称量各原辅料并做好标识，称量过程需第2人单独复核，现场QA人员全过程监控。</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2、制粒：</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（1）将原料加入处方量的辅料中，采用湿法混合制粒机或者干粉制粒机混合相应的时间。</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（2）将混合均匀的原辅料使用粘合剂（通常使用不同浓度的淀粉浆）运转湿法制粒机，低速搅拌相应时间，制成软材。用相应目数筛网置于摇摆颗粒机上，将软材制成湿粒。</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（3）开启沸腾干燥机的加热系统，当物料温度显示55℃以上时，再开启负压系统，将湿颗粒移至沸腾干燥机中，转移颗粒的过程中应对颗粒同时进行加热。或者使用流化床干燥，或者使用喷雾干燥机内干燥。</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（4）湿粒的干燥温度应一般控制在57℃~60℃，干燥时间控制在30分钟左右，待物料温度降至40℃以下，出料。</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3、干燥、总混：</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（1）开启沸腾干燥机的加热系统，当物料温度显示55℃以上时，再开启负压系统，将湿颗粒移至沸腾干燥机中，转移颗粒的过程中应对颗粒同时进行加热。或者使用流化床干燥，或者使用喷雾干燥机内干燥。</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（2）开启真空上料机，将颗粒、润滑剂一并转移到混合机中，对干颗粒进行混合。</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4、胶囊充填：晾干后的胶丸采用泡罩包装机分装，进行铝塑包装。更换好对应的模具，调整好即可分装。分装的过程中随时检查分装的准确性，抽查铝塑是否严密、裁切是否端正、有无缺片。如果采用瓶装，经过自动数粒机装入低密度聚乙烯瓶中，并依次经过旋盖机、贴标机、喷码机等进行包装及赋码。</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5、外包装：泡罩包装后的铝塑板/小瓶装入小盒，再按照数量要求装入大箱。</w:t>
            </w:r>
          </w:p>
          <w:p>
            <w:pPr>
              <w:spacing w:line="360" w:lineRule="auto"/>
              <w:rPr>
                <w:rFonts w:hint="eastAsia" w:ascii="宋体" w:hAnsi="宋体" w:eastAsia="宋体" w:cs="仿宋"/>
                <w:b/>
                <w:bCs w:val="0"/>
                <w:sz w:val="24"/>
                <w:szCs w:val="24"/>
                <w:lang w:eastAsia="zh-CN"/>
              </w:rPr>
            </w:pPr>
            <w:r>
              <w:rPr>
                <w:rFonts w:hint="eastAsia" w:ascii="Times New Roman" w:hAnsi="Times New Roman" w:cs="Times New Roman"/>
                <w:b/>
                <w:bCs w:val="0"/>
                <w:color w:val="auto"/>
                <w:sz w:val="24"/>
                <w:szCs w:val="24"/>
                <w:lang w:val="en-US" w:eastAsia="zh-CN"/>
              </w:rPr>
              <w:t>（4）颗粒剂</w:t>
            </w:r>
            <w:r>
              <w:rPr>
                <w:rFonts w:hint="eastAsia" w:ascii="宋体" w:hAnsi="宋体" w:eastAsia="宋体" w:cs="仿宋"/>
                <w:b/>
                <w:bCs w:val="0"/>
                <w:sz w:val="24"/>
                <w:szCs w:val="24"/>
                <w:lang w:eastAsia="zh-CN"/>
              </w:rPr>
              <w:t>生产工艺</w:t>
            </w:r>
          </w:p>
          <w:p>
            <w:pPr>
              <w:pStyle w:val="2"/>
              <w:rPr>
                <w:rFonts w:hint="eastAsia" w:ascii="宋体" w:hAnsi="宋体" w:eastAsia="宋体" w:cs="仿宋"/>
                <w:b/>
                <w:bCs w:val="0"/>
                <w:sz w:val="24"/>
                <w:szCs w:val="24"/>
                <w:lang w:eastAsia="zh-CN"/>
              </w:rPr>
            </w:pPr>
          </w:p>
          <w:p>
            <w:pPr>
              <w:pStyle w:val="2"/>
              <w:rPr>
                <w:rFonts w:hint="eastAsia" w:ascii="宋体" w:hAnsi="宋体" w:eastAsia="宋体" w:cs="仿宋"/>
                <w:b/>
                <w:bCs w:val="0"/>
                <w:sz w:val="24"/>
                <w:szCs w:val="24"/>
                <w:lang w:eastAsia="zh-CN"/>
              </w:rPr>
            </w:pPr>
          </w:p>
          <w:p>
            <w:pPr>
              <w:pStyle w:val="3"/>
              <w:rPr>
                <w:rFonts w:hint="eastAsia" w:ascii="宋体" w:hAnsi="宋体" w:eastAsia="宋体" w:cs="仿宋"/>
                <w:b/>
                <w:bCs w:val="0"/>
                <w:sz w:val="24"/>
                <w:szCs w:val="24"/>
                <w:lang w:eastAsia="zh-CN"/>
              </w:rPr>
            </w:pPr>
          </w:p>
          <w:p>
            <w:pPr>
              <w:rPr>
                <w:rFonts w:hint="eastAsia" w:ascii="宋体" w:hAnsi="宋体" w:eastAsia="宋体" w:cs="仿宋"/>
                <w:b/>
                <w:bCs w:val="0"/>
                <w:sz w:val="24"/>
                <w:szCs w:val="24"/>
                <w:lang w:eastAsia="zh-CN"/>
              </w:rPr>
            </w:pPr>
          </w:p>
          <w:p>
            <w:pPr>
              <w:pStyle w:val="2"/>
              <w:rPr>
                <w:rFonts w:hint="eastAsia" w:ascii="宋体" w:hAnsi="宋体" w:eastAsia="宋体" w:cs="仿宋"/>
                <w:b/>
                <w:bCs w:val="0"/>
                <w:sz w:val="24"/>
                <w:szCs w:val="24"/>
                <w:lang w:eastAsia="zh-CN"/>
              </w:rPr>
            </w:pPr>
          </w:p>
          <w:p>
            <w:pPr>
              <w:pStyle w:val="3"/>
              <w:rPr>
                <w:rFonts w:hint="eastAsia" w:ascii="宋体" w:hAnsi="宋体" w:eastAsia="宋体" w:cs="仿宋"/>
                <w:b/>
                <w:bCs w:val="0"/>
                <w:sz w:val="24"/>
                <w:szCs w:val="24"/>
                <w:lang w:eastAsia="zh-CN"/>
              </w:rPr>
            </w:pPr>
          </w:p>
          <w:p>
            <w:pPr>
              <w:rPr>
                <w:rFonts w:hint="eastAsia" w:ascii="宋体" w:hAnsi="宋体" w:eastAsia="宋体" w:cs="仿宋"/>
                <w:b/>
                <w:bCs w:val="0"/>
                <w:sz w:val="24"/>
                <w:szCs w:val="24"/>
                <w:lang w:eastAsia="zh-CN"/>
              </w:rPr>
            </w:pPr>
          </w:p>
          <w:p>
            <w:pPr>
              <w:pStyle w:val="2"/>
              <w:rPr>
                <w:rFonts w:hint="eastAsia" w:ascii="宋体" w:hAnsi="宋体" w:eastAsia="宋体" w:cs="仿宋"/>
                <w:b/>
                <w:bCs w:val="0"/>
                <w:sz w:val="24"/>
                <w:szCs w:val="24"/>
                <w:lang w:eastAsia="zh-CN"/>
              </w:rPr>
            </w:pPr>
          </w:p>
          <w:p>
            <w:pPr>
              <w:pStyle w:val="3"/>
              <w:rPr>
                <w:rFonts w:hint="eastAsia" w:ascii="宋体" w:hAnsi="宋体" w:eastAsia="宋体" w:cs="仿宋"/>
                <w:b/>
                <w:bCs w:val="0"/>
                <w:sz w:val="24"/>
                <w:szCs w:val="24"/>
                <w:lang w:eastAsia="zh-CN"/>
              </w:rPr>
            </w:pPr>
          </w:p>
          <w:p>
            <w:pPr>
              <w:rPr>
                <w:rFonts w:hint="eastAsia" w:ascii="宋体" w:hAnsi="宋体" w:eastAsia="宋体" w:cs="仿宋"/>
                <w:b/>
                <w:bCs w:val="0"/>
                <w:sz w:val="24"/>
                <w:szCs w:val="24"/>
                <w:lang w:eastAsia="zh-CN"/>
              </w:rPr>
            </w:pPr>
          </w:p>
          <w:p>
            <w:pPr>
              <w:pStyle w:val="2"/>
              <w:rPr>
                <w:rFonts w:hint="eastAsia"/>
                <w:lang w:eastAsia="zh-CN"/>
              </w:rPr>
            </w:pPr>
          </w:p>
          <w:p>
            <w:pPr>
              <w:jc w:val="center"/>
              <w:rPr>
                <w:rFonts w:hint="eastAsia" w:ascii="宋体" w:hAnsi="宋体" w:eastAsia="宋体" w:cs="仿宋"/>
                <w:b/>
                <w:bCs w:val="0"/>
                <w:sz w:val="24"/>
                <w:szCs w:val="24"/>
                <w:lang w:eastAsia="zh-CN"/>
              </w:rPr>
            </w:pPr>
            <w:r>
              <w:rPr>
                <w:rFonts w:hint="default"/>
                <w:lang w:val="en-US" w:eastAsia="zh-CN"/>
              </w:rPr>
              <w:object>
                <v:shape id="_x0000_i1043" o:spt="75" type="#_x0000_t75" style="height:478pt;width:312pt;" o:ole="t" filled="f" o:preferrelative="t" stroked="f" coordsize="21600,21600">
                  <v:path/>
                  <v:fill on="f" focussize="0,0"/>
                  <v:stroke on="f"/>
                  <v:imagedata r:id="rId21" o:title=""/>
                  <o:lock v:ext="edit" aspectratio="f"/>
                  <w10:wrap type="none"/>
                  <w10:anchorlock/>
                </v:shape>
                <o:OLEObject Type="Embed" ProgID="Visio.Drawing.11" ShapeID="_x0000_i1043" DrawAspect="Content" ObjectID="_1468075729" r:id="rId20">
                  <o:LockedField>false</o:LockedField>
                </o:OLEObject>
              </w:object>
            </w:r>
          </w:p>
          <w:p>
            <w:pPr>
              <w:adjustRightInd w:val="0"/>
              <w:snapToGrid w:val="0"/>
              <w:spacing w:line="360" w:lineRule="auto"/>
              <w:ind w:firstLine="422" w:firstLineChars="20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图2-</w:t>
            </w:r>
            <w:r>
              <w:rPr>
                <w:rFonts w:hint="eastAsia" w:cs="Times New Roman"/>
                <w:b/>
                <w:bCs/>
                <w:color w:val="auto"/>
                <w:sz w:val="21"/>
                <w:szCs w:val="21"/>
                <w:u w:val="single"/>
                <w:lang w:val="en-US" w:eastAsia="zh-CN"/>
              </w:rPr>
              <w:t>6</w:t>
            </w:r>
            <w:r>
              <w:rPr>
                <w:rFonts w:hint="default" w:ascii="Times New Roman" w:hAnsi="Times New Roman" w:cs="Times New Roman"/>
                <w:b/>
                <w:bCs/>
                <w:color w:val="auto"/>
                <w:sz w:val="21"/>
                <w:szCs w:val="21"/>
                <w:u w:val="single"/>
                <w:lang w:val="en-US" w:eastAsia="zh-CN"/>
              </w:rPr>
              <w:t xml:space="preserve">  </w:t>
            </w:r>
            <w:r>
              <w:rPr>
                <w:rFonts w:hint="eastAsia" w:ascii="Times New Roman" w:hAnsi="Times New Roman" w:cs="Times New Roman"/>
                <w:b/>
                <w:bCs/>
                <w:color w:val="auto"/>
                <w:sz w:val="21"/>
                <w:szCs w:val="21"/>
                <w:u w:val="single"/>
                <w:lang w:val="en-US" w:eastAsia="zh-CN"/>
              </w:rPr>
              <w:t>颗粒剂产品</w:t>
            </w:r>
            <w:r>
              <w:rPr>
                <w:rFonts w:hint="default" w:ascii="Times New Roman" w:hAnsi="Times New Roman" w:cs="Times New Roman"/>
                <w:b/>
                <w:bCs/>
                <w:color w:val="auto"/>
                <w:sz w:val="21"/>
                <w:szCs w:val="21"/>
                <w:u w:val="single"/>
                <w:lang w:val="en-US" w:eastAsia="zh-CN"/>
              </w:rPr>
              <w:t>工艺流程图</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工艺流程说明：</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1、称量、配料：</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核对原辅料的品名、规格、批号、数量与领料单一致，且各原辅料经QC检验合格，提供有检验单号并经过质量管理人员放行。</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按生产指令单准确称量各原辅料并做好标识，称量过程需第2人单独复核，现场QA人员全过程监控。</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2、制粒：</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将原料加入处方量的辅料中，采用湿法混合制粒机或者干法制粒机混合相应的时间。</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将混合均匀的原辅料使用粘合剂（通常使用不同浓度的淀粉浆）运转湿法制粒机，低速搅拌相应时间，制成软材。用相应目数筛网置于摇摆颗粒机上，将软材制成湿粒。</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开启沸腾干燥机的加热系统，当物料温度显示55℃以上时，再开启负压系统，将湿颗粒移至沸腾干燥机中，转移颗粒的过程中应对颗粒同时进行加热。或者使用流化床干燥，或者使用喷雾干燥机内干燥。</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湿粒的干燥温度应一般控制在57℃~60℃，干燥时间控制在30分钟左右，待物料温度降至40℃以下，出料。</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3、整粒、总混：</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（1）一般过16-22目的尼龙筛整粒。</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（2）开启真空上料机，将颗粒、润滑剂一并转移到混合机中，对干颗粒进</w:t>
            </w:r>
          </w:p>
          <w:p>
            <w:pPr>
              <w:spacing w:line="360" w:lineRule="auto"/>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行混合。</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4、装袋：</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总混后的颗粒用颗粒包装机进行分装。更换好对应的模具，调整好装量即可分装。分装的过程中随时检查分装的准确性，抽查包装袋的封边是否严密、裁切是否端正、有无空袋。</w:t>
            </w:r>
          </w:p>
          <w:p>
            <w:pPr>
              <w:spacing w:line="360" w:lineRule="auto"/>
              <w:ind w:firstLine="480" w:firstLineChars="200"/>
              <w:rPr>
                <w:rFonts w:hint="eastAsia" w:ascii="宋体" w:hAnsi="宋体" w:eastAsia="宋体" w:cs="仿宋"/>
                <w:color w:val="000000"/>
                <w:sz w:val="24"/>
                <w:szCs w:val="24"/>
                <w:u w:val="single"/>
                <w:lang w:eastAsia="zh-CN"/>
              </w:rPr>
            </w:pPr>
            <w:r>
              <w:rPr>
                <w:rFonts w:hint="eastAsia" w:ascii="Times New Roman" w:hAnsi="Times New Roman" w:eastAsia="宋体" w:cs="Times New Roman"/>
                <w:sz w:val="24"/>
                <w:szCs w:val="24"/>
                <w:u w:val="single"/>
                <w:lang w:val="en-US" w:eastAsia="zh-CN"/>
              </w:rPr>
              <w:t>5、包装、出库。</w:t>
            </w:r>
          </w:p>
          <w:p>
            <w:pPr>
              <w:spacing w:line="360" w:lineRule="auto"/>
              <w:rPr>
                <w:rFonts w:hint="eastAsia" w:ascii="宋体" w:hAnsi="宋体" w:eastAsia="宋体" w:cs="仿宋"/>
                <w:b/>
                <w:bCs w:val="0"/>
                <w:sz w:val="24"/>
                <w:szCs w:val="24"/>
                <w:lang w:eastAsia="zh-CN"/>
              </w:rPr>
            </w:pPr>
            <w:r>
              <w:rPr>
                <w:rFonts w:hint="eastAsia" w:ascii="Times New Roman" w:hAnsi="Times New Roman" w:cs="Times New Roman"/>
                <w:b/>
                <w:bCs w:val="0"/>
                <w:color w:val="auto"/>
                <w:sz w:val="24"/>
                <w:szCs w:val="24"/>
                <w:lang w:val="en-US" w:eastAsia="zh-CN"/>
              </w:rPr>
              <w:t>（5）片剂</w:t>
            </w:r>
            <w:r>
              <w:rPr>
                <w:rFonts w:hint="eastAsia" w:ascii="宋体" w:hAnsi="宋体" w:eastAsia="宋体" w:cs="仿宋"/>
                <w:b/>
                <w:bCs w:val="0"/>
                <w:sz w:val="24"/>
                <w:szCs w:val="24"/>
                <w:lang w:eastAsia="zh-CN"/>
              </w:rPr>
              <w:t>生产工艺</w:t>
            </w:r>
          </w:p>
          <w:p>
            <w:pPr>
              <w:pStyle w:val="2"/>
              <w:rPr>
                <w:rFonts w:hint="eastAsia" w:ascii="宋体" w:hAnsi="宋体" w:eastAsia="宋体" w:cs="仿宋"/>
                <w:b/>
                <w:bCs w:val="0"/>
                <w:sz w:val="24"/>
                <w:szCs w:val="24"/>
                <w:lang w:eastAsia="zh-CN"/>
              </w:rPr>
            </w:pPr>
          </w:p>
          <w:p>
            <w:pPr>
              <w:pStyle w:val="3"/>
              <w:rPr>
                <w:rFonts w:hint="eastAsia" w:ascii="宋体" w:hAnsi="宋体" w:eastAsia="宋体" w:cs="仿宋"/>
                <w:b/>
                <w:bCs w:val="0"/>
                <w:sz w:val="24"/>
                <w:szCs w:val="24"/>
                <w:lang w:eastAsia="zh-CN"/>
              </w:rPr>
            </w:pPr>
          </w:p>
          <w:p>
            <w:pPr>
              <w:rPr>
                <w:rFonts w:hint="eastAsia" w:ascii="宋体" w:hAnsi="宋体" w:eastAsia="宋体" w:cs="仿宋"/>
                <w:b/>
                <w:bCs w:val="0"/>
                <w:sz w:val="24"/>
                <w:szCs w:val="24"/>
                <w:lang w:eastAsia="zh-CN"/>
              </w:rPr>
            </w:pPr>
          </w:p>
          <w:p>
            <w:pPr>
              <w:pStyle w:val="2"/>
              <w:rPr>
                <w:rFonts w:hint="eastAsia" w:ascii="宋体" w:hAnsi="宋体" w:eastAsia="宋体" w:cs="仿宋"/>
                <w:b/>
                <w:bCs w:val="0"/>
                <w:sz w:val="24"/>
                <w:szCs w:val="24"/>
                <w:lang w:eastAsia="zh-CN"/>
              </w:rPr>
            </w:pPr>
          </w:p>
          <w:p>
            <w:pPr>
              <w:pStyle w:val="3"/>
              <w:rPr>
                <w:rFonts w:hint="eastAsia" w:ascii="宋体" w:hAnsi="宋体" w:eastAsia="宋体" w:cs="仿宋"/>
                <w:b/>
                <w:bCs w:val="0"/>
                <w:sz w:val="24"/>
                <w:szCs w:val="24"/>
                <w:lang w:eastAsia="zh-CN"/>
              </w:rPr>
            </w:pPr>
          </w:p>
          <w:p>
            <w:pPr>
              <w:rPr>
                <w:rFonts w:hint="eastAsia" w:ascii="宋体" w:hAnsi="宋体" w:eastAsia="宋体" w:cs="仿宋"/>
                <w:b/>
                <w:bCs w:val="0"/>
                <w:sz w:val="24"/>
                <w:szCs w:val="24"/>
                <w:lang w:eastAsia="zh-CN"/>
              </w:rPr>
            </w:pPr>
          </w:p>
          <w:p>
            <w:pPr>
              <w:pStyle w:val="2"/>
              <w:rPr>
                <w:rFonts w:hint="eastAsia" w:ascii="宋体" w:hAnsi="宋体" w:eastAsia="宋体" w:cs="仿宋"/>
                <w:b/>
                <w:bCs w:val="0"/>
                <w:sz w:val="24"/>
                <w:szCs w:val="24"/>
                <w:lang w:eastAsia="zh-CN"/>
              </w:rPr>
            </w:pPr>
          </w:p>
          <w:p>
            <w:pPr>
              <w:pStyle w:val="3"/>
              <w:rPr>
                <w:rFonts w:hint="eastAsia"/>
                <w:lang w:eastAsia="zh-CN"/>
              </w:rPr>
            </w:pPr>
          </w:p>
          <w:p>
            <w:pPr>
              <w:rPr>
                <w:rFonts w:hint="eastAsia"/>
                <w:lang w:eastAsia="zh-CN"/>
              </w:rPr>
            </w:pPr>
            <w:r>
              <w:rPr>
                <w:rFonts w:hint="eastAsia"/>
                <w:lang w:eastAsia="zh-CN"/>
              </w:rPr>
              <w:object>
                <v:shape id="_x0000_i1036" o:spt="75" type="#_x0000_t75" style="height:586.2pt;width:408.9pt;" o:ole="t" filled="f" o:preferrelative="t" stroked="f" coordsize="21600,21600">
                  <v:path/>
                  <v:fill on="f" focussize="0,0"/>
                  <v:stroke on="f"/>
                  <v:imagedata r:id="rId23" o:title=""/>
                  <o:lock v:ext="edit" aspectratio="f"/>
                  <w10:wrap type="none"/>
                  <w10:anchorlock/>
                </v:shape>
                <o:OLEObject Type="Embed" ProgID="Visio.Drawing.11" ShapeID="_x0000_i1036" DrawAspect="Content" ObjectID="_1468075730" r:id="rId22">
                  <o:LockedField>false</o:LockedField>
                </o:OLEObject>
              </w:object>
            </w:r>
          </w:p>
          <w:p>
            <w:pPr>
              <w:adjustRightInd w:val="0"/>
              <w:snapToGrid w:val="0"/>
              <w:spacing w:line="360" w:lineRule="auto"/>
              <w:ind w:firstLine="422" w:firstLineChars="20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图2-</w:t>
            </w:r>
            <w:r>
              <w:rPr>
                <w:rFonts w:hint="eastAsia" w:cs="Times New Roman"/>
                <w:b/>
                <w:bCs/>
                <w:color w:val="auto"/>
                <w:sz w:val="21"/>
                <w:szCs w:val="21"/>
                <w:u w:val="single"/>
                <w:lang w:val="en-US" w:eastAsia="zh-CN"/>
              </w:rPr>
              <w:t>7</w:t>
            </w:r>
            <w:r>
              <w:rPr>
                <w:rFonts w:hint="default" w:ascii="Times New Roman" w:hAnsi="Times New Roman" w:cs="Times New Roman"/>
                <w:b/>
                <w:bCs/>
                <w:color w:val="auto"/>
                <w:sz w:val="21"/>
                <w:szCs w:val="21"/>
                <w:u w:val="single"/>
                <w:lang w:val="en-US" w:eastAsia="zh-CN"/>
              </w:rPr>
              <w:t xml:space="preserve">   片剂工艺流程及产污环节图</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工艺流程说明：</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1、称量、配料：</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（1）核对原辅料的品名、规格、批号、数量与领料单一致，且各原辅料经QC检验合格，提供有检验单号并经过质量管理人员放行。</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（2）按生产指令单准确称量各原辅料并做好标识，称量过程需第2人单独复核，现场QA人员全过程监控。</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2、制粒：</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（1）将原料加入处方量的辅料中，采用湿法混合制粒机或者干粉制粒机混合相应的时间。</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（2）将混合均匀的原辅料使用粘合剂（通常使用不同浓度的淀粉浆）运转湿法制粒机，低速搅拌相应时间，制成软材。用相应目数筛网置于摇摆颗粒机上，将软材制成湿粒。</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（3）开启沸腾干燥机的加热系统，当物料温度显示55℃以上时，再开启负压系统，将湿颗粒移至沸腾干燥机中，转移颗粒的过程中应对颗粒同时进行加热。或者使用流化床干燥，或者使用喷雾干燥机内干燥。</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（4）湿粒的干燥温度应一般控制在57℃~60℃，干燥时间控制在30分钟左右，待物料温度降至40℃以下，出料。</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3、整粒、总混：</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（1）一般过16-22目的尼龙筛整粒。</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（2）开启真空上料机，将颗粒、润滑剂一并转移到混合机中，对干颗粒进行混合。</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4、压片、包衣：</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（1）用相应冲头压片。</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（2）依总混后的颗粒含量计算片重，用手转动飞轮调整片重，压力，直到片的硬度适宜。</w:t>
            </w:r>
          </w:p>
          <w:p>
            <w:pPr>
              <w:spacing w:line="360" w:lineRule="auto"/>
              <w:ind w:firstLine="480" w:firstLineChars="200"/>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（3）片芯的包衣增重约为3%。</w:t>
            </w:r>
          </w:p>
          <w:p>
            <w:pPr>
              <w:spacing w:line="360" w:lineRule="auto"/>
              <w:ind w:firstLine="480" w:firstLineChars="200"/>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5、包装、出库。</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6、其他产污环节</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（1）实验检测</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生产的产品均需进行质量控制分析检验与检测，利用高效液相色谱仪、分光光度计等设备分析各类质控指标，主要包括有效物质含量、均匀度、溶出度、药品稳定性及微生物等质控指标进行分析。溶液配置均在通风柜内完成，对配置完成的溶液采用相应的设备进行各参数测定，微生物限度检测为洁净环境下净化操作。成品药品质量检验合格后经外包装出口转入成品库房，室温下有效期内通风阴凉物流仓库放置，无任何外泄污染。药品成品转运过程中严格按照药品监管法律法规执行，无污染。</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此工序主要产生实验废气、实验废水、实验固废和实验仪器噪声。</w:t>
            </w:r>
          </w:p>
          <w:p>
            <w:pPr>
              <w:bidi w:val="0"/>
              <w:ind w:firstLine="480" w:firstLineChars="200"/>
              <w:rPr>
                <w:rFonts w:hint="eastAsia"/>
                <w:u w:val="single"/>
                <w:lang w:val="en-US" w:eastAsia="zh-CN"/>
              </w:rPr>
            </w:pPr>
            <w:r>
              <w:rPr>
                <w:rFonts w:hint="eastAsia"/>
                <w:u w:val="single"/>
                <w:lang w:val="en-US" w:eastAsia="zh-CN"/>
              </w:rPr>
              <w:t>（2）纯水制备</w:t>
            </w:r>
          </w:p>
          <w:p>
            <w:pPr>
              <w:bidi w:val="0"/>
              <w:ind w:firstLine="480" w:firstLineChars="200"/>
              <w:rPr>
                <w:rFonts w:hint="default"/>
                <w:u w:val="single"/>
                <w:lang w:val="en-US" w:eastAsia="zh-CN"/>
              </w:rPr>
            </w:pPr>
            <w:r>
              <w:rPr>
                <w:rFonts w:hint="default"/>
                <w:u w:val="single"/>
                <w:lang w:val="en-US" w:eastAsia="zh-CN"/>
              </w:rPr>
              <w:t>纯水制备工艺流程</w:t>
            </w:r>
            <w:r>
              <w:rPr>
                <w:rFonts w:hint="eastAsia"/>
                <w:u w:val="single"/>
                <w:lang w:val="en-US" w:eastAsia="zh-CN"/>
              </w:rPr>
              <w:t>：</w:t>
            </w:r>
            <w:r>
              <w:rPr>
                <w:rFonts w:hint="default"/>
                <w:u w:val="single"/>
                <w:lang w:val="en-US" w:eastAsia="zh-CN"/>
              </w:rPr>
              <w:t>自来水→纯化水制水设备（石英砂过滤→活性炭滤芯→精密滤芯→RO反渗透膜→离子交换树脂→水箱储存）→纯化水</w:t>
            </w:r>
          </w:p>
          <w:p>
            <w:pPr>
              <w:bidi w:val="0"/>
              <w:ind w:firstLine="480" w:firstLineChars="200"/>
              <w:rPr>
                <w:rFonts w:hint="default"/>
                <w:lang w:val="en-US" w:eastAsia="zh-CN"/>
              </w:rPr>
            </w:pPr>
            <w:r>
              <w:rPr>
                <w:rFonts w:hint="default"/>
                <w:u w:val="single"/>
                <w:lang w:val="en-US" w:eastAsia="zh-CN"/>
              </w:rPr>
              <w:t>工艺说明：自来水进入石英砂过滤器用来去除自来水中大分子物质，然后进入活性炭过滤器，可以吸附自来水中的余氯，去除自来水异味，还可吸附颜色物质，还原自来水的透彻；接着进入精密过滤器过滤，用于过滤自来水中的细菌、病毒等小分子物质；最后进入RO膜系统，在半透膜的作用下，进一步去除水中的无机盐、有机物、胶体等物质，从而制备纯化水，此步骤会产生废滤芯、废反渗透膜</w:t>
            </w:r>
            <w:r>
              <w:rPr>
                <w:rFonts w:hint="eastAsia"/>
                <w:u w:val="single"/>
                <w:lang w:val="en-US" w:eastAsia="zh-CN"/>
              </w:rPr>
              <w:t>，</w:t>
            </w:r>
            <w:r>
              <w:rPr>
                <w:rFonts w:hint="default"/>
                <w:u w:val="single"/>
                <w:lang w:val="en-US" w:eastAsia="zh-CN"/>
              </w:rPr>
              <w:t>废离子交换树脂</w:t>
            </w:r>
            <w:r>
              <w:rPr>
                <w:rFonts w:hint="eastAsia"/>
                <w:u w:val="single"/>
                <w:lang w:val="en-US" w:eastAsia="zh-CN"/>
              </w:rPr>
              <w:t>，</w:t>
            </w:r>
            <w:r>
              <w:rPr>
                <w:rFonts w:hint="default"/>
                <w:u w:val="single"/>
                <w:lang w:val="en-US" w:eastAsia="zh-CN"/>
              </w:rPr>
              <w:t>纯水制备浓水。</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（3）环保设施</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污水处理站产生的氨、硫化氢废气，污泥，废气处理产生的废过滤材料、废活性炭，除尘设施收集的粉尘。</w:t>
            </w:r>
          </w:p>
          <w:p>
            <w:pPr>
              <w:bidi w:val="0"/>
              <w:ind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综上，项目产污环节汇总如下：</w:t>
            </w:r>
          </w:p>
          <w:p>
            <w:pPr>
              <w:pStyle w:val="27"/>
              <w:bidi w:val="0"/>
              <w:rPr>
                <w:rFonts w:hint="default"/>
                <w:u w:val="single"/>
                <w:lang w:val="en-US" w:eastAsia="zh-CN"/>
              </w:rPr>
            </w:pPr>
            <w:r>
              <w:rPr>
                <w:rFonts w:hint="eastAsia"/>
                <w:u w:val="single"/>
                <w:lang w:val="en-US" w:eastAsia="zh-CN"/>
              </w:rPr>
              <w:t>表2-10    项目产污环节汇总一览表</w:t>
            </w:r>
          </w:p>
          <w:tbl>
            <w:tblPr>
              <w:tblStyle w:val="18"/>
              <w:tblW w:w="8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2760"/>
              <w:gridCol w:w="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编号</w:t>
                  </w:r>
                </w:p>
              </w:tc>
              <w:tc>
                <w:tcPr>
                  <w:tcW w:w="276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产污环节</w:t>
                  </w:r>
                </w:p>
              </w:tc>
              <w:tc>
                <w:tcPr>
                  <w:tcW w:w="4132"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污染物种类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G</w:t>
                  </w:r>
                </w:p>
              </w:tc>
              <w:tc>
                <w:tcPr>
                  <w:tcW w:w="276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称量、配料、混合、干燥、实验检测、污水处理站</w:t>
                  </w:r>
                </w:p>
              </w:tc>
              <w:tc>
                <w:tcPr>
                  <w:tcW w:w="4132"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颗粒物、挥发性有机物、氨、硫化氢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W</w:t>
                  </w:r>
                </w:p>
              </w:tc>
              <w:tc>
                <w:tcPr>
                  <w:tcW w:w="276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设备清洗、地面冲洗、员工生活、实验室、纯水制备</w:t>
                  </w:r>
                </w:p>
              </w:tc>
              <w:tc>
                <w:tcPr>
                  <w:tcW w:w="4132" w:type="dxa"/>
                  <w:noWrap w:val="0"/>
                  <w:vAlign w:val="center"/>
                </w:tcPr>
                <w:p>
                  <w:pPr>
                    <w:pStyle w:val="26"/>
                    <w:spacing w:beforeLines="0" w:afterLines="0" w:line="240" w:lineRule="auto"/>
                    <w:jc w:val="center"/>
                    <w:rPr>
                      <w:rFonts w:hint="eastAsia"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设备清洗废水、地面清洗废水、洗衣废水、生活废水、检测废水、</w:t>
                  </w:r>
                  <w:r>
                    <w:rPr>
                      <w:rFonts w:hint="default" w:ascii="Times New Roman" w:hAnsi="宋体" w:eastAsia="宋体" w:cs="Times New Roman"/>
                      <w:snapToGrid w:val="0"/>
                      <w:color w:val="auto"/>
                      <w:kern w:val="21"/>
                      <w:szCs w:val="21"/>
                      <w:u w:val="single"/>
                      <w:lang w:val="en-US" w:eastAsia="zh-CN"/>
                    </w:rPr>
                    <w:t>纯水制备浓水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N</w:t>
                  </w:r>
                </w:p>
              </w:tc>
              <w:tc>
                <w:tcPr>
                  <w:tcW w:w="276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生产加工、实验检测</w:t>
                  </w:r>
                </w:p>
              </w:tc>
              <w:tc>
                <w:tcPr>
                  <w:tcW w:w="4132"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S</w:t>
                  </w:r>
                </w:p>
              </w:tc>
              <w:tc>
                <w:tcPr>
                  <w:tcW w:w="276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包装、生产、员工、实验室、纯水制备、污水处理站、废气处理、除尘设施</w:t>
                  </w:r>
                </w:p>
              </w:tc>
              <w:tc>
                <w:tcPr>
                  <w:tcW w:w="4132" w:type="dxa"/>
                  <w:noWrap w:val="0"/>
                  <w:vAlign w:val="center"/>
                </w:tcPr>
                <w:p>
                  <w:pPr>
                    <w:pStyle w:val="26"/>
                    <w:spacing w:beforeLines="0" w:afterLines="0" w:line="240" w:lineRule="auto"/>
                    <w:jc w:val="center"/>
                    <w:rPr>
                      <w:rFonts w:hint="eastAsia" w:ascii="Times New Roman" w:hAnsi="宋体" w:eastAsia="宋体" w:cs="Times New Roman"/>
                      <w:snapToGrid w:val="0"/>
                      <w:color w:val="auto"/>
                      <w:kern w:val="21"/>
                      <w:szCs w:val="21"/>
                      <w:u w:val="single"/>
                      <w:lang w:val="en-US" w:eastAsia="zh-CN"/>
                    </w:rPr>
                  </w:pPr>
                  <w:r>
                    <w:rPr>
                      <w:rFonts w:hint="eastAsia" w:ascii="Times New Roman" w:hAnsi="宋体" w:eastAsia="宋体" w:cs="Times New Roman"/>
                      <w:snapToGrid w:val="0"/>
                      <w:color w:val="auto"/>
                      <w:kern w:val="21"/>
                      <w:szCs w:val="21"/>
                      <w:u w:val="single"/>
                      <w:lang w:val="en-US" w:eastAsia="zh-CN"/>
                    </w:rPr>
                    <w:t>废弃包装物、废药、生活垃圾、废手套、废口罩、实验固废、实验废液、废滤芯、废反渗透膜，废离子交换树脂、淤泥、废过滤棉、废活性炭、粉尘</w:t>
                  </w:r>
                </w:p>
              </w:tc>
            </w:tr>
          </w:tbl>
          <w:p>
            <w:pPr>
              <w:pStyle w:val="3"/>
              <w:spacing w:line="360" w:lineRule="auto"/>
              <w:ind w:left="0" w:leftChars="0" w:firstLine="0" w:firstLineChars="0"/>
              <w:jc w:val="both"/>
              <w:rPr>
                <w:rFonts w:hint="default" w:ascii="Times New Roman" w:hAnsi="Times New Roman" w:cs="Times New Roman"/>
                <w:bCs/>
                <w:color w:val="FF0000"/>
                <w:sz w:val="24"/>
                <w:szCs w:val="24"/>
              </w:rPr>
            </w:pPr>
          </w:p>
          <w:p>
            <w:pPr>
              <w:pStyle w:val="2"/>
              <w:rPr>
                <w:rFonts w:hint="default" w:ascii="Times New Roman" w:hAnsi="Times New Roman" w:cs="Times New Roman"/>
                <w:bCs/>
                <w:color w:val="FF0000"/>
                <w:sz w:val="24"/>
                <w:szCs w:val="24"/>
              </w:rPr>
            </w:pPr>
          </w:p>
          <w:p>
            <w:pPr>
              <w:pStyle w:val="3"/>
              <w:rPr>
                <w:rFonts w:hint="default" w:ascii="Times New Roman" w:hAnsi="Times New Roman" w:cs="Times New Roman"/>
                <w:bCs/>
                <w:color w:val="FF0000"/>
                <w:sz w:val="24"/>
                <w:szCs w:val="24"/>
              </w:rPr>
            </w:pPr>
          </w:p>
          <w:p>
            <w:pPr>
              <w:pStyle w:val="3"/>
              <w:ind w:left="0" w:leftChars="0" w:firstLine="0" w:firstLineChars="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40" w:type="dxa"/>
            <w:noWrap w:val="0"/>
            <w:vAlign w:val="center"/>
          </w:tcPr>
          <w:p>
            <w:pPr>
              <w:pStyle w:val="14"/>
              <w:adjustRightInd w:val="0"/>
              <w:snapToGrid w:val="0"/>
              <w:spacing w:before="0" w:beforeAutospacing="0" w:after="0" w:afterAutospacing="0"/>
              <w:jc w:val="center"/>
              <w:rPr>
                <w:rFonts w:hint="default" w:ascii="Times New Roman" w:hAnsi="Times New Roman" w:cs="Times New Roman"/>
                <w:color w:val="auto"/>
                <w:sz w:val="24"/>
                <w:szCs w:val="24"/>
                <w:u w:val="none"/>
              </w:rPr>
            </w:pPr>
            <w:r>
              <w:rPr>
                <w:rFonts w:hint="default" w:ascii="Times New Roman" w:hAnsi="Times New Roman" w:cs="Times New Roman"/>
                <w:bCs/>
                <w:color w:val="auto"/>
                <w:kern w:val="2"/>
                <w:sz w:val="24"/>
                <w:szCs w:val="24"/>
                <w:u w:val="none"/>
              </w:rPr>
              <w:t>与项目有关的原有环境污染问题</w:t>
            </w:r>
          </w:p>
        </w:tc>
        <w:tc>
          <w:tcPr>
            <w:tcW w:w="8400" w:type="dxa"/>
            <w:noWrap w:val="0"/>
            <w:vAlign w:val="top"/>
          </w:tcPr>
          <w:p>
            <w:pPr>
              <w:ind w:firstLine="480" w:firstLineChars="200"/>
              <w:rPr>
                <w:rFonts w:hint="eastAsia" w:ascii="Times New Roman" w:hAnsi="Times New Roman" w:cs="Times New Roman"/>
                <w:bCs/>
                <w:color w:val="auto"/>
                <w:sz w:val="24"/>
                <w:szCs w:val="24"/>
                <w:u w:val="none"/>
                <w:lang w:val="en-US" w:eastAsia="zh-CN"/>
              </w:rPr>
            </w:pPr>
            <w:r>
              <w:rPr>
                <w:rFonts w:hint="eastAsia" w:cs="Times New Roman"/>
                <w:bCs/>
                <w:color w:val="auto"/>
                <w:sz w:val="24"/>
                <w:szCs w:val="24"/>
                <w:u w:val="none"/>
                <w:lang w:val="en-US" w:eastAsia="zh-CN"/>
              </w:rPr>
              <w:t>本项目为新建项目，无与本项目相关的原有污染问题。</w:t>
            </w:r>
          </w:p>
          <w:p>
            <w:pPr>
              <w:rPr>
                <w:rFonts w:hint="eastAsia" w:ascii="Times New Roman" w:hAnsi="Times New Roman" w:cs="Times New Roman"/>
                <w:bCs/>
                <w:color w:val="auto"/>
                <w:sz w:val="24"/>
                <w:szCs w:val="24"/>
                <w:u w:val="none"/>
                <w:lang w:val="en-US" w:eastAsia="zh-CN"/>
              </w:rPr>
            </w:pPr>
          </w:p>
          <w:p>
            <w:pPr>
              <w:rPr>
                <w:rFonts w:hint="eastAsia" w:ascii="Times New Roman" w:hAnsi="Times New Roman" w:cs="Times New Roman"/>
                <w:bCs/>
                <w:color w:val="auto"/>
                <w:sz w:val="24"/>
                <w:szCs w:val="24"/>
                <w:u w:val="none"/>
                <w:lang w:val="en-US" w:eastAsia="zh-CN"/>
              </w:rPr>
            </w:pPr>
          </w:p>
          <w:p>
            <w:pPr>
              <w:rPr>
                <w:rFonts w:hint="eastAsia" w:ascii="Times New Roman" w:hAnsi="Times New Roman" w:cs="Times New Roman"/>
                <w:bCs/>
                <w:color w:val="auto"/>
                <w:sz w:val="24"/>
                <w:szCs w:val="24"/>
                <w:u w:val="none"/>
                <w:lang w:val="en-US" w:eastAsia="zh-CN"/>
              </w:rPr>
            </w:pPr>
          </w:p>
          <w:p>
            <w:pPr>
              <w:rPr>
                <w:rFonts w:hint="eastAsia" w:ascii="Times New Roman" w:hAnsi="Times New Roman" w:cs="Times New Roman"/>
                <w:bCs/>
                <w:color w:val="auto"/>
                <w:sz w:val="24"/>
                <w:szCs w:val="24"/>
                <w:u w:val="none"/>
                <w:lang w:val="en-US" w:eastAsia="zh-CN"/>
              </w:rPr>
            </w:pPr>
          </w:p>
          <w:p>
            <w:pPr>
              <w:rPr>
                <w:rFonts w:hint="eastAsia" w:ascii="Times New Roman" w:hAnsi="Times New Roman" w:cs="Times New Roman"/>
                <w:bCs/>
                <w:color w:val="auto"/>
                <w:sz w:val="24"/>
                <w:szCs w:val="24"/>
                <w:u w:val="none"/>
                <w:lang w:val="en-US" w:eastAsia="zh-CN"/>
              </w:rPr>
            </w:pPr>
          </w:p>
          <w:p>
            <w:pPr>
              <w:pStyle w:val="2"/>
              <w:rPr>
                <w:rFonts w:hint="eastAsia" w:ascii="Times New Roman" w:hAnsi="Times New Roman" w:cs="Times New Roman"/>
                <w:bCs/>
                <w:color w:val="auto"/>
                <w:sz w:val="24"/>
                <w:szCs w:val="24"/>
                <w:u w:val="none"/>
                <w:lang w:val="en-US" w:eastAsia="zh-CN"/>
              </w:rPr>
            </w:pPr>
          </w:p>
          <w:p>
            <w:pPr>
              <w:pStyle w:val="3"/>
              <w:rPr>
                <w:rFonts w:hint="eastAsia"/>
                <w:lang w:val="en-US" w:eastAsia="zh-CN"/>
              </w:rPr>
            </w:pPr>
          </w:p>
          <w:p>
            <w:pPr>
              <w:pStyle w:val="2"/>
              <w:rPr>
                <w:rFonts w:hint="eastAsia" w:ascii="Times New Roman" w:hAnsi="Times New Roman" w:cs="Times New Roman"/>
                <w:bCs/>
                <w:color w:val="auto"/>
                <w:sz w:val="24"/>
                <w:szCs w:val="24"/>
                <w:u w:val="none"/>
                <w:lang w:val="en-US" w:eastAsia="zh-CN"/>
              </w:rPr>
            </w:pPr>
          </w:p>
          <w:p>
            <w:pPr>
              <w:pStyle w:val="3"/>
              <w:rPr>
                <w:rFonts w:hint="eastAsia" w:ascii="Times New Roman" w:hAnsi="Times New Roman" w:cs="Times New Roman"/>
                <w:bCs/>
                <w:color w:val="auto"/>
                <w:sz w:val="24"/>
                <w:szCs w:val="24"/>
                <w:u w:val="none"/>
                <w:lang w:val="en-US" w:eastAsia="zh-CN"/>
              </w:rPr>
            </w:pPr>
          </w:p>
          <w:p>
            <w:pPr>
              <w:rPr>
                <w:rFonts w:hint="eastAsia" w:ascii="Times New Roman" w:hAnsi="Times New Roman" w:cs="Times New Roman"/>
                <w:bCs/>
                <w:color w:val="auto"/>
                <w:sz w:val="24"/>
                <w:szCs w:val="24"/>
                <w:u w:val="none"/>
                <w:lang w:val="en-US" w:eastAsia="zh-CN"/>
              </w:rPr>
            </w:pPr>
          </w:p>
          <w:p>
            <w:pPr>
              <w:pStyle w:val="2"/>
              <w:rPr>
                <w:rFonts w:hint="eastAsia" w:ascii="Times New Roman" w:hAnsi="Times New Roman" w:cs="Times New Roman"/>
                <w:bCs/>
                <w:color w:val="auto"/>
                <w:sz w:val="24"/>
                <w:szCs w:val="24"/>
                <w:u w:val="none"/>
                <w:lang w:val="en-US" w:eastAsia="zh-CN"/>
              </w:rPr>
            </w:pPr>
          </w:p>
          <w:p>
            <w:pPr>
              <w:pStyle w:val="3"/>
              <w:rPr>
                <w:rFonts w:hint="eastAsia" w:ascii="Times New Roman" w:hAnsi="Times New Roman" w:cs="Times New Roman"/>
                <w:bCs/>
                <w:color w:val="auto"/>
                <w:sz w:val="24"/>
                <w:szCs w:val="24"/>
                <w:u w:val="none"/>
                <w:lang w:val="en-US" w:eastAsia="zh-CN"/>
              </w:rPr>
            </w:pPr>
          </w:p>
          <w:p>
            <w:pPr>
              <w:rPr>
                <w:rFonts w:hint="eastAsia" w:ascii="Times New Roman" w:hAnsi="Times New Roman" w:cs="Times New Roman"/>
                <w:bCs/>
                <w:color w:val="auto"/>
                <w:sz w:val="24"/>
                <w:szCs w:val="24"/>
                <w:u w:val="none"/>
                <w:lang w:val="en-US" w:eastAsia="zh-CN"/>
              </w:rPr>
            </w:pPr>
          </w:p>
          <w:p>
            <w:pPr>
              <w:pStyle w:val="2"/>
              <w:rPr>
                <w:rFonts w:hint="eastAsia" w:ascii="Times New Roman" w:hAnsi="Times New Roman" w:cs="Times New Roman"/>
                <w:bCs/>
                <w:color w:val="auto"/>
                <w:sz w:val="24"/>
                <w:szCs w:val="24"/>
                <w:u w:val="none"/>
                <w:lang w:val="en-US" w:eastAsia="zh-CN"/>
              </w:rPr>
            </w:pPr>
          </w:p>
          <w:p>
            <w:pPr>
              <w:pStyle w:val="3"/>
              <w:rPr>
                <w:rFonts w:hint="eastAsia" w:ascii="Times New Roman" w:hAnsi="Times New Roman" w:cs="Times New Roman"/>
                <w:bCs/>
                <w:color w:val="auto"/>
                <w:sz w:val="24"/>
                <w:szCs w:val="24"/>
                <w:u w:val="none"/>
                <w:lang w:val="en-US" w:eastAsia="zh-CN"/>
              </w:rPr>
            </w:pPr>
          </w:p>
          <w:p>
            <w:pPr>
              <w:rPr>
                <w:rFonts w:hint="eastAsia"/>
                <w:lang w:val="en-US" w:eastAsia="zh-CN"/>
              </w:rPr>
            </w:pPr>
          </w:p>
          <w:p>
            <w:pPr>
              <w:rPr>
                <w:rFonts w:hint="eastAsia" w:ascii="Times New Roman" w:hAnsi="Times New Roman" w:cs="Times New Roman"/>
                <w:bCs/>
                <w:color w:val="auto"/>
                <w:sz w:val="24"/>
                <w:szCs w:val="24"/>
                <w:u w:val="none"/>
                <w:lang w:val="en-US" w:eastAsia="zh-CN"/>
              </w:rPr>
            </w:pPr>
          </w:p>
          <w:p>
            <w:pPr>
              <w:pStyle w:val="2"/>
              <w:rPr>
                <w:rFonts w:hint="eastAsia" w:ascii="Times New Roman" w:hAnsi="Times New Roman" w:cs="Times New Roman"/>
                <w:bCs/>
                <w:color w:val="auto"/>
                <w:sz w:val="24"/>
                <w:szCs w:val="24"/>
                <w:u w:val="none"/>
                <w:lang w:val="en-US" w:eastAsia="zh-CN"/>
              </w:rPr>
            </w:pPr>
          </w:p>
          <w:p>
            <w:pPr>
              <w:pStyle w:val="3"/>
              <w:rPr>
                <w:rFonts w:hint="eastAsia" w:ascii="Times New Roman" w:hAnsi="Times New Roman" w:cs="Times New Roman"/>
                <w:bCs/>
                <w:color w:val="auto"/>
                <w:sz w:val="24"/>
                <w:szCs w:val="24"/>
                <w:u w:val="none"/>
                <w:lang w:val="en-US" w:eastAsia="zh-CN"/>
              </w:rPr>
            </w:pPr>
          </w:p>
          <w:p>
            <w:pPr>
              <w:rPr>
                <w:rFonts w:hint="eastAsia" w:ascii="Times New Roman" w:hAnsi="Times New Roman" w:cs="Times New Roman"/>
                <w:bCs/>
                <w:color w:val="auto"/>
                <w:sz w:val="24"/>
                <w:szCs w:val="24"/>
                <w:u w:val="none"/>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ascii="Times New Roman" w:hAnsi="Times New Roman" w:cs="Times New Roman"/>
                <w:bCs/>
                <w:color w:val="auto"/>
                <w:sz w:val="24"/>
                <w:szCs w:val="24"/>
                <w:u w:val="none"/>
                <w:lang w:val="en-US" w:eastAsia="zh-CN"/>
              </w:rPr>
            </w:pPr>
          </w:p>
          <w:p>
            <w:pPr>
              <w:pStyle w:val="3"/>
              <w:ind w:left="0" w:leftChars="0" w:firstLine="0" w:firstLineChars="0"/>
              <w:rPr>
                <w:rFonts w:hint="default" w:ascii="Times New Roman" w:hAnsi="Times New Roman" w:cs="Times New Roman"/>
                <w:color w:val="auto"/>
                <w:u w:val="none"/>
                <w:lang w:val="en-US"/>
              </w:rPr>
            </w:pPr>
          </w:p>
        </w:tc>
      </w:tr>
    </w:tbl>
    <w:p>
      <w:pPr>
        <w:pStyle w:val="5"/>
        <w:bidi w:val="0"/>
      </w:pPr>
      <w:bookmarkStart w:id="6" w:name="_Toc21524"/>
      <w:r>
        <w:rPr>
          <w:rFonts w:hint="eastAsia"/>
        </w:rPr>
        <w:t>三、区域环境质量现状、环境保护目标及评价标准</w:t>
      </w:r>
      <w:bookmarkEnd w:id="6"/>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区域</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质量</w:t>
            </w:r>
          </w:p>
          <w:p>
            <w:pPr>
              <w:adjustRightInd w:val="0"/>
              <w:snapToGrid w:val="0"/>
              <w:jc w:val="center"/>
              <w:rPr>
                <w:rFonts w:hint="default" w:ascii="Times New Roman" w:hAnsi="Times New Roman" w:cs="Times New Roman"/>
                <w:color w:val="FF0000"/>
                <w:kern w:val="0"/>
                <w:sz w:val="24"/>
                <w:szCs w:val="24"/>
              </w:rPr>
            </w:pPr>
            <w:r>
              <w:rPr>
                <w:rFonts w:hint="default" w:ascii="Times New Roman" w:hAnsi="Times New Roman" w:cs="Times New Roman"/>
                <w:color w:val="auto"/>
                <w:kern w:val="0"/>
                <w:sz w:val="24"/>
                <w:szCs w:val="24"/>
              </w:rPr>
              <w:t>现状</w:t>
            </w:r>
          </w:p>
        </w:tc>
        <w:tc>
          <w:tcPr>
            <w:tcW w:w="8190" w:type="dxa"/>
            <w:noWrap w:val="0"/>
            <w:vAlign w:val="center"/>
          </w:tcPr>
          <w:p>
            <w:pPr>
              <w:adjustRightInd w:val="0"/>
              <w:snapToGrid w:val="0"/>
              <w:spacing w:line="360" w:lineRule="auto"/>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（一）</w:t>
            </w:r>
            <w:r>
              <w:rPr>
                <w:rFonts w:hint="default" w:ascii="Times New Roman" w:hAnsi="Times New Roman" w:cs="Times New Roman"/>
                <w:b/>
                <w:bCs/>
                <w:color w:val="auto"/>
                <w:sz w:val="24"/>
                <w:szCs w:val="24"/>
              </w:rPr>
              <w:t>环境空气质量</w:t>
            </w:r>
          </w:p>
          <w:p>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1、区域环境空气质量达标判定</w:t>
            </w:r>
          </w:p>
          <w:p>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大气环境》（HJ2.2-2018）中“6.2.1项目所在区域达标判定，优先采用国家或地方生态环境主管部门公开发布的评价基准年环境质量公告或环境质量报告中数据或结论”。本项目位于常德市经济技术开发区，根据《常德市生态环境局关于2023年12月全市环境质量状况的通报》中附件2“2023年1-12月常德市环境空气质量状况”，常德经开区常规监测点空气质量现状统计如下表所示。</w:t>
            </w:r>
          </w:p>
          <w:p>
            <w:pPr>
              <w:adjustRightInd w:val="0"/>
              <w:snapToGrid w:val="0"/>
              <w:spacing w:line="36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表3-1  区域空气质量现状评价表（2023年）</w:t>
            </w:r>
          </w:p>
          <w:tbl>
            <w:tblPr>
              <w:tblStyle w:val="1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59"/>
              <w:gridCol w:w="2485"/>
              <w:gridCol w:w="1176"/>
              <w:gridCol w:w="1387"/>
              <w:gridCol w:w="1047"/>
              <w:gridCol w:w="81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lang w:val="en-US" w:eastAsia="zh-CN"/>
                    </w:rPr>
                  </w:pPr>
                  <w:r>
                    <w:rPr>
                      <w:rFonts w:hint="default" w:ascii="Times New Roman" w:hAnsi="Times New Roman" w:eastAsia="宋体" w:cs="Times New Roman"/>
                      <w:b/>
                      <w:bCs/>
                      <w:snapToGrid w:val="0"/>
                      <w:color w:val="auto"/>
                      <w:kern w:val="21"/>
                      <w:szCs w:val="21"/>
                      <w:lang w:val="en-US" w:eastAsia="zh-CN"/>
                    </w:rPr>
                    <w:t>监测因子</w:t>
                  </w:r>
                </w:p>
              </w:tc>
              <w:tc>
                <w:tcPr>
                  <w:tcW w:w="2364"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lang w:val="en-US" w:eastAsia="zh-CN"/>
                    </w:rPr>
                  </w:pPr>
                  <w:r>
                    <w:rPr>
                      <w:rFonts w:hint="default" w:ascii="Times New Roman" w:hAnsi="Times New Roman" w:eastAsia="宋体" w:cs="Times New Roman"/>
                      <w:b/>
                      <w:bCs/>
                      <w:snapToGrid w:val="0"/>
                      <w:color w:val="auto"/>
                      <w:kern w:val="21"/>
                      <w:szCs w:val="21"/>
                      <w:lang w:val="en-US" w:eastAsia="zh-CN"/>
                    </w:rPr>
                    <w:t>年评价指标</w:t>
                  </w:r>
                </w:p>
              </w:tc>
              <w:tc>
                <w:tcPr>
                  <w:tcW w:w="11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lang w:val="en-US" w:eastAsia="zh-CN"/>
                    </w:rPr>
                  </w:pPr>
                  <w:r>
                    <w:rPr>
                      <w:rFonts w:hint="default" w:ascii="Times New Roman" w:hAnsi="Times New Roman" w:eastAsia="宋体" w:cs="Times New Roman"/>
                      <w:b/>
                      <w:bCs/>
                      <w:snapToGrid w:val="0"/>
                      <w:color w:val="auto"/>
                      <w:kern w:val="21"/>
                      <w:szCs w:val="21"/>
                      <w:lang w:val="en-US" w:eastAsia="zh-CN"/>
                    </w:rPr>
                    <w:t>现状浓度/(ug/m</w:t>
                  </w:r>
                  <w:r>
                    <w:rPr>
                      <w:rFonts w:hint="default" w:ascii="Times New Roman" w:hAnsi="Times New Roman" w:eastAsia="宋体" w:cs="Times New Roman"/>
                      <w:b/>
                      <w:bCs/>
                      <w:snapToGrid w:val="0"/>
                      <w:color w:val="auto"/>
                      <w:kern w:val="21"/>
                      <w:szCs w:val="21"/>
                      <w:vertAlign w:val="superscript"/>
                      <w:lang w:val="en-US" w:eastAsia="zh-CN"/>
                    </w:rPr>
                    <w:t>3</w:t>
                  </w:r>
                  <w:r>
                    <w:rPr>
                      <w:rFonts w:hint="default" w:ascii="Times New Roman" w:hAnsi="Times New Roman" w:eastAsia="宋体" w:cs="Times New Roman"/>
                      <w:b/>
                      <w:bCs/>
                      <w:snapToGrid w:val="0"/>
                      <w:color w:val="auto"/>
                      <w:kern w:val="21"/>
                      <w:szCs w:val="21"/>
                      <w:lang w:val="en-US" w:eastAsia="zh-CN"/>
                    </w:rPr>
                    <w:t>)</w:t>
                  </w:r>
                </w:p>
              </w:tc>
              <w:tc>
                <w:tcPr>
                  <w:tcW w:w="13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lang w:val="en-US" w:eastAsia="zh-CN"/>
                    </w:rPr>
                  </w:pPr>
                  <w:r>
                    <w:rPr>
                      <w:rFonts w:hint="default" w:ascii="Times New Roman" w:hAnsi="Times New Roman" w:eastAsia="宋体" w:cs="Times New Roman"/>
                      <w:b/>
                      <w:bCs/>
                      <w:snapToGrid w:val="0"/>
                      <w:color w:val="auto"/>
                      <w:kern w:val="21"/>
                      <w:szCs w:val="21"/>
                      <w:lang w:val="en-US" w:eastAsia="zh-CN"/>
                    </w:rPr>
                    <w:t>标准值/(ug/m</w:t>
                  </w:r>
                  <w:r>
                    <w:rPr>
                      <w:rFonts w:hint="default" w:ascii="Times New Roman" w:hAnsi="Times New Roman" w:eastAsia="宋体" w:cs="Times New Roman"/>
                      <w:b/>
                      <w:bCs/>
                      <w:snapToGrid w:val="0"/>
                      <w:color w:val="auto"/>
                      <w:kern w:val="21"/>
                      <w:szCs w:val="21"/>
                      <w:vertAlign w:val="superscript"/>
                      <w:lang w:val="en-US" w:eastAsia="zh-CN"/>
                    </w:rPr>
                    <w:t>3</w:t>
                  </w:r>
                  <w:r>
                    <w:rPr>
                      <w:rFonts w:hint="default" w:ascii="Times New Roman" w:hAnsi="Times New Roman" w:eastAsia="宋体" w:cs="Times New Roman"/>
                      <w:b/>
                      <w:bCs/>
                      <w:snapToGrid w:val="0"/>
                      <w:color w:val="auto"/>
                      <w:kern w:val="21"/>
                      <w:szCs w:val="21"/>
                      <w:lang w:val="en-US" w:eastAsia="zh-CN"/>
                    </w:rPr>
                    <w:t>)</w:t>
                  </w:r>
                </w:p>
              </w:tc>
              <w:tc>
                <w:tcPr>
                  <w:tcW w:w="996"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lang w:val="en-US" w:eastAsia="zh-CN"/>
                    </w:rPr>
                  </w:pPr>
                  <w:r>
                    <w:rPr>
                      <w:rFonts w:hint="default" w:ascii="Times New Roman" w:hAnsi="Times New Roman" w:eastAsia="宋体" w:cs="Times New Roman"/>
                      <w:b/>
                      <w:bCs/>
                      <w:snapToGrid w:val="0"/>
                      <w:color w:val="auto"/>
                      <w:kern w:val="21"/>
                      <w:szCs w:val="21"/>
                      <w:lang w:val="en-US" w:eastAsia="zh-CN"/>
                    </w:rPr>
                    <w:t>占标率/%</w:t>
                  </w:r>
                </w:p>
              </w:tc>
              <w:tc>
                <w:tcPr>
                  <w:tcW w:w="775"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lang w:val="en-US" w:eastAsia="zh-CN"/>
                    </w:rPr>
                  </w:pPr>
                  <w:r>
                    <w:rPr>
                      <w:rFonts w:hint="default" w:ascii="Times New Roman" w:hAnsi="Times New Roman" w:eastAsia="宋体" w:cs="Times New Roman"/>
                      <w:b/>
                      <w:bCs/>
                      <w:snapToGrid w:val="0"/>
                      <w:color w:val="auto"/>
                      <w:kern w:val="21"/>
                      <w:szCs w:val="21"/>
                      <w:lang w:val="en-US" w:eastAsia="zh-CN"/>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PM</w:t>
                  </w:r>
                  <w:r>
                    <w:rPr>
                      <w:rFonts w:hint="default" w:ascii="Times New Roman" w:hAnsi="Times New Roman" w:eastAsia="宋体" w:cs="Times New Roman"/>
                      <w:snapToGrid w:val="0"/>
                      <w:color w:val="auto"/>
                      <w:kern w:val="21"/>
                      <w:szCs w:val="21"/>
                      <w:vertAlign w:val="subscript"/>
                      <w:lang w:val="en-US" w:eastAsia="zh-CN"/>
                    </w:rPr>
                    <w:t>2.5</w:t>
                  </w:r>
                </w:p>
              </w:tc>
              <w:tc>
                <w:tcPr>
                  <w:tcW w:w="2364"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年平均浓度</w:t>
                  </w:r>
                </w:p>
              </w:tc>
              <w:tc>
                <w:tcPr>
                  <w:tcW w:w="11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39</w:t>
                  </w:r>
                </w:p>
              </w:tc>
              <w:tc>
                <w:tcPr>
                  <w:tcW w:w="13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35</w:t>
                  </w:r>
                </w:p>
              </w:tc>
              <w:tc>
                <w:tcPr>
                  <w:tcW w:w="996"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111.43</w:t>
                  </w:r>
                </w:p>
              </w:tc>
              <w:tc>
                <w:tcPr>
                  <w:tcW w:w="775"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超标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PM</w:t>
                  </w:r>
                  <w:r>
                    <w:rPr>
                      <w:rFonts w:hint="default" w:ascii="Times New Roman" w:hAnsi="Times New Roman" w:eastAsia="宋体" w:cs="Times New Roman"/>
                      <w:snapToGrid w:val="0"/>
                      <w:color w:val="auto"/>
                      <w:kern w:val="21"/>
                      <w:szCs w:val="21"/>
                      <w:vertAlign w:val="subscript"/>
                      <w:lang w:val="en-US" w:eastAsia="zh-CN"/>
                    </w:rPr>
                    <w:t>10</w:t>
                  </w:r>
                </w:p>
              </w:tc>
              <w:tc>
                <w:tcPr>
                  <w:tcW w:w="2364"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年平均浓度</w:t>
                  </w:r>
                </w:p>
              </w:tc>
              <w:tc>
                <w:tcPr>
                  <w:tcW w:w="11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54</w:t>
                  </w:r>
                </w:p>
              </w:tc>
              <w:tc>
                <w:tcPr>
                  <w:tcW w:w="13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70</w:t>
                  </w:r>
                </w:p>
              </w:tc>
              <w:tc>
                <w:tcPr>
                  <w:tcW w:w="996"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77.14</w:t>
                  </w:r>
                </w:p>
              </w:tc>
              <w:tc>
                <w:tcPr>
                  <w:tcW w:w="775"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SO</w:t>
                  </w:r>
                  <w:r>
                    <w:rPr>
                      <w:rFonts w:hint="default" w:ascii="Times New Roman" w:hAnsi="Times New Roman" w:eastAsia="宋体" w:cs="Times New Roman"/>
                      <w:snapToGrid w:val="0"/>
                      <w:color w:val="auto"/>
                      <w:kern w:val="21"/>
                      <w:szCs w:val="21"/>
                      <w:vertAlign w:val="subscript"/>
                      <w:lang w:val="en-US" w:eastAsia="zh-CN"/>
                    </w:rPr>
                    <w:t>2</w:t>
                  </w:r>
                </w:p>
              </w:tc>
              <w:tc>
                <w:tcPr>
                  <w:tcW w:w="2364"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年平均浓度</w:t>
                  </w:r>
                </w:p>
              </w:tc>
              <w:tc>
                <w:tcPr>
                  <w:tcW w:w="11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7</w:t>
                  </w:r>
                </w:p>
              </w:tc>
              <w:tc>
                <w:tcPr>
                  <w:tcW w:w="13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60</w:t>
                  </w:r>
                </w:p>
              </w:tc>
              <w:tc>
                <w:tcPr>
                  <w:tcW w:w="996"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11.67</w:t>
                  </w:r>
                </w:p>
              </w:tc>
              <w:tc>
                <w:tcPr>
                  <w:tcW w:w="775"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NO</w:t>
                  </w:r>
                  <w:r>
                    <w:rPr>
                      <w:rFonts w:hint="default" w:ascii="Times New Roman" w:hAnsi="Times New Roman" w:eastAsia="宋体" w:cs="Times New Roman"/>
                      <w:snapToGrid w:val="0"/>
                      <w:color w:val="auto"/>
                      <w:kern w:val="21"/>
                      <w:szCs w:val="21"/>
                      <w:vertAlign w:val="subscript"/>
                      <w:lang w:val="en-US" w:eastAsia="zh-CN"/>
                    </w:rPr>
                    <w:t>2</w:t>
                  </w:r>
                </w:p>
              </w:tc>
              <w:tc>
                <w:tcPr>
                  <w:tcW w:w="2364"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年平均浓度</w:t>
                  </w:r>
                </w:p>
              </w:tc>
              <w:tc>
                <w:tcPr>
                  <w:tcW w:w="11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17</w:t>
                  </w:r>
                </w:p>
              </w:tc>
              <w:tc>
                <w:tcPr>
                  <w:tcW w:w="13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40</w:t>
                  </w:r>
                </w:p>
              </w:tc>
              <w:tc>
                <w:tcPr>
                  <w:tcW w:w="996"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42.50</w:t>
                  </w:r>
                </w:p>
              </w:tc>
              <w:tc>
                <w:tcPr>
                  <w:tcW w:w="775"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CO</w:t>
                  </w:r>
                </w:p>
              </w:tc>
              <w:tc>
                <w:tcPr>
                  <w:tcW w:w="2364"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24h平均浓度95百分位</w:t>
                  </w:r>
                </w:p>
              </w:tc>
              <w:tc>
                <w:tcPr>
                  <w:tcW w:w="11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1100</w:t>
                  </w:r>
                </w:p>
              </w:tc>
              <w:tc>
                <w:tcPr>
                  <w:tcW w:w="13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4000</w:t>
                  </w:r>
                </w:p>
              </w:tc>
              <w:tc>
                <w:tcPr>
                  <w:tcW w:w="996"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27.50</w:t>
                  </w:r>
                </w:p>
              </w:tc>
              <w:tc>
                <w:tcPr>
                  <w:tcW w:w="775"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O</w:t>
                  </w:r>
                  <w:r>
                    <w:rPr>
                      <w:rFonts w:hint="default" w:ascii="Times New Roman" w:hAnsi="Times New Roman" w:eastAsia="宋体" w:cs="Times New Roman"/>
                      <w:snapToGrid w:val="0"/>
                      <w:color w:val="auto"/>
                      <w:kern w:val="21"/>
                      <w:szCs w:val="21"/>
                      <w:vertAlign w:val="subscript"/>
                      <w:lang w:val="en-US" w:eastAsia="zh-CN"/>
                    </w:rPr>
                    <w:t>3</w:t>
                  </w:r>
                </w:p>
              </w:tc>
              <w:tc>
                <w:tcPr>
                  <w:tcW w:w="2364"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最大8h平均浓度90百分位</w:t>
                  </w:r>
                </w:p>
              </w:tc>
              <w:tc>
                <w:tcPr>
                  <w:tcW w:w="11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147</w:t>
                  </w:r>
                </w:p>
              </w:tc>
              <w:tc>
                <w:tcPr>
                  <w:tcW w:w="1319"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160</w:t>
                  </w:r>
                </w:p>
              </w:tc>
              <w:tc>
                <w:tcPr>
                  <w:tcW w:w="996"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91.88</w:t>
                  </w:r>
                </w:p>
              </w:tc>
              <w:tc>
                <w:tcPr>
                  <w:tcW w:w="775" w:type="dxa"/>
                  <w:tcBorders>
                    <w:tl2br w:val="nil"/>
                    <w:tr2bl w:val="nil"/>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达标</w:t>
                  </w:r>
                </w:p>
              </w:tc>
            </w:tr>
          </w:tbl>
          <w:p>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综上评价，项目所在区域 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不达标，PM</w:t>
            </w:r>
            <w:r>
              <w:rPr>
                <w:rFonts w:hint="default" w:ascii="Times New Roman" w:hAnsi="Times New Roman" w:eastAsia="宋体" w:cs="Times New Roman"/>
                <w:color w:val="auto"/>
                <w:sz w:val="24"/>
                <w:szCs w:val="24"/>
                <w:vertAlign w:val="subscript"/>
                <w:lang w:val="en-US" w:eastAsia="zh-CN"/>
              </w:rPr>
              <w:t>10</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、CO、O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达标，因此评价区域为环境空气质量不达标区</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超标主要原因是工业污染以及城市机动车辆尾气排放等，采取加强工业污染防治和管理、推进机动车清洁能源的使用等措施后，环境空气质量将有所改善。</w:t>
            </w:r>
          </w:p>
          <w:p>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根据《常德市大气环境质量限期达标规划</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2020-2027年</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相关内容，空气质量限期达标战略：以环境空气质量达标为核心，积极推动转型升级，加大污染治理力度，提升重污染天气防范水平。到2020年，全面深化能源及产业结构调整，优化工业布局，产业集群和园区升级改造，大力推进机动车船等移动源污染治理，不断深化火电行业超低排放改造和工业炉窑深度治理，加大VOCs治理，达到近期目标。到2027年，不断巩固和深化整治成效，建立大气污染联防联控机制，完善监测网络体系，达到远期目标。</w:t>
            </w:r>
          </w:p>
          <w:p>
            <w:pPr>
              <w:adjustRightInd w:val="0"/>
              <w:snapToGrid w:val="0"/>
              <w:spacing w:line="360" w:lineRule="auto"/>
              <w:ind w:firstLine="480" w:firstLineChars="200"/>
              <w:jc w:val="left"/>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2、特征监测因子现状监测</w:t>
            </w:r>
          </w:p>
          <w:p>
            <w:pPr>
              <w:spacing w:line="360" w:lineRule="auto"/>
              <w:ind w:firstLine="480" w:firstLineChars="200"/>
              <w:rPr>
                <w:rFonts w:hint="default" w:ascii="Times New Roman" w:hAnsi="Times New Roman" w:eastAsia="宋体" w:cs="Times New Roman"/>
                <w:color w:val="auto"/>
                <w:kern w:val="0"/>
                <w:sz w:val="24"/>
                <w:szCs w:val="24"/>
                <w:u w:val="single" w:color="auto"/>
                <w:lang w:val="en-US" w:eastAsia="zh-CN"/>
              </w:rPr>
            </w:pPr>
            <w:r>
              <w:rPr>
                <w:rFonts w:hint="default" w:ascii="Times New Roman" w:hAnsi="Times New Roman" w:cs="Times New Roman"/>
                <w:color w:val="auto"/>
                <w:kern w:val="0"/>
                <w:sz w:val="24"/>
                <w:szCs w:val="24"/>
                <w:u w:val="single" w:color="auto"/>
                <w:lang w:eastAsia="zh-CN"/>
              </w:rPr>
              <w:t>（</w:t>
            </w:r>
            <w:r>
              <w:rPr>
                <w:rFonts w:hint="default" w:ascii="Times New Roman" w:hAnsi="Times New Roman" w:cs="Times New Roman"/>
                <w:color w:val="auto"/>
                <w:kern w:val="0"/>
                <w:sz w:val="24"/>
                <w:szCs w:val="24"/>
                <w:u w:val="single" w:color="auto"/>
                <w:lang w:val="en-US" w:eastAsia="zh-CN"/>
              </w:rPr>
              <w:t>1</w:t>
            </w:r>
            <w:r>
              <w:rPr>
                <w:rFonts w:hint="default" w:ascii="Times New Roman" w:hAnsi="Times New Roman" w:cs="Times New Roman"/>
                <w:color w:val="auto"/>
                <w:kern w:val="0"/>
                <w:sz w:val="24"/>
                <w:szCs w:val="24"/>
                <w:u w:val="single" w:color="auto"/>
                <w:lang w:eastAsia="zh-CN"/>
              </w:rPr>
              <w:t>）</w:t>
            </w:r>
            <w:r>
              <w:rPr>
                <w:rFonts w:hint="default" w:ascii="Times New Roman" w:hAnsi="Times New Roman" w:cs="Times New Roman"/>
                <w:color w:val="auto"/>
                <w:kern w:val="0"/>
                <w:sz w:val="24"/>
                <w:szCs w:val="24"/>
                <w:u w:val="single" w:color="auto"/>
                <w:lang w:val="en-US" w:eastAsia="zh-CN"/>
              </w:rPr>
              <w:t>评价因子</w:t>
            </w:r>
          </w:p>
          <w:p>
            <w:pPr>
              <w:spacing w:line="360" w:lineRule="auto"/>
              <w:ind w:firstLine="480" w:firstLineChars="200"/>
              <w:rPr>
                <w:rFonts w:hint="default" w:ascii="Times New Roman" w:hAnsi="Times New Roman" w:cs="Times New Roman"/>
                <w:color w:val="auto"/>
                <w:kern w:val="0"/>
                <w:sz w:val="24"/>
                <w:szCs w:val="24"/>
                <w:u w:val="single" w:color="auto"/>
              </w:rPr>
            </w:pPr>
            <w:r>
              <w:rPr>
                <w:rFonts w:hint="default" w:ascii="Times New Roman" w:hAnsi="Times New Roman" w:cs="Times New Roman"/>
                <w:color w:val="auto"/>
                <w:kern w:val="0"/>
                <w:sz w:val="24"/>
                <w:szCs w:val="24"/>
                <w:u w:val="single" w:color="auto"/>
              </w:rPr>
              <w:t>根据项目区域环境特征和项目的工程建设内容，选择</w:t>
            </w:r>
            <w:r>
              <w:rPr>
                <w:rFonts w:hint="eastAsia" w:cs="Times New Roman"/>
                <w:color w:val="auto"/>
                <w:kern w:val="0"/>
                <w:sz w:val="24"/>
                <w:szCs w:val="24"/>
                <w:u w:val="single" w:color="auto"/>
                <w:lang w:val="en-US" w:eastAsia="zh-CN"/>
              </w:rPr>
              <w:t>TSP</w:t>
            </w:r>
            <w:r>
              <w:rPr>
                <w:rFonts w:hint="default" w:ascii="Times New Roman" w:hAnsi="Times New Roman" w:cs="Times New Roman"/>
                <w:color w:val="auto"/>
                <w:kern w:val="0"/>
                <w:sz w:val="24"/>
                <w:szCs w:val="24"/>
                <w:u w:val="single" w:color="auto"/>
              </w:rPr>
              <w:t>作为大气环境质量特征评价因子。</w:t>
            </w:r>
          </w:p>
          <w:p>
            <w:pPr>
              <w:spacing w:line="360" w:lineRule="auto"/>
              <w:ind w:firstLine="480" w:firstLineChars="200"/>
              <w:rPr>
                <w:rFonts w:hint="default" w:ascii="Times New Roman" w:hAnsi="Times New Roman" w:cs="Times New Roman"/>
                <w:color w:val="auto"/>
                <w:kern w:val="0"/>
                <w:sz w:val="24"/>
                <w:szCs w:val="24"/>
                <w:u w:val="single" w:color="auto"/>
              </w:rPr>
            </w:pPr>
            <w:r>
              <w:rPr>
                <w:rFonts w:hint="default" w:ascii="Times New Roman" w:hAnsi="Times New Roman" w:cs="Times New Roman"/>
                <w:color w:val="auto"/>
                <w:kern w:val="0"/>
                <w:sz w:val="24"/>
                <w:szCs w:val="24"/>
                <w:u w:val="single" w:color="auto"/>
              </w:rPr>
              <w:t>环评引用《常德经济技术开发区调区扩区规划环境影响报告书》 202</w:t>
            </w:r>
            <w:r>
              <w:rPr>
                <w:rFonts w:hint="eastAsia" w:cs="Times New Roman"/>
                <w:color w:val="auto"/>
                <w:kern w:val="0"/>
                <w:sz w:val="24"/>
                <w:szCs w:val="24"/>
                <w:u w:val="single" w:color="auto"/>
                <w:lang w:val="en-US" w:eastAsia="zh-CN"/>
              </w:rPr>
              <w:t>2</w:t>
            </w:r>
            <w:r>
              <w:rPr>
                <w:rFonts w:hint="default" w:ascii="Times New Roman" w:hAnsi="Times New Roman" w:cs="Times New Roman"/>
                <w:color w:val="auto"/>
                <w:kern w:val="0"/>
                <w:sz w:val="24"/>
                <w:szCs w:val="24"/>
                <w:u w:val="single" w:color="auto"/>
              </w:rPr>
              <w:t>.0</w:t>
            </w:r>
            <w:r>
              <w:rPr>
                <w:rFonts w:hint="eastAsia" w:cs="Times New Roman"/>
                <w:color w:val="auto"/>
                <w:kern w:val="0"/>
                <w:sz w:val="24"/>
                <w:szCs w:val="24"/>
                <w:u w:val="single" w:color="auto"/>
                <w:lang w:val="en-US" w:eastAsia="zh-CN"/>
              </w:rPr>
              <w:t>7</w:t>
            </w:r>
            <w:r>
              <w:rPr>
                <w:rFonts w:hint="default" w:ascii="Times New Roman" w:hAnsi="Times New Roman" w:cs="Times New Roman"/>
                <w:color w:val="auto"/>
                <w:kern w:val="0"/>
                <w:sz w:val="24"/>
                <w:szCs w:val="24"/>
                <w:u w:val="single" w:color="auto"/>
              </w:rPr>
              <w:t>.21-0</w:t>
            </w:r>
            <w:r>
              <w:rPr>
                <w:rFonts w:hint="eastAsia" w:cs="Times New Roman"/>
                <w:color w:val="auto"/>
                <w:kern w:val="0"/>
                <w:sz w:val="24"/>
                <w:szCs w:val="24"/>
                <w:u w:val="single" w:color="auto"/>
                <w:lang w:val="en-US" w:eastAsia="zh-CN"/>
              </w:rPr>
              <w:t>7</w:t>
            </w:r>
            <w:r>
              <w:rPr>
                <w:rFonts w:hint="default" w:ascii="Times New Roman" w:hAnsi="Times New Roman" w:cs="Times New Roman"/>
                <w:color w:val="auto"/>
                <w:kern w:val="0"/>
                <w:sz w:val="24"/>
                <w:szCs w:val="24"/>
                <w:u w:val="single" w:color="auto"/>
              </w:rPr>
              <w:t>.27对项目所在地区域</w:t>
            </w:r>
            <w:r>
              <w:rPr>
                <w:rFonts w:hint="eastAsia" w:cs="Times New Roman"/>
                <w:color w:val="auto"/>
                <w:kern w:val="0"/>
                <w:sz w:val="24"/>
                <w:szCs w:val="24"/>
                <w:u w:val="single" w:color="auto"/>
                <w:lang w:val="en-US" w:eastAsia="zh-CN"/>
              </w:rPr>
              <w:t>TSP</w:t>
            </w:r>
            <w:r>
              <w:rPr>
                <w:rFonts w:hint="default" w:ascii="Times New Roman" w:hAnsi="Times New Roman" w:cs="Times New Roman"/>
                <w:color w:val="auto"/>
                <w:kern w:val="0"/>
                <w:sz w:val="24"/>
                <w:szCs w:val="24"/>
                <w:u w:val="single" w:color="auto"/>
              </w:rPr>
              <w:t>的监测数据（监测点位G1、G2</w:t>
            </w:r>
            <w:r>
              <w:rPr>
                <w:rFonts w:hint="default" w:ascii="Times New Roman" w:hAnsi="Times New Roman" w:cs="Times New Roman"/>
                <w:color w:val="auto"/>
                <w:kern w:val="0"/>
                <w:sz w:val="24"/>
                <w:szCs w:val="24"/>
                <w:u w:val="single" w:color="auto"/>
                <w:lang w:eastAsia="zh-CN"/>
              </w:rPr>
              <w:t>、</w:t>
            </w:r>
            <w:r>
              <w:rPr>
                <w:rFonts w:hint="default" w:ascii="Times New Roman" w:hAnsi="Times New Roman" w:cs="Times New Roman"/>
                <w:color w:val="auto"/>
                <w:kern w:val="0"/>
                <w:sz w:val="24"/>
                <w:szCs w:val="24"/>
                <w:u w:val="single" w:color="auto"/>
              </w:rPr>
              <w:t>G3） 。</w:t>
            </w:r>
          </w:p>
          <w:p>
            <w:pPr>
              <w:spacing w:line="360" w:lineRule="auto"/>
              <w:ind w:firstLine="480" w:firstLineChars="200"/>
              <w:rPr>
                <w:rFonts w:hint="default" w:ascii="Times New Roman" w:hAnsi="Times New Roman" w:eastAsia="宋体" w:cs="Times New Roman"/>
                <w:color w:val="auto"/>
                <w:kern w:val="0"/>
                <w:sz w:val="24"/>
                <w:szCs w:val="24"/>
                <w:u w:val="single" w:color="auto"/>
              </w:rPr>
            </w:pPr>
            <w:r>
              <w:rPr>
                <w:rFonts w:hint="default" w:ascii="Times New Roman" w:hAnsi="Times New Roman" w:eastAsia="宋体" w:cs="Times New Roman"/>
                <w:color w:val="auto"/>
                <w:kern w:val="0"/>
                <w:sz w:val="24"/>
                <w:szCs w:val="24"/>
                <w:u w:val="single" w:color="auto"/>
                <w:lang w:eastAsia="zh-CN"/>
              </w:rPr>
              <w:t>（</w:t>
            </w:r>
            <w:r>
              <w:rPr>
                <w:rFonts w:hint="default" w:ascii="Times New Roman" w:hAnsi="Times New Roman" w:eastAsia="宋体" w:cs="Times New Roman"/>
                <w:color w:val="auto"/>
                <w:kern w:val="0"/>
                <w:sz w:val="24"/>
                <w:szCs w:val="24"/>
                <w:u w:val="single" w:color="auto"/>
                <w:lang w:val="en-US" w:eastAsia="zh-CN"/>
              </w:rPr>
              <w:t>2</w:t>
            </w:r>
            <w:r>
              <w:rPr>
                <w:rFonts w:hint="default" w:ascii="Times New Roman" w:hAnsi="Times New Roman" w:eastAsia="宋体" w:cs="Times New Roman"/>
                <w:color w:val="auto"/>
                <w:kern w:val="0"/>
                <w:sz w:val="24"/>
                <w:szCs w:val="24"/>
                <w:u w:val="single" w:color="auto"/>
                <w:lang w:eastAsia="zh-CN"/>
              </w:rPr>
              <w:t>）</w:t>
            </w:r>
            <w:r>
              <w:rPr>
                <w:rFonts w:hint="default" w:ascii="Times New Roman" w:hAnsi="Times New Roman" w:eastAsia="宋体" w:cs="Times New Roman"/>
                <w:color w:val="auto"/>
                <w:kern w:val="0"/>
                <w:sz w:val="24"/>
                <w:szCs w:val="24"/>
                <w:u w:val="single" w:color="auto"/>
              </w:rPr>
              <w:t>监测点布设</w:t>
            </w:r>
          </w:p>
          <w:p>
            <w:pPr>
              <w:spacing w:line="360" w:lineRule="auto"/>
              <w:ind w:firstLine="480" w:firstLineChars="200"/>
              <w:rPr>
                <w:rFonts w:hint="default" w:ascii="Times New Roman" w:hAnsi="Times New Roman" w:eastAsia="宋体" w:cs="Times New Roman"/>
                <w:color w:val="auto"/>
                <w:kern w:val="0"/>
                <w:sz w:val="24"/>
                <w:szCs w:val="24"/>
                <w:u w:val="single" w:color="auto"/>
              </w:rPr>
            </w:pPr>
            <w:r>
              <w:rPr>
                <w:rFonts w:hint="default" w:ascii="Times New Roman" w:hAnsi="Times New Roman" w:eastAsia="宋体" w:cs="Times New Roman"/>
                <w:color w:val="auto"/>
                <w:kern w:val="0"/>
                <w:sz w:val="24"/>
                <w:szCs w:val="24"/>
                <w:u w:val="single" w:color="auto"/>
              </w:rPr>
              <w:t>G1：项目厂区外</w:t>
            </w:r>
            <w:r>
              <w:rPr>
                <w:rFonts w:hint="default" w:ascii="Times New Roman" w:hAnsi="Times New Roman" w:eastAsia="宋体" w:cs="Times New Roman"/>
                <w:color w:val="auto"/>
                <w:kern w:val="0"/>
                <w:sz w:val="24"/>
                <w:szCs w:val="24"/>
                <w:u w:val="single" w:color="auto"/>
                <w:lang w:val="en-US" w:eastAsia="zh-CN"/>
              </w:rPr>
              <w:t>西</w:t>
            </w:r>
            <w:r>
              <w:rPr>
                <w:rFonts w:hint="default" w:ascii="Times New Roman" w:hAnsi="Times New Roman" w:eastAsia="宋体" w:cs="Times New Roman"/>
                <w:color w:val="auto"/>
                <w:kern w:val="0"/>
                <w:sz w:val="24"/>
                <w:szCs w:val="24"/>
                <w:u w:val="single" w:color="auto"/>
              </w:rPr>
              <w:t>北面</w:t>
            </w:r>
            <w:r>
              <w:rPr>
                <w:rFonts w:hint="default" w:ascii="Times New Roman" w:hAnsi="Times New Roman" w:eastAsia="宋体" w:cs="Times New Roman"/>
                <w:color w:val="auto"/>
                <w:kern w:val="0"/>
                <w:sz w:val="24"/>
                <w:szCs w:val="24"/>
                <w:u w:val="single" w:color="auto"/>
                <w:lang w:val="en-US" w:eastAsia="zh-CN"/>
              </w:rPr>
              <w:t>3.5</w:t>
            </w:r>
            <w:r>
              <w:rPr>
                <w:rFonts w:hint="default" w:ascii="Times New Roman" w:hAnsi="Times New Roman" w:eastAsia="宋体" w:cs="Times New Roman"/>
                <w:color w:val="auto"/>
                <w:kern w:val="0"/>
                <w:sz w:val="24"/>
                <w:szCs w:val="24"/>
                <w:u w:val="single" w:color="auto"/>
              </w:rPr>
              <w:t>km毛坪里；</w:t>
            </w:r>
          </w:p>
          <w:p>
            <w:pPr>
              <w:spacing w:line="360" w:lineRule="auto"/>
              <w:ind w:firstLine="480" w:firstLineChars="200"/>
              <w:rPr>
                <w:rFonts w:hint="default" w:ascii="Times New Roman" w:hAnsi="Times New Roman" w:eastAsia="宋体" w:cs="Times New Roman"/>
                <w:color w:val="auto"/>
                <w:kern w:val="0"/>
                <w:sz w:val="24"/>
                <w:szCs w:val="24"/>
                <w:u w:val="single" w:color="auto"/>
              </w:rPr>
            </w:pPr>
            <w:r>
              <w:rPr>
                <w:rFonts w:hint="default" w:ascii="Times New Roman" w:hAnsi="Times New Roman" w:eastAsia="宋体" w:cs="Times New Roman"/>
                <w:color w:val="auto"/>
                <w:kern w:val="0"/>
                <w:sz w:val="24"/>
                <w:szCs w:val="24"/>
                <w:u w:val="single" w:color="auto"/>
              </w:rPr>
              <w:t>G2：项目厂区外西南面</w:t>
            </w:r>
            <w:r>
              <w:rPr>
                <w:rFonts w:hint="default" w:ascii="Times New Roman" w:hAnsi="Times New Roman" w:eastAsia="宋体" w:cs="Times New Roman"/>
                <w:color w:val="auto"/>
                <w:kern w:val="0"/>
                <w:sz w:val="24"/>
                <w:szCs w:val="24"/>
                <w:u w:val="single" w:color="auto"/>
                <w:lang w:val="en-US" w:eastAsia="zh-CN"/>
              </w:rPr>
              <w:t>3.1</w:t>
            </w:r>
            <w:r>
              <w:rPr>
                <w:rFonts w:hint="default" w:ascii="Times New Roman" w:hAnsi="Times New Roman" w:eastAsia="宋体" w:cs="Times New Roman"/>
                <w:color w:val="auto"/>
                <w:kern w:val="0"/>
                <w:sz w:val="24"/>
                <w:szCs w:val="24"/>
                <w:u w:val="single" w:color="auto"/>
              </w:rPr>
              <w:t>km河家坪村；</w:t>
            </w:r>
          </w:p>
          <w:p>
            <w:pPr>
              <w:spacing w:line="360" w:lineRule="auto"/>
              <w:ind w:firstLine="480" w:firstLineChars="200"/>
              <w:rPr>
                <w:rFonts w:hint="default" w:ascii="Times New Roman" w:hAnsi="Times New Roman" w:eastAsia="宋体" w:cs="Times New Roman"/>
                <w:color w:val="auto"/>
                <w:kern w:val="0"/>
                <w:sz w:val="24"/>
                <w:szCs w:val="24"/>
                <w:u w:val="single" w:color="auto"/>
              </w:rPr>
            </w:pPr>
            <w:r>
              <w:rPr>
                <w:rFonts w:hint="default" w:ascii="Times New Roman" w:hAnsi="Times New Roman" w:eastAsia="宋体" w:cs="Times New Roman"/>
                <w:color w:val="auto"/>
                <w:kern w:val="0"/>
                <w:sz w:val="24"/>
                <w:szCs w:val="24"/>
                <w:u w:val="single" w:color="auto"/>
              </w:rPr>
              <w:t>G3：项目厂区外</w:t>
            </w:r>
            <w:r>
              <w:rPr>
                <w:rFonts w:hint="default" w:ascii="Times New Roman" w:hAnsi="Times New Roman" w:eastAsia="宋体" w:cs="Times New Roman"/>
                <w:color w:val="auto"/>
                <w:kern w:val="0"/>
                <w:sz w:val="24"/>
                <w:szCs w:val="24"/>
                <w:u w:val="single" w:color="auto"/>
                <w:lang w:val="en-US" w:eastAsia="zh-CN"/>
              </w:rPr>
              <w:t>东北</w:t>
            </w:r>
            <w:r>
              <w:rPr>
                <w:rFonts w:hint="default" w:ascii="Times New Roman" w:hAnsi="Times New Roman" w:eastAsia="宋体" w:cs="Times New Roman"/>
                <w:color w:val="auto"/>
                <w:kern w:val="0"/>
                <w:sz w:val="24"/>
                <w:szCs w:val="24"/>
                <w:u w:val="single" w:color="auto"/>
              </w:rPr>
              <w:t>面</w:t>
            </w:r>
            <w:r>
              <w:rPr>
                <w:rFonts w:hint="default" w:ascii="Times New Roman" w:hAnsi="Times New Roman" w:eastAsia="宋体" w:cs="Times New Roman"/>
                <w:color w:val="auto"/>
                <w:kern w:val="0"/>
                <w:sz w:val="24"/>
                <w:szCs w:val="24"/>
                <w:u w:val="single" w:color="auto"/>
                <w:lang w:val="en-US" w:eastAsia="zh-CN"/>
              </w:rPr>
              <w:t>4.2</w:t>
            </w:r>
            <w:r>
              <w:rPr>
                <w:rFonts w:hint="default" w:ascii="Times New Roman" w:hAnsi="Times New Roman" w:eastAsia="宋体" w:cs="Times New Roman"/>
                <w:color w:val="auto"/>
                <w:kern w:val="0"/>
                <w:sz w:val="24"/>
                <w:szCs w:val="24"/>
                <w:u w:val="single" w:color="auto"/>
              </w:rPr>
              <w:t>km枫树岗居民点。</w:t>
            </w:r>
          </w:p>
          <w:p>
            <w:pPr>
              <w:spacing w:line="360" w:lineRule="auto"/>
              <w:ind w:firstLine="480" w:firstLineChars="200"/>
              <w:rPr>
                <w:rFonts w:hint="default" w:ascii="Times New Roman" w:hAnsi="Times New Roman" w:eastAsia="宋体" w:cs="Times New Roman"/>
                <w:color w:val="auto"/>
                <w:kern w:val="0"/>
                <w:sz w:val="24"/>
                <w:szCs w:val="24"/>
                <w:u w:val="single" w:color="auto"/>
              </w:rPr>
            </w:pPr>
            <w:r>
              <w:rPr>
                <w:rFonts w:hint="default" w:ascii="Times New Roman" w:hAnsi="Times New Roman" w:eastAsia="宋体" w:cs="Times New Roman"/>
                <w:color w:val="auto"/>
                <w:kern w:val="0"/>
                <w:sz w:val="24"/>
                <w:szCs w:val="24"/>
                <w:u w:val="single" w:color="auto"/>
                <w:lang w:eastAsia="zh-CN"/>
              </w:rPr>
              <w:t>（</w:t>
            </w:r>
            <w:r>
              <w:rPr>
                <w:rFonts w:hint="default" w:ascii="Times New Roman" w:hAnsi="Times New Roman" w:eastAsia="宋体" w:cs="Times New Roman"/>
                <w:color w:val="auto"/>
                <w:kern w:val="0"/>
                <w:sz w:val="24"/>
                <w:szCs w:val="24"/>
                <w:u w:val="single" w:color="auto"/>
                <w:lang w:val="en-US" w:eastAsia="zh-CN"/>
              </w:rPr>
              <w:t>3</w:t>
            </w:r>
            <w:r>
              <w:rPr>
                <w:rFonts w:hint="default" w:ascii="Times New Roman" w:hAnsi="Times New Roman" w:eastAsia="宋体" w:cs="Times New Roman"/>
                <w:color w:val="auto"/>
                <w:kern w:val="0"/>
                <w:sz w:val="24"/>
                <w:szCs w:val="24"/>
                <w:u w:val="single" w:color="auto"/>
                <w:lang w:eastAsia="zh-CN"/>
              </w:rPr>
              <w:t>）</w:t>
            </w:r>
            <w:r>
              <w:rPr>
                <w:rFonts w:hint="default" w:ascii="Times New Roman" w:hAnsi="Times New Roman" w:eastAsia="宋体" w:cs="Times New Roman"/>
                <w:color w:val="auto"/>
                <w:kern w:val="0"/>
                <w:sz w:val="24"/>
                <w:szCs w:val="24"/>
                <w:u w:val="single" w:color="auto"/>
              </w:rPr>
              <w:t>评价标准</w:t>
            </w:r>
          </w:p>
          <w:p>
            <w:pPr>
              <w:spacing w:line="360" w:lineRule="auto"/>
              <w:ind w:firstLine="480" w:firstLineChars="200"/>
              <w:rPr>
                <w:rFonts w:hint="default" w:ascii="Times New Roman" w:hAnsi="Times New Roman" w:eastAsia="宋体" w:cs="Times New Roman"/>
                <w:color w:val="auto"/>
                <w:kern w:val="0"/>
                <w:sz w:val="24"/>
                <w:szCs w:val="24"/>
                <w:u w:val="single" w:color="auto"/>
              </w:rPr>
            </w:pPr>
            <w:r>
              <w:rPr>
                <w:rFonts w:hint="default" w:ascii="Times New Roman" w:hAnsi="Times New Roman" w:eastAsia="宋体" w:cs="Times New Roman"/>
                <w:color w:val="auto"/>
                <w:kern w:val="0"/>
                <w:sz w:val="24"/>
                <w:szCs w:val="24"/>
                <w:u w:val="single" w:color="auto"/>
              </w:rPr>
              <w:t>《环境空气质量标准》（GB3095-2012）表2</w:t>
            </w:r>
            <w:r>
              <w:rPr>
                <w:rFonts w:hint="eastAsia" w:eastAsia="宋体" w:cs="Times New Roman"/>
                <w:color w:val="auto"/>
                <w:kern w:val="0"/>
                <w:sz w:val="24"/>
                <w:szCs w:val="24"/>
                <w:u w:val="single" w:color="auto"/>
                <w:lang w:val="en-US" w:eastAsia="zh-CN"/>
              </w:rPr>
              <w:t>二级标准</w:t>
            </w:r>
            <w:r>
              <w:rPr>
                <w:rFonts w:hint="default" w:ascii="Times New Roman" w:hAnsi="Times New Roman" w:eastAsia="宋体" w:cs="Times New Roman"/>
                <w:color w:val="auto"/>
                <w:kern w:val="0"/>
                <w:sz w:val="24"/>
                <w:szCs w:val="24"/>
                <w:u w:val="single" w:color="auto"/>
              </w:rPr>
              <w:t>。</w:t>
            </w:r>
          </w:p>
          <w:p>
            <w:pPr>
              <w:spacing w:line="360" w:lineRule="auto"/>
              <w:ind w:firstLine="480" w:firstLineChars="200"/>
              <w:rPr>
                <w:rFonts w:hint="default" w:ascii="Times New Roman" w:hAnsi="Times New Roman" w:eastAsia="宋体" w:cs="Times New Roman"/>
                <w:color w:val="auto"/>
                <w:kern w:val="0"/>
                <w:sz w:val="24"/>
                <w:szCs w:val="24"/>
                <w:u w:val="single" w:color="auto"/>
              </w:rPr>
            </w:pPr>
            <w:r>
              <w:rPr>
                <w:rFonts w:hint="default" w:ascii="Times New Roman" w:hAnsi="Times New Roman" w:eastAsia="宋体" w:cs="Times New Roman"/>
                <w:color w:val="auto"/>
                <w:kern w:val="0"/>
                <w:sz w:val="24"/>
                <w:szCs w:val="24"/>
                <w:u w:val="single" w:color="auto"/>
                <w:lang w:eastAsia="zh-CN"/>
              </w:rPr>
              <w:t>（</w:t>
            </w:r>
            <w:r>
              <w:rPr>
                <w:rFonts w:hint="default" w:ascii="Times New Roman" w:hAnsi="Times New Roman" w:eastAsia="宋体" w:cs="Times New Roman"/>
                <w:color w:val="auto"/>
                <w:kern w:val="0"/>
                <w:sz w:val="24"/>
                <w:szCs w:val="24"/>
                <w:u w:val="single" w:color="auto"/>
                <w:lang w:val="en-US" w:eastAsia="zh-CN"/>
              </w:rPr>
              <w:t>4</w:t>
            </w:r>
            <w:r>
              <w:rPr>
                <w:rFonts w:hint="default" w:ascii="Times New Roman" w:hAnsi="Times New Roman" w:eastAsia="宋体" w:cs="Times New Roman"/>
                <w:color w:val="auto"/>
                <w:kern w:val="0"/>
                <w:sz w:val="24"/>
                <w:szCs w:val="24"/>
                <w:u w:val="single" w:color="auto"/>
                <w:lang w:eastAsia="zh-CN"/>
              </w:rPr>
              <w:t>）</w:t>
            </w:r>
            <w:r>
              <w:rPr>
                <w:rFonts w:hint="default" w:ascii="Times New Roman" w:hAnsi="Times New Roman" w:eastAsia="宋体" w:cs="Times New Roman"/>
                <w:color w:val="auto"/>
                <w:kern w:val="0"/>
                <w:sz w:val="24"/>
                <w:szCs w:val="24"/>
                <w:u w:val="single" w:color="auto"/>
              </w:rPr>
              <w:t>监测及评价结果</w:t>
            </w:r>
          </w:p>
          <w:p>
            <w:pPr>
              <w:pStyle w:val="3"/>
              <w:spacing w:line="360" w:lineRule="auto"/>
              <w:ind w:left="0" w:leftChars="0" w:firstLine="0" w:firstLineChars="0"/>
              <w:jc w:val="center"/>
              <w:rPr>
                <w:rFonts w:hint="default" w:ascii="Times New Roman" w:hAnsi="Times New Roman" w:eastAsia="宋体" w:cs="Times New Roman"/>
                <w:bCs/>
                <w:color w:val="auto"/>
                <w:sz w:val="24"/>
                <w:u w:val="single" w:color="auto"/>
              </w:rPr>
            </w:pPr>
            <w:r>
              <w:rPr>
                <w:rFonts w:hint="default" w:ascii="Times New Roman" w:hAnsi="Times New Roman" w:eastAsia="宋体" w:cs="Times New Roman"/>
                <w:b/>
                <w:kern w:val="2"/>
                <w:sz w:val="21"/>
                <w:szCs w:val="24"/>
                <w:u w:val="single" w:color="auto"/>
                <w:lang w:val="en-US" w:eastAsia="zh-CN" w:bidi="ar-SA"/>
              </w:rPr>
              <w:t>表3-2  环境空气特征因子现状监测结果及评价 单位 mg/m</w:t>
            </w:r>
            <w:r>
              <w:rPr>
                <w:rFonts w:hint="default" w:ascii="Times New Roman" w:hAnsi="Times New Roman" w:eastAsia="宋体" w:cs="Times New Roman"/>
                <w:b/>
                <w:kern w:val="2"/>
                <w:sz w:val="21"/>
                <w:szCs w:val="24"/>
                <w:u w:val="single" w:color="auto"/>
                <w:vertAlign w:val="superscript"/>
                <w:lang w:val="en-US" w:eastAsia="zh-CN" w:bidi="ar-SA"/>
              </w:rPr>
              <w:t>3</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041"/>
              <w:gridCol w:w="2100"/>
              <w:gridCol w:w="1376"/>
              <w:gridCol w:w="1569"/>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1" w:type="dxa"/>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u w:val="single" w:color="auto"/>
                      <w:lang w:val="en-US" w:eastAsia="zh-CN"/>
                    </w:rPr>
                  </w:pPr>
                  <w:r>
                    <w:rPr>
                      <w:rFonts w:hint="default" w:ascii="Times New Roman" w:hAnsi="Times New Roman" w:eastAsia="宋体" w:cs="Times New Roman"/>
                      <w:b/>
                      <w:bCs/>
                      <w:snapToGrid w:val="0"/>
                      <w:color w:val="auto"/>
                      <w:kern w:val="21"/>
                      <w:szCs w:val="21"/>
                      <w:u w:val="single" w:color="auto"/>
                      <w:lang w:val="en-US" w:eastAsia="zh-CN"/>
                    </w:rPr>
                    <w:t>污染物</w:t>
                  </w:r>
                </w:p>
              </w:tc>
              <w:tc>
                <w:tcPr>
                  <w:tcW w:w="2100" w:type="dxa"/>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u w:val="single" w:color="auto"/>
                      <w:lang w:val="en-US" w:eastAsia="zh-CN"/>
                    </w:rPr>
                  </w:pPr>
                  <w:r>
                    <w:rPr>
                      <w:rFonts w:hint="default" w:ascii="Times New Roman" w:hAnsi="Times New Roman" w:eastAsia="宋体" w:cs="Times New Roman"/>
                      <w:b/>
                      <w:bCs/>
                      <w:snapToGrid w:val="0"/>
                      <w:color w:val="auto"/>
                      <w:kern w:val="21"/>
                      <w:szCs w:val="21"/>
                      <w:u w:val="single" w:color="auto"/>
                      <w:lang w:val="en-US" w:eastAsia="zh-CN"/>
                    </w:rPr>
                    <w:t>监测点</w:t>
                  </w:r>
                </w:p>
              </w:tc>
              <w:tc>
                <w:tcPr>
                  <w:tcW w:w="1376" w:type="dxa"/>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u w:val="single" w:color="auto"/>
                      <w:lang w:val="en-US" w:eastAsia="zh-CN"/>
                    </w:rPr>
                  </w:pPr>
                  <w:r>
                    <w:rPr>
                      <w:rFonts w:hint="default" w:ascii="Times New Roman" w:hAnsi="Times New Roman" w:eastAsia="宋体" w:cs="Times New Roman"/>
                      <w:b/>
                      <w:bCs/>
                      <w:snapToGrid w:val="0"/>
                      <w:color w:val="auto"/>
                      <w:kern w:val="21"/>
                      <w:szCs w:val="21"/>
                      <w:u w:val="single" w:color="auto"/>
                      <w:lang w:val="en-US" w:eastAsia="zh-CN"/>
                    </w:rPr>
                    <w:t>G1</w:t>
                  </w:r>
                </w:p>
              </w:tc>
              <w:tc>
                <w:tcPr>
                  <w:tcW w:w="1569" w:type="dxa"/>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u w:val="single" w:color="auto"/>
                      <w:lang w:val="en-US" w:eastAsia="zh-CN"/>
                    </w:rPr>
                  </w:pPr>
                  <w:r>
                    <w:rPr>
                      <w:rFonts w:hint="default" w:ascii="Times New Roman" w:hAnsi="Times New Roman" w:eastAsia="宋体" w:cs="Times New Roman"/>
                      <w:b/>
                      <w:bCs/>
                      <w:snapToGrid w:val="0"/>
                      <w:color w:val="auto"/>
                      <w:kern w:val="21"/>
                      <w:szCs w:val="21"/>
                      <w:u w:val="single" w:color="auto"/>
                      <w:lang w:val="en-US" w:eastAsia="zh-CN"/>
                    </w:rPr>
                    <w:t>G2</w:t>
                  </w:r>
                </w:p>
              </w:tc>
              <w:tc>
                <w:tcPr>
                  <w:tcW w:w="1569" w:type="dxa"/>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u w:val="single" w:color="auto"/>
                      <w:lang w:val="en-US" w:eastAsia="zh-CN"/>
                    </w:rPr>
                  </w:pPr>
                  <w:r>
                    <w:rPr>
                      <w:rFonts w:hint="eastAsia" w:eastAsia="宋体" w:cs="Times New Roman"/>
                      <w:b/>
                      <w:bCs/>
                      <w:snapToGrid w:val="0"/>
                      <w:color w:val="auto"/>
                      <w:kern w:val="21"/>
                      <w:szCs w:val="21"/>
                      <w:u w:val="single" w:color="auto"/>
                      <w:lang w:val="en-US" w:eastAsia="zh-CN"/>
                    </w:rPr>
                    <w:t>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1"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eastAsia" w:eastAsia="宋体" w:cs="Times New Roman"/>
                      <w:snapToGrid w:val="0"/>
                      <w:color w:val="auto"/>
                      <w:kern w:val="21"/>
                      <w:szCs w:val="21"/>
                      <w:u w:val="single" w:color="auto"/>
                      <w:lang w:val="en-US" w:eastAsia="zh-CN"/>
                    </w:rPr>
                    <w:t>TSP</w:t>
                  </w:r>
                </w:p>
              </w:tc>
              <w:tc>
                <w:tcPr>
                  <w:tcW w:w="2100"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eastAsia" w:eastAsia="宋体" w:cs="Times New Roman"/>
                      <w:snapToGrid w:val="0"/>
                      <w:color w:val="auto"/>
                      <w:kern w:val="21"/>
                      <w:szCs w:val="21"/>
                      <w:u w:val="single" w:color="auto"/>
                      <w:lang w:val="en-US" w:eastAsia="zh-CN"/>
                    </w:rPr>
                    <w:t>24</w:t>
                  </w:r>
                  <w:r>
                    <w:rPr>
                      <w:rFonts w:hint="default" w:ascii="Times New Roman" w:hAnsi="Times New Roman" w:eastAsia="宋体" w:cs="Times New Roman"/>
                      <w:snapToGrid w:val="0"/>
                      <w:color w:val="auto"/>
                      <w:kern w:val="21"/>
                      <w:szCs w:val="21"/>
                      <w:u w:val="single" w:color="auto"/>
                      <w:lang w:val="en-US" w:eastAsia="zh-CN"/>
                    </w:rPr>
                    <w:t>小时平均</w:t>
                  </w:r>
                </w:p>
              </w:tc>
              <w:tc>
                <w:tcPr>
                  <w:tcW w:w="137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0.133-0.194</w:t>
                  </w:r>
                </w:p>
              </w:tc>
              <w:tc>
                <w:tcPr>
                  <w:tcW w:w="156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eastAsia" w:eastAsia="宋体" w:cs="Times New Roman"/>
                      <w:snapToGrid w:val="0"/>
                      <w:color w:val="auto"/>
                      <w:kern w:val="21"/>
                      <w:szCs w:val="21"/>
                      <w:u w:val="single" w:color="auto"/>
                      <w:lang w:val="en-US" w:eastAsia="zh-CN"/>
                    </w:rPr>
                    <w:t xml:space="preserve"> 0.116-0.192</w:t>
                  </w:r>
                </w:p>
              </w:tc>
              <w:tc>
                <w:tcPr>
                  <w:tcW w:w="156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cs="Times New Roman"/>
                      <w:kern w:val="0"/>
                      <w:sz w:val="21"/>
                      <w:szCs w:val="21"/>
                      <w:u w:val="single" w:color="auto"/>
                    </w:rPr>
                    <w:t>0.159-0.203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1"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p>
              </w:tc>
              <w:tc>
                <w:tcPr>
                  <w:tcW w:w="2100"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最大超标倍数</w:t>
                  </w:r>
                </w:p>
              </w:tc>
              <w:tc>
                <w:tcPr>
                  <w:tcW w:w="137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0</w:t>
                  </w:r>
                </w:p>
              </w:tc>
              <w:tc>
                <w:tcPr>
                  <w:tcW w:w="156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0</w:t>
                  </w:r>
                </w:p>
              </w:tc>
              <w:tc>
                <w:tcPr>
                  <w:tcW w:w="156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1"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p>
              </w:tc>
              <w:tc>
                <w:tcPr>
                  <w:tcW w:w="2100"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超标率（%）</w:t>
                  </w:r>
                </w:p>
              </w:tc>
              <w:tc>
                <w:tcPr>
                  <w:tcW w:w="137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0</w:t>
                  </w:r>
                </w:p>
              </w:tc>
              <w:tc>
                <w:tcPr>
                  <w:tcW w:w="156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0</w:t>
                  </w:r>
                </w:p>
              </w:tc>
              <w:tc>
                <w:tcPr>
                  <w:tcW w:w="156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1"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p>
              </w:tc>
              <w:tc>
                <w:tcPr>
                  <w:tcW w:w="2100"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标准值</w:t>
                  </w:r>
                </w:p>
              </w:tc>
              <w:tc>
                <w:tcPr>
                  <w:tcW w:w="137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0.</w:t>
                  </w:r>
                  <w:r>
                    <w:rPr>
                      <w:rFonts w:hint="eastAsia" w:eastAsia="宋体" w:cs="Times New Roman"/>
                      <w:snapToGrid w:val="0"/>
                      <w:color w:val="auto"/>
                      <w:kern w:val="21"/>
                      <w:szCs w:val="21"/>
                      <w:u w:val="single" w:color="auto"/>
                      <w:lang w:val="en-US" w:eastAsia="zh-CN"/>
                    </w:rPr>
                    <w:t>3</w:t>
                  </w:r>
                </w:p>
              </w:tc>
              <w:tc>
                <w:tcPr>
                  <w:tcW w:w="156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0.</w:t>
                  </w:r>
                  <w:r>
                    <w:rPr>
                      <w:rFonts w:hint="eastAsia" w:eastAsia="宋体" w:cs="Times New Roman"/>
                      <w:snapToGrid w:val="0"/>
                      <w:color w:val="auto"/>
                      <w:kern w:val="21"/>
                      <w:szCs w:val="21"/>
                      <w:u w:val="single" w:color="auto"/>
                      <w:lang w:val="en-US" w:eastAsia="zh-CN"/>
                    </w:rPr>
                    <w:t>3</w:t>
                  </w:r>
                </w:p>
              </w:tc>
              <w:tc>
                <w:tcPr>
                  <w:tcW w:w="156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0.</w:t>
                  </w:r>
                  <w:r>
                    <w:rPr>
                      <w:rFonts w:hint="eastAsia" w:eastAsia="宋体" w:cs="Times New Roman"/>
                      <w:snapToGrid w:val="0"/>
                      <w:color w:val="auto"/>
                      <w:kern w:val="21"/>
                      <w:szCs w:val="21"/>
                      <w:u w:val="single" w:color="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1"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p>
              </w:tc>
              <w:tc>
                <w:tcPr>
                  <w:tcW w:w="2100"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达标情况</w:t>
                  </w:r>
                </w:p>
              </w:tc>
              <w:tc>
                <w:tcPr>
                  <w:tcW w:w="137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达标</w:t>
                  </w:r>
                </w:p>
              </w:tc>
              <w:tc>
                <w:tcPr>
                  <w:tcW w:w="156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达标</w:t>
                  </w:r>
                </w:p>
              </w:tc>
              <w:tc>
                <w:tcPr>
                  <w:tcW w:w="156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达标</w:t>
                  </w:r>
                </w:p>
              </w:tc>
            </w:tr>
          </w:tbl>
          <w:p>
            <w:pPr>
              <w:bidi w:val="0"/>
              <w:ind w:firstLine="480" w:firstLineChars="200"/>
              <w:rPr>
                <w:rFonts w:hint="default" w:ascii="Times New Roman" w:hAnsi="Times New Roman" w:cs="Times New Roman"/>
                <w:color w:val="FF0000"/>
                <w:kern w:val="0"/>
                <w:sz w:val="24"/>
                <w:szCs w:val="24"/>
                <w:u w:val="single" w:color="auto"/>
              </w:rPr>
            </w:pPr>
            <w:r>
              <w:rPr>
                <w:rFonts w:hint="default" w:ascii="Times New Roman" w:hAnsi="Times New Roman" w:eastAsia="宋体" w:cs="Times New Roman"/>
                <w:u w:val="single" w:color="auto"/>
                <w:lang w:val="en-GB" w:eastAsia="zh-CN"/>
              </w:rPr>
              <w:t>由上表可知，</w:t>
            </w:r>
            <w:r>
              <w:rPr>
                <w:rFonts w:hint="eastAsia" w:eastAsia="宋体" w:cs="Times New Roman"/>
                <w:u w:val="single" w:color="auto"/>
                <w:lang w:val="en-US" w:eastAsia="zh-CN"/>
              </w:rPr>
              <w:t>TSP</w:t>
            </w:r>
            <w:r>
              <w:rPr>
                <w:rFonts w:hint="default" w:ascii="Times New Roman" w:hAnsi="Times New Roman" w:eastAsia="宋体" w:cs="Times New Roman"/>
                <w:u w:val="single" w:color="auto"/>
                <w:lang w:val="en-GB" w:eastAsia="zh-CN"/>
              </w:rPr>
              <w:t>浓度符合</w:t>
            </w:r>
            <w:r>
              <w:rPr>
                <w:rFonts w:hint="default" w:ascii="Times New Roman" w:hAnsi="Times New Roman" w:eastAsia="宋体" w:cs="Times New Roman"/>
                <w:color w:val="auto"/>
                <w:kern w:val="0"/>
                <w:sz w:val="24"/>
                <w:szCs w:val="24"/>
                <w:u w:val="single" w:color="auto"/>
              </w:rPr>
              <w:t>《环境空气质量标准》（GB3095-2012）表2</w:t>
            </w:r>
            <w:r>
              <w:rPr>
                <w:rFonts w:hint="eastAsia" w:eastAsia="宋体" w:cs="Times New Roman"/>
                <w:color w:val="auto"/>
                <w:kern w:val="0"/>
                <w:sz w:val="24"/>
                <w:szCs w:val="24"/>
                <w:u w:val="single" w:color="auto"/>
                <w:lang w:val="en-US" w:eastAsia="zh-CN"/>
              </w:rPr>
              <w:t>二级标准</w:t>
            </w:r>
            <w:r>
              <w:rPr>
                <w:rFonts w:hint="default" w:ascii="Times New Roman" w:hAnsi="Times New Roman" w:eastAsia="宋体" w:cs="Times New Roman"/>
                <w:u w:val="single" w:color="auto"/>
                <w:lang w:val="en-GB" w:eastAsia="zh-CN"/>
              </w:rPr>
              <w:t>。</w:t>
            </w:r>
          </w:p>
          <w:p>
            <w:pPr>
              <w:pStyle w:val="2"/>
              <w:bidi w:val="0"/>
              <w:rPr>
                <w:rFonts w:hint="default" w:ascii="Times New Roman" w:hAnsi="Times New Roman" w:cs="Times New Roman"/>
                <w:sz w:val="24"/>
                <w:szCs w:val="24"/>
              </w:rPr>
            </w:pPr>
            <w:r>
              <w:rPr>
                <w:rFonts w:hint="eastAsia" w:eastAsia="宋体" w:cs="Times New Roman"/>
                <w:b/>
                <w:kern w:val="2"/>
                <w:sz w:val="21"/>
                <w:szCs w:val="24"/>
                <w:lang w:val="en-US" w:eastAsia="zh-CN" w:bidi="ar-SA"/>
              </w:rPr>
              <w:t xml:space="preserve"> </w:t>
            </w:r>
            <w:r>
              <w:rPr>
                <w:rFonts w:hint="default" w:ascii="Times New Roman" w:hAnsi="Times New Roman" w:cs="Times New Roman"/>
                <w:sz w:val="24"/>
                <w:szCs w:val="24"/>
                <w:lang w:eastAsia="zh-CN"/>
              </w:rPr>
              <w:t>（二）</w:t>
            </w:r>
            <w:r>
              <w:rPr>
                <w:rFonts w:hint="default" w:ascii="Times New Roman" w:hAnsi="Times New Roman" w:cs="Times New Roman"/>
                <w:sz w:val="24"/>
                <w:szCs w:val="24"/>
              </w:rPr>
              <w:t>项目所在地区域地表水环境质量现状及评价</w:t>
            </w:r>
          </w:p>
          <w:p>
            <w:pPr>
              <w:adjustRightInd w:val="0"/>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常德经开区周边设有1个国控断面和2个省控断面，分别为陈家河（四水厂）、三水厂、新兴咀，国控断面陈家河（四水厂）位于本项目西北侧约10km处，本项目引用国控断面陈家河（四水厂）2023年的监测数据。具体详见下表。</w:t>
            </w:r>
          </w:p>
          <w:p>
            <w:pPr>
              <w:pStyle w:val="3"/>
              <w:spacing w:line="360" w:lineRule="auto"/>
              <w:ind w:left="0" w:leftChars="0" w:firstLine="0" w:firstLineChars="0"/>
              <w:jc w:val="center"/>
              <w:rPr>
                <w:rFonts w:hint="default" w:ascii="Times New Roman" w:hAnsi="Times New Roman" w:eastAsia="宋体" w:cs="Times New Roman"/>
                <w:b/>
                <w:kern w:val="2"/>
                <w:sz w:val="21"/>
                <w:szCs w:val="24"/>
                <w:lang w:val="en-US" w:eastAsia="zh-CN" w:bidi="ar-SA"/>
              </w:rPr>
            </w:pPr>
            <w:r>
              <w:rPr>
                <w:rFonts w:hint="default" w:ascii="Times New Roman" w:hAnsi="Times New Roman" w:eastAsia="宋体" w:cs="Times New Roman"/>
                <w:b/>
                <w:kern w:val="2"/>
                <w:sz w:val="21"/>
                <w:szCs w:val="24"/>
                <w:lang w:val="en-US" w:eastAsia="zh-CN" w:bidi="ar-SA"/>
              </w:rPr>
              <w:t>表3-</w:t>
            </w:r>
            <w:r>
              <w:rPr>
                <w:rFonts w:hint="eastAsia" w:ascii="Times New Roman" w:hAnsi="Times New Roman" w:eastAsia="宋体" w:cs="Times New Roman"/>
                <w:b/>
                <w:kern w:val="2"/>
                <w:sz w:val="21"/>
                <w:szCs w:val="24"/>
                <w:lang w:val="en-US" w:eastAsia="zh-CN" w:bidi="ar-SA"/>
              </w:rPr>
              <w:t>3</w:t>
            </w:r>
            <w:r>
              <w:rPr>
                <w:rFonts w:hint="default" w:ascii="Times New Roman" w:hAnsi="Times New Roman" w:eastAsia="宋体" w:cs="Times New Roman"/>
                <w:b/>
                <w:kern w:val="2"/>
                <w:sz w:val="21"/>
                <w:szCs w:val="24"/>
                <w:lang w:val="en-US" w:eastAsia="zh-CN" w:bidi="ar-SA"/>
              </w:rPr>
              <w:t xml:space="preserve">  陈家河（四水厂）断面监测数据一览表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847"/>
              <w:gridCol w:w="1120"/>
              <w:gridCol w:w="1439"/>
              <w:gridCol w:w="1046"/>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282" w:type="dxa"/>
                  <w:vMerge w:val="restart"/>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监测断面</w:t>
                  </w:r>
                </w:p>
              </w:tc>
              <w:tc>
                <w:tcPr>
                  <w:tcW w:w="1775" w:type="dxa"/>
                  <w:vMerge w:val="restart"/>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监测项目</w:t>
                  </w:r>
                </w:p>
              </w:tc>
              <w:tc>
                <w:tcPr>
                  <w:tcW w:w="1077" w:type="dxa"/>
                  <w:vMerge w:val="restart"/>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单位</w:t>
                  </w:r>
                </w:p>
              </w:tc>
              <w:tc>
                <w:tcPr>
                  <w:tcW w:w="1383" w:type="dxa"/>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监测结果</w:t>
                  </w:r>
                </w:p>
              </w:tc>
              <w:tc>
                <w:tcPr>
                  <w:tcW w:w="1005" w:type="dxa"/>
                  <w:vMerge w:val="restart"/>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标准值</w:t>
                  </w:r>
                </w:p>
              </w:tc>
              <w:tc>
                <w:tcPr>
                  <w:tcW w:w="1133" w:type="dxa"/>
                  <w:vMerge w:val="restart"/>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282" w:type="dxa"/>
                  <w:vMerge w:val="continue"/>
                  <w:noWrap w:val="0"/>
                  <w:vAlign w:val="center"/>
                </w:tcPr>
                <w:p>
                  <w:pPr>
                    <w:adjustRightInd w:val="0"/>
                    <w:snapToGrid w:val="0"/>
                    <w:jc w:val="center"/>
                    <w:rPr>
                      <w:rFonts w:hint="default" w:ascii="Times New Roman" w:hAnsi="Times New Roman" w:eastAsia="宋体" w:cs="Times New Roman"/>
                      <w:b/>
                      <w:bCs/>
                      <w:kern w:val="0"/>
                      <w:sz w:val="21"/>
                      <w:szCs w:val="21"/>
                      <w:lang w:val="en-US" w:eastAsia="zh-CN"/>
                    </w:rPr>
                  </w:pPr>
                </w:p>
              </w:tc>
              <w:tc>
                <w:tcPr>
                  <w:tcW w:w="1775" w:type="dxa"/>
                  <w:vMerge w:val="continue"/>
                  <w:noWrap w:val="0"/>
                  <w:vAlign w:val="center"/>
                </w:tcPr>
                <w:p>
                  <w:pPr>
                    <w:adjustRightInd w:val="0"/>
                    <w:snapToGrid w:val="0"/>
                    <w:jc w:val="center"/>
                    <w:rPr>
                      <w:rFonts w:hint="default" w:ascii="Times New Roman" w:hAnsi="Times New Roman" w:eastAsia="宋体" w:cs="Times New Roman"/>
                      <w:b/>
                      <w:bCs/>
                      <w:kern w:val="0"/>
                      <w:sz w:val="21"/>
                      <w:szCs w:val="21"/>
                      <w:lang w:val="en-US" w:eastAsia="zh-CN"/>
                    </w:rPr>
                  </w:pPr>
                </w:p>
              </w:tc>
              <w:tc>
                <w:tcPr>
                  <w:tcW w:w="1077" w:type="dxa"/>
                  <w:vMerge w:val="continue"/>
                  <w:noWrap w:val="0"/>
                  <w:vAlign w:val="center"/>
                </w:tcPr>
                <w:p>
                  <w:pPr>
                    <w:adjustRightInd w:val="0"/>
                    <w:snapToGrid w:val="0"/>
                    <w:jc w:val="center"/>
                    <w:rPr>
                      <w:rFonts w:hint="default" w:ascii="Times New Roman" w:hAnsi="Times New Roman" w:eastAsia="宋体" w:cs="Times New Roman"/>
                      <w:b/>
                      <w:bCs/>
                      <w:kern w:val="0"/>
                      <w:sz w:val="21"/>
                      <w:szCs w:val="21"/>
                      <w:lang w:val="en-US" w:eastAsia="zh-CN"/>
                    </w:rPr>
                  </w:pPr>
                </w:p>
              </w:tc>
              <w:tc>
                <w:tcPr>
                  <w:tcW w:w="138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2023年</w:t>
                  </w:r>
                </w:p>
              </w:tc>
              <w:tc>
                <w:tcPr>
                  <w:tcW w:w="1005" w:type="dxa"/>
                  <w:vMerge w:val="continue"/>
                  <w:noWrap w:val="0"/>
                  <w:vAlign w:val="center"/>
                </w:tcPr>
                <w:p>
                  <w:pPr>
                    <w:adjustRightInd w:val="0"/>
                    <w:snapToGrid w:val="0"/>
                    <w:jc w:val="center"/>
                    <w:rPr>
                      <w:rFonts w:hint="default" w:ascii="Times New Roman" w:hAnsi="Times New Roman" w:eastAsia="宋体" w:cs="Times New Roman"/>
                      <w:b/>
                      <w:bCs/>
                      <w:kern w:val="0"/>
                      <w:sz w:val="21"/>
                      <w:szCs w:val="21"/>
                      <w:lang w:val="en-US" w:eastAsia="zh-CN"/>
                    </w:rPr>
                  </w:pPr>
                </w:p>
              </w:tc>
              <w:tc>
                <w:tcPr>
                  <w:tcW w:w="1133" w:type="dxa"/>
                  <w:vMerge w:val="continue"/>
                  <w:noWrap w:val="0"/>
                  <w:vAlign w:val="center"/>
                </w:tcPr>
                <w:p>
                  <w:pPr>
                    <w:adjustRightInd w:val="0"/>
                    <w:snapToGrid w:val="0"/>
                    <w:jc w:val="center"/>
                    <w:rPr>
                      <w:rFonts w:hint="default" w:ascii="Times New Roman" w:hAnsi="Times New Roman" w:eastAsia="宋体" w:cs="Times New Roman"/>
                      <w:b/>
                      <w:bCs/>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2" w:type="dxa"/>
                  <w:vMerge w:val="restart"/>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陈家河（四水厂）</w:t>
                  </w:r>
                </w:p>
              </w:tc>
              <w:tc>
                <w:tcPr>
                  <w:tcW w:w="17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1077"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无量纲</w:t>
                  </w:r>
                </w:p>
              </w:tc>
              <w:tc>
                <w:tcPr>
                  <w:tcW w:w="138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lang w:val="en-US" w:eastAsia="zh-CN"/>
                    </w:rPr>
                    <w:t>7.67</w:t>
                  </w:r>
                </w:p>
              </w:tc>
              <w:tc>
                <w:tcPr>
                  <w:tcW w:w="100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w:t>
                  </w:r>
                </w:p>
              </w:tc>
              <w:tc>
                <w:tcPr>
                  <w:tcW w:w="113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2" w:type="dxa"/>
                  <w:vMerge w:val="continue"/>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17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溶解氧</w:t>
                  </w:r>
                </w:p>
              </w:tc>
              <w:tc>
                <w:tcPr>
                  <w:tcW w:w="1077"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138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lang w:val="en-US" w:eastAsia="zh-CN"/>
                    </w:rPr>
                    <w:t>8.63</w:t>
                  </w:r>
                </w:p>
              </w:tc>
              <w:tc>
                <w:tcPr>
                  <w:tcW w:w="100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13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2" w:type="dxa"/>
                  <w:vMerge w:val="continue"/>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17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1077"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138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lang w:val="en-US" w:eastAsia="zh-CN"/>
                    </w:rPr>
                    <w:t>7.88</w:t>
                  </w:r>
                </w:p>
              </w:tc>
              <w:tc>
                <w:tcPr>
                  <w:tcW w:w="100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113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2" w:type="dxa"/>
                  <w:vMerge w:val="continue"/>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17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五日生化需氧量</w:t>
                  </w:r>
                </w:p>
              </w:tc>
              <w:tc>
                <w:tcPr>
                  <w:tcW w:w="1077"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138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lang w:val="en-US" w:eastAsia="zh-CN"/>
                    </w:rPr>
                    <w:t>1.6</w:t>
                  </w:r>
                </w:p>
              </w:tc>
              <w:tc>
                <w:tcPr>
                  <w:tcW w:w="100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13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2" w:type="dxa"/>
                  <w:vMerge w:val="continue"/>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17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1077"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138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lang w:val="en-US" w:eastAsia="zh-CN"/>
                    </w:rPr>
                    <w:t>0.045</w:t>
                  </w:r>
                </w:p>
              </w:tc>
              <w:tc>
                <w:tcPr>
                  <w:tcW w:w="100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113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2" w:type="dxa"/>
                  <w:vMerge w:val="continue"/>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17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石油类</w:t>
                  </w:r>
                </w:p>
              </w:tc>
              <w:tc>
                <w:tcPr>
                  <w:tcW w:w="1077"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138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lang w:val="en-US" w:eastAsia="zh-CN"/>
                    </w:rPr>
                    <w:t>0.005</w:t>
                  </w:r>
                </w:p>
              </w:tc>
              <w:tc>
                <w:tcPr>
                  <w:tcW w:w="100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113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2" w:type="dxa"/>
                  <w:vMerge w:val="continue"/>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17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总磷</w:t>
                  </w:r>
                </w:p>
              </w:tc>
              <w:tc>
                <w:tcPr>
                  <w:tcW w:w="1077"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138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lang w:val="en-US" w:eastAsia="zh-CN"/>
                    </w:rPr>
                    <w:t>0.039</w:t>
                  </w:r>
                </w:p>
              </w:tc>
              <w:tc>
                <w:tcPr>
                  <w:tcW w:w="100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w:t>
                  </w:r>
                </w:p>
              </w:tc>
              <w:tc>
                <w:tcPr>
                  <w:tcW w:w="113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2" w:type="dxa"/>
                  <w:vMerge w:val="continue"/>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17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总氮</w:t>
                  </w:r>
                </w:p>
              </w:tc>
              <w:tc>
                <w:tcPr>
                  <w:tcW w:w="1077"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138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lang w:val="en-US" w:eastAsia="zh-CN"/>
                    </w:rPr>
                    <w:t>1.57</w:t>
                  </w:r>
                </w:p>
              </w:tc>
              <w:tc>
                <w:tcPr>
                  <w:tcW w:w="100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13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bl>
          <w:p>
            <w:pPr>
              <w:bidi w:val="0"/>
              <w:ind w:firstLine="480" w:firstLineChars="200"/>
              <w:rPr>
                <w:rFonts w:hint="default" w:ascii="Times New Roman" w:hAnsi="Times New Roman" w:cs="Times New Roman"/>
                <w:lang w:val="en-GB" w:eastAsia="zh-CN"/>
              </w:rPr>
            </w:pPr>
            <w:r>
              <w:rPr>
                <w:rFonts w:hint="default" w:ascii="Times New Roman" w:hAnsi="Times New Roman" w:cs="Times New Roman"/>
                <w:lang w:val="en-GB" w:eastAsia="zh-CN"/>
              </w:rPr>
              <w:t>从监测数据可知，陈家河（四水厂）监测断面的各项监测指标均能达到《地表水环境质量标准》（GB3838-2002）中II类标准，项目所在区域地表水环境质量现状良好。</w:t>
            </w:r>
          </w:p>
          <w:p>
            <w:pPr>
              <w:pStyle w:val="2"/>
              <w:bidi w:val="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（三）项目所在地声环境质量现状</w:t>
            </w:r>
          </w:p>
          <w:p>
            <w:pPr>
              <w:pStyle w:val="3"/>
              <w:spacing w:line="360" w:lineRule="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根据现场踏勘可知，厂区周边50m范围内无声环境保护目标，因此，本次评价期间未对项目所在地声环境质量进行监测。</w:t>
            </w:r>
          </w:p>
          <w:p>
            <w:pPr>
              <w:pStyle w:val="2"/>
              <w:bidi w:val="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（四）生态环境质量现状</w:t>
            </w:r>
          </w:p>
          <w:p>
            <w:pPr>
              <w:pStyle w:val="3"/>
              <w:spacing w:line="360" w:lineRule="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本项目位于工业园区，用地性质为工业用地，拟建地已平整，无生态环境保护目标，根据《建设项目环境影响报告表编制技术指南》（污染影响类）（试行），本项目可不进行生态现状调查。</w:t>
            </w:r>
          </w:p>
          <w:p>
            <w:pPr>
              <w:pStyle w:val="2"/>
              <w:bidi w:val="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（五）地下水、土壤环境质量现状</w:t>
            </w:r>
          </w:p>
          <w:p>
            <w:pPr>
              <w:bidi w:val="0"/>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本项目属于</w:t>
            </w:r>
            <w:r>
              <w:rPr>
                <w:rFonts w:hint="default" w:ascii="Times New Roman" w:hAnsi="Times New Roman" w:cs="Times New Roman"/>
                <w:lang w:eastAsia="zh-CN"/>
              </w:rPr>
              <w:t>医药中单纯药品分装、复配</w:t>
            </w:r>
            <w:r>
              <w:rPr>
                <w:rFonts w:hint="default" w:ascii="Times New Roman" w:hAnsi="Times New Roman" w:cs="Times New Roman"/>
                <w:lang w:val="en-US" w:eastAsia="zh-CN"/>
              </w:rPr>
              <w:t>，根据《环境影响评价技术导则—地下水环境》（HJ610-2016），本项目属于IV项目，地下水评价为不定级。</w:t>
            </w:r>
          </w:p>
          <w:p>
            <w:pPr>
              <w:bidi w:val="0"/>
              <w:ind w:firstLine="480" w:firstLineChars="200"/>
              <w:rPr>
                <w:rFonts w:hint="default" w:ascii="Times New Roman" w:hAnsi="Times New Roman" w:cs="Times New Roman"/>
                <w:color w:val="FF0000"/>
                <w:kern w:val="0"/>
                <w:szCs w:val="24"/>
              </w:rPr>
            </w:pPr>
            <w:r>
              <w:rPr>
                <w:rFonts w:hint="default" w:ascii="Times New Roman" w:hAnsi="Times New Roman" w:cs="Times New Roman"/>
                <w:lang w:val="en-US" w:eastAsia="zh-CN"/>
              </w:rPr>
              <w:t>根据《环境影响评价技术导则－土壤》（HJ964-2018），本项目占地面积3.3514hm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，属于小型（＜5hm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），且位于工业园范围内，周边环境不敏感，土壤评价为不定级，本项目所在地为空地，无现有污染源，周边无地下水集中式饮用水水源和热水、矿泉水、 温泉等特殊地下水资源，且本项目不排放工业废气、工业废水，建设有规范化危废暂存，可切断土壤、地下水污染途径。因此可不开展地下水、土壤环境质量现状调查。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保护</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目标</w:t>
            </w:r>
          </w:p>
        </w:tc>
        <w:tc>
          <w:tcPr>
            <w:tcW w:w="8190" w:type="dxa"/>
            <w:noWrap w:val="0"/>
            <w:vAlign w:val="center"/>
          </w:tcPr>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经过实地勘查，确定以评价范围内的主要人群为大气环境保护对象，区域地表水为水环境保护目标。50m内无噪声敏感目标。</w:t>
            </w:r>
          </w:p>
          <w:p>
            <w:pPr>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表3-</w:t>
            </w:r>
            <w:r>
              <w:rPr>
                <w:rFonts w:hint="eastAsia" w:cs="Times New Roman"/>
                <w:b/>
                <w:bCs/>
                <w:sz w:val="21"/>
                <w:szCs w:val="21"/>
                <w:lang w:val="en-US" w:eastAsia="zh-CN"/>
              </w:rPr>
              <w:t>4</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rPr>
              <w:t>项目主要环境保护目标</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545"/>
              <w:gridCol w:w="1479"/>
              <w:gridCol w:w="967"/>
              <w:gridCol w:w="921"/>
              <w:gridCol w:w="1086"/>
              <w:gridCol w:w="707"/>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7"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名称</w:t>
                  </w:r>
                </w:p>
              </w:tc>
              <w:tc>
                <w:tcPr>
                  <w:tcW w:w="1898" w:type="pct"/>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坐标</w:t>
                  </w:r>
                </w:p>
              </w:tc>
              <w:tc>
                <w:tcPr>
                  <w:tcW w:w="607"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保护对象</w:t>
                  </w:r>
                </w:p>
              </w:tc>
              <w:tc>
                <w:tcPr>
                  <w:tcW w:w="578"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保护内容/规模</w:t>
                  </w: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环境功能区</w:t>
                  </w:r>
                </w:p>
              </w:tc>
              <w:tc>
                <w:tcPr>
                  <w:tcW w:w="443"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相对厂址方位</w:t>
                  </w:r>
                </w:p>
              </w:tc>
              <w:tc>
                <w:tcPr>
                  <w:tcW w:w="502"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7"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969"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X</w:t>
                  </w:r>
                </w:p>
              </w:tc>
              <w:tc>
                <w:tcPr>
                  <w:tcW w:w="928"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Y</w:t>
                  </w:r>
                </w:p>
              </w:tc>
              <w:tc>
                <w:tcPr>
                  <w:tcW w:w="607"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44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50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287" w:type="pct"/>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环境空气</w:t>
                  </w:r>
                </w:p>
              </w:tc>
              <w:tc>
                <w:tcPr>
                  <w:tcW w:w="969"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111.699241281</w:t>
                  </w:r>
                </w:p>
              </w:tc>
              <w:tc>
                <w:tcPr>
                  <w:tcW w:w="928"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28.913284131</w:t>
                  </w:r>
                </w:p>
              </w:tc>
              <w:tc>
                <w:tcPr>
                  <w:tcW w:w="607"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龙潭庵安置小区</w:t>
                  </w:r>
                </w:p>
              </w:tc>
              <w:tc>
                <w:tcPr>
                  <w:tcW w:w="578"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65户，260人</w:t>
                  </w:r>
                </w:p>
              </w:tc>
              <w:tc>
                <w:tcPr>
                  <w:tcW w:w="681" w:type="pct"/>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GB3095-2012的二级标准</w:t>
                  </w:r>
                </w:p>
              </w:tc>
              <w:tc>
                <w:tcPr>
                  <w:tcW w:w="443"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北侧</w:t>
                  </w:r>
                </w:p>
              </w:tc>
              <w:tc>
                <w:tcPr>
                  <w:tcW w:w="502"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287"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969"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111.702395558</w:t>
                  </w:r>
                </w:p>
              </w:tc>
              <w:tc>
                <w:tcPr>
                  <w:tcW w:w="928"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28.914013692</w:t>
                  </w:r>
                </w:p>
              </w:tc>
              <w:tc>
                <w:tcPr>
                  <w:tcW w:w="607"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龙潭庵小学</w:t>
                  </w:r>
                </w:p>
              </w:tc>
              <w:tc>
                <w:tcPr>
                  <w:tcW w:w="578"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在校师生500人</w:t>
                  </w:r>
                </w:p>
              </w:tc>
              <w:tc>
                <w:tcPr>
                  <w:tcW w:w="68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443"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北侧</w:t>
                  </w:r>
                </w:p>
              </w:tc>
              <w:tc>
                <w:tcPr>
                  <w:tcW w:w="502"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7"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969"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111.693533540</w:t>
                  </w:r>
                </w:p>
              </w:tc>
              <w:tc>
                <w:tcPr>
                  <w:tcW w:w="928"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28.905232140</w:t>
                  </w:r>
                </w:p>
              </w:tc>
              <w:tc>
                <w:tcPr>
                  <w:tcW w:w="607"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谷樟岗居民</w:t>
                  </w:r>
                </w:p>
              </w:tc>
              <w:tc>
                <w:tcPr>
                  <w:tcW w:w="578"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20户，80人</w:t>
                  </w:r>
                </w:p>
              </w:tc>
              <w:tc>
                <w:tcPr>
                  <w:tcW w:w="68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c>
                <w:tcPr>
                  <w:tcW w:w="443"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西侧</w:t>
                  </w:r>
                </w:p>
              </w:tc>
              <w:tc>
                <w:tcPr>
                  <w:tcW w:w="502"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7"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水环境</w:t>
                  </w:r>
                </w:p>
              </w:tc>
              <w:tc>
                <w:tcPr>
                  <w:tcW w:w="3083" w:type="pct"/>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沅江（枉水入口至东风河入口段）</w:t>
                  </w:r>
                </w:p>
              </w:tc>
              <w:tc>
                <w:tcPr>
                  <w:tcW w:w="681"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GB3838-2002中Ⅲ类标准</w:t>
                  </w:r>
                </w:p>
              </w:tc>
              <w:tc>
                <w:tcPr>
                  <w:tcW w:w="443"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北侧</w:t>
                  </w:r>
                </w:p>
              </w:tc>
              <w:tc>
                <w:tcPr>
                  <w:tcW w:w="502"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87"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声环境</w:t>
                  </w:r>
                </w:p>
              </w:tc>
              <w:tc>
                <w:tcPr>
                  <w:tcW w:w="4712" w:type="pct"/>
                  <w:gridSpan w:val="7"/>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厂界50m范围内无保护目标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7"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p>
              </w:tc>
              <w:tc>
                <w:tcPr>
                  <w:tcW w:w="4712" w:type="pct"/>
                  <w:gridSpan w:val="7"/>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500m范围内无地下水集中式饮用水水源和热水、矿泉水、温泉等特殊地下水资源</w:t>
                  </w:r>
                </w:p>
              </w:tc>
            </w:tr>
          </w:tbl>
          <w:p>
            <w:pPr>
              <w:pStyle w:val="3"/>
              <w:spacing w:line="360" w:lineRule="auto"/>
              <w:ind w:left="0" w:leftChars="0" w:firstLine="0" w:firstLineChars="0"/>
              <w:rPr>
                <w:rFonts w:hint="default" w:ascii="Times New Roman" w:hAnsi="Times New Roman" w:cs="Times New Roman"/>
                <w:color w:val="FF0000"/>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污染</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物排</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放控</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制标</w:t>
            </w:r>
          </w:p>
          <w:p>
            <w:pPr>
              <w:adjustRightInd w:val="0"/>
              <w:snapToGrid w:val="0"/>
              <w:jc w:val="center"/>
              <w:rPr>
                <w:rFonts w:hint="default" w:ascii="Times New Roman" w:hAnsi="Times New Roman" w:cs="Times New Roman"/>
                <w:color w:val="FF0000"/>
                <w:kern w:val="0"/>
                <w:sz w:val="24"/>
                <w:szCs w:val="24"/>
              </w:rPr>
            </w:pPr>
            <w:r>
              <w:rPr>
                <w:rFonts w:hint="default" w:ascii="Times New Roman" w:hAnsi="Times New Roman" w:cs="Times New Roman"/>
                <w:color w:val="auto"/>
                <w:kern w:val="0"/>
                <w:sz w:val="24"/>
                <w:szCs w:val="24"/>
              </w:rPr>
              <w:t>准</w:t>
            </w:r>
          </w:p>
        </w:tc>
        <w:tc>
          <w:tcPr>
            <w:tcW w:w="8190" w:type="dxa"/>
            <w:noWrap w:val="0"/>
            <w:vAlign w:val="center"/>
          </w:tcPr>
          <w:p>
            <w:pPr>
              <w:pStyle w:val="6"/>
              <w:bidi w:val="0"/>
              <w:rPr>
                <w:rFonts w:hint="default" w:ascii="Times New Roman" w:hAnsi="Times New Roman" w:cs="Times New Roman"/>
              </w:rPr>
            </w:pPr>
            <w:r>
              <w:rPr>
                <w:rFonts w:hint="default" w:ascii="Times New Roman" w:hAnsi="Times New Roman" w:cs="Times New Roman"/>
              </w:rPr>
              <w:t>1、废水排放标准</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本项目属于混装制剂类制药，根据《混装制剂类制药工业水污染物排放标准》（GB219008-2008）要求“企业向设置污水处理厂的城镇排水系统排放废水时，其污染物的排口控制要求由企业与城镇污水处理厂根据其污水处理能力商定或执行相关标准”。</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本项目生产废水、生活污水经厂区污水处理设施处理后经市政污水管网排入德山污水处理厂集中处理，尾水达标排入沅江。</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厂区污水排放时执行德山污水处理厂进水水质标准，污水处理厂未限制污染物执行《混装制剂类制药工业水污染物排放标准》（GB219008-2008）表2标准。具体标准见表3-</w:t>
            </w:r>
            <w:r>
              <w:rPr>
                <w:rFonts w:hint="eastAsia" w:eastAsia="宋体" w:cs="Times New Roman"/>
                <w:color w:val="auto"/>
                <w:kern w:val="2"/>
                <w:sz w:val="24"/>
                <w:szCs w:val="20"/>
                <w:lang w:val="en-US" w:eastAsia="zh-CN" w:bidi="ar-SA"/>
              </w:rPr>
              <w:t>5</w:t>
            </w:r>
            <w:r>
              <w:rPr>
                <w:rFonts w:hint="default" w:ascii="Times New Roman" w:hAnsi="Times New Roman" w:eastAsia="宋体" w:cs="Times New Roman"/>
                <w:color w:val="auto"/>
                <w:kern w:val="2"/>
                <w:sz w:val="24"/>
                <w:szCs w:val="20"/>
                <w:lang w:val="en-US" w:eastAsia="zh-CN" w:bidi="ar-SA"/>
              </w:rPr>
              <w:t>。</w:t>
            </w:r>
          </w:p>
          <w:p>
            <w:pPr>
              <w:pStyle w:val="27"/>
              <w:bidi w:val="0"/>
              <w:rPr>
                <w:rFonts w:hint="default" w:ascii="Times New Roman" w:hAnsi="Times New Roman" w:cs="Times New Roman"/>
                <w:u w:val="single"/>
              </w:rPr>
            </w:pPr>
            <w:r>
              <w:rPr>
                <w:rFonts w:hint="default" w:ascii="Times New Roman" w:hAnsi="Times New Roman" w:cs="Times New Roman"/>
                <w:u w:val="single"/>
              </w:rPr>
              <w:t>表3-</w:t>
            </w:r>
            <w:r>
              <w:rPr>
                <w:rFonts w:hint="eastAsia" w:cs="Times New Roman"/>
                <w:u w:val="single"/>
                <w:lang w:val="en-US" w:eastAsia="zh-CN"/>
              </w:rPr>
              <w:t>5</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污水排放标准</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1709"/>
              <w:gridCol w:w="3146"/>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280" w:type="pct"/>
                  <w:noWrap w:val="0"/>
                  <w:vAlign w:val="center"/>
                </w:tcPr>
                <w:p>
                  <w:pPr>
                    <w:pStyle w:val="26"/>
                    <w:bidi w:val="0"/>
                    <w:jc w:val="center"/>
                    <w:rPr>
                      <w:rFonts w:hint="default" w:ascii="Times New Roman" w:hAnsi="Times New Roman" w:eastAsia="宋体" w:cs="Times New Roman"/>
                      <w:b/>
                      <w:bCs/>
                      <w:u w:val="single"/>
                      <w:lang w:eastAsia="zh-CN"/>
                    </w:rPr>
                  </w:pPr>
                  <w:r>
                    <w:rPr>
                      <w:rFonts w:hint="default" w:ascii="Times New Roman" w:hAnsi="Times New Roman" w:cs="Times New Roman"/>
                      <w:b/>
                      <w:bCs/>
                      <w:u w:val="single"/>
                      <w:lang w:eastAsia="zh-CN"/>
                    </w:rPr>
                    <w:t>污染因子</w:t>
                  </w:r>
                </w:p>
              </w:tc>
              <w:tc>
                <w:tcPr>
                  <w:tcW w:w="1073" w:type="pct"/>
                  <w:noWrap w:val="0"/>
                  <w:vAlign w:val="center"/>
                </w:tcPr>
                <w:p>
                  <w:pPr>
                    <w:pStyle w:val="26"/>
                    <w:bidi w:val="0"/>
                    <w:jc w:val="center"/>
                    <w:rPr>
                      <w:rFonts w:hint="default" w:ascii="Times New Roman" w:hAnsi="Times New Roman" w:cs="Times New Roman"/>
                      <w:b/>
                      <w:bCs/>
                      <w:u w:val="single"/>
                    </w:rPr>
                  </w:pPr>
                  <w:r>
                    <w:rPr>
                      <w:rFonts w:hint="default" w:ascii="Times New Roman" w:hAnsi="Times New Roman" w:cs="Times New Roman"/>
                      <w:b/>
                      <w:bCs/>
                      <w:u w:val="single"/>
                      <w:lang w:eastAsia="zh-CN"/>
                    </w:rPr>
                    <w:t>德山污水处理厂</w:t>
                  </w:r>
                  <w:r>
                    <w:rPr>
                      <w:rFonts w:hint="default" w:ascii="Times New Roman" w:hAnsi="Times New Roman" w:cs="Times New Roman"/>
                      <w:b/>
                      <w:bCs/>
                      <w:u w:val="single"/>
                    </w:rPr>
                    <w:t>进水水质要求</w:t>
                  </w:r>
                </w:p>
              </w:tc>
              <w:tc>
                <w:tcPr>
                  <w:tcW w:w="1975" w:type="pct"/>
                  <w:noWrap w:val="0"/>
                  <w:vAlign w:val="center"/>
                </w:tcPr>
                <w:p>
                  <w:pPr>
                    <w:pStyle w:val="26"/>
                    <w:bidi w:val="0"/>
                    <w:jc w:val="center"/>
                    <w:rPr>
                      <w:rFonts w:hint="default" w:ascii="Times New Roman" w:hAnsi="Times New Roman" w:cs="Times New Roman"/>
                      <w:b/>
                      <w:bCs/>
                      <w:u w:val="single"/>
                      <w:lang w:eastAsia="zh-CN"/>
                    </w:rPr>
                  </w:pPr>
                  <w:r>
                    <w:rPr>
                      <w:rFonts w:hint="default" w:ascii="Times New Roman" w:hAnsi="Times New Roman" w:cs="Times New Roman"/>
                      <w:b/>
                      <w:bCs/>
                      <w:u w:val="single"/>
                      <w:lang w:val="en-US" w:eastAsia="zh-CN"/>
                    </w:rPr>
                    <w:t>《混装制剂类制药工业水污染物排放标准》（GB219008-2008）表2直排标准</w:t>
                  </w:r>
                </w:p>
              </w:tc>
              <w:tc>
                <w:tcPr>
                  <w:tcW w:w="670" w:type="pct"/>
                  <w:noWrap w:val="0"/>
                  <w:vAlign w:val="center"/>
                </w:tcPr>
                <w:p>
                  <w:pPr>
                    <w:pStyle w:val="26"/>
                    <w:bidi w:val="0"/>
                    <w:jc w:val="center"/>
                    <w:rPr>
                      <w:rFonts w:hint="default" w:ascii="Times New Roman" w:hAnsi="Times New Roman" w:cs="Times New Roman"/>
                      <w:b/>
                      <w:bCs/>
                      <w:u w:val="single"/>
                    </w:rPr>
                  </w:pPr>
                  <w:r>
                    <w:rPr>
                      <w:rFonts w:hint="default" w:ascii="Times New Roman" w:hAnsi="Times New Roman" w:cs="Times New Roman"/>
                      <w:b/>
                      <w:bCs/>
                      <w:u w:val="single"/>
                    </w:rPr>
                    <w:t>本项目标准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pH（无量纲）</w:t>
                  </w:r>
                </w:p>
              </w:tc>
              <w:tc>
                <w:tcPr>
                  <w:tcW w:w="107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6-9</w:t>
                  </w:r>
                </w:p>
              </w:tc>
              <w:tc>
                <w:tcPr>
                  <w:tcW w:w="197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6-9</w:t>
                  </w:r>
                </w:p>
              </w:tc>
              <w:tc>
                <w:tcPr>
                  <w:tcW w:w="67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化学需氧量（mg/L)</w:t>
                  </w:r>
                </w:p>
              </w:tc>
              <w:tc>
                <w:tcPr>
                  <w:tcW w:w="107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400</w:t>
                  </w:r>
                </w:p>
              </w:tc>
              <w:tc>
                <w:tcPr>
                  <w:tcW w:w="197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60</w:t>
                  </w:r>
                </w:p>
              </w:tc>
              <w:tc>
                <w:tcPr>
                  <w:tcW w:w="67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氨氮（mg/L)</w:t>
                  </w:r>
                </w:p>
              </w:tc>
              <w:tc>
                <w:tcPr>
                  <w:tcW w:w="107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25</w:t>
                  </w:r>
                </w:p>
              </w:tc>
              <w:tc>
                <w:tcPr>
                  <w:tcW w:w="197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10</w:t>
                  </w:r>
                </w:p>
              </w:tc>
              <w:tc>
                <w:tcPr>
                  <w:tcW w:w="67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悬浮物（mg/L)</w:t>
                  </w:r>
                </w:p>
              </w:tc>
              <w:tc>
                <w:tcPr>
                  <w:tcW w:w="107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300</w:t>
                  </w:r>
                </w:p>
              </w:tc>
              <w:tc>
                <w:tcPr>
                  <w:tcW w:w="197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30</w:t>
                  </w:r>
                </w:p>
              </w:tc>
              <w:tc>
                <w:tcPr>
                  <w:tcW w:w="67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BOD</w:t>
                  </w:r>
                  <w:r>
                    <w:rPr>
                      <w:rFonts w:hint="default" w:ascii="Times New Roman" w:hAnsi="Times New Roman" w:eastAsia="宋体" w:cs="Times New Roman"/>
                      <w:snapToGrid w:val="0"/>
                      <w:color w:val="auto"/>
                      <w:kern w:val="21"/>
                      <w:szCs w:val="21"/>
                      <w:u w:val="single"/>
                      <w:vertAlign w:val="subscript"/>
                      <w:lang w:val="en-US" w:eastAsia="zh-CN"/>
                    </w:rPr>
                    <w:t>5</w:t>
                  </w:r>
                  <w:r>
                    <w:rPr>
                      <w:rFonts w:hint="default" w:ascii="Times New Roman" w:hAnsi="Times New Roman" w:eastAsia="宋体" w:cs="Times New Roman"/>
                      <w:snapToGrid w:val="0"/>
                      <w:color w:val="auto"/>
                      <w:kern w:val="21"/>
                      <w:szCs w:val="21"/>
                      <w:u w:val="single"/>
                      <w:lang w:val="en-US" w:eastAsia="zh-CN"/>
                    </w:rPr>
                    <w:t>(mg/L)</w:t>
                  </w:r>
                </w:p>
              </w:tc>
              <w:tc>
                <w:tcPr>
                  <w:tcW w:w="107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250</w:t>
                  </w:r>
                </w:p>
              </w:tc>
              <w:tc>
                <w:tcPr>
                  <w:tcW w:w="197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15</w:t>
                  </w:r>
                </w:p>
              </w:tc>
              <w:tc>
                <w:tcPr>
                  <w:tcW w:w="67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总磷</w:t>
                  </w:r>
                </w:p>
              </w:tc>
              <w:tc>
                <w:tcPr>
                  <w:tcW w:w="107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w:t>
                  </w:r>
                </w:p>
              </w:tc>
              <w:tc>
                <w:tcPr>
                  <w:tcW w:w="197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0.5</w:t>
                  </w:r>
                </w:p>
              </w:tc>
              <w:tc>
                <w:tcPr>
                  <w:tcW w:w="67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总氮</w:t>
                  </w:r>
                </w:p>
              </w:tc>
              <w:tc>
                <w:tcPr>
                  <w:tcW w:w="107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w:t>
                  </w:r>
                </w:p>
              </w:tc>
              <w:tc>
                <w:tcPr>
                  <w:tcW w:w="197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20</w:t>
                  </w:r>
                </w:p>
              </w:tc>
              <w:tc>
                <w:tcPr>
                  <w:tcW w:w="67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20</w:t>
                  </w: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2、废气排放标准</w:t>
            </w:r>
          </w:p>
          <w:p>
            <w:pPr>
              <w:pStyle w:val="3"/>
              <w:spacing w:line="360" w:lineRule="auto"/>
              <w:rPr>
                <w:rFonts w:hint="default" w:ascii="Times New Roman" w:hAnsi="Times New Roman" w:eastAsia="宋体" w:cs="Times New Roman"/>
                <w:b/>
                <w:bCs/>
                <w:color w:val="auto"/>
                <w:kern w:val="2"/>
                <w:sz w:val="22"/>
                <w:szCs w:val="22"/>
                <w:u w:val="single"/>
                <w:lang w:val="en-US" w:eastAsia="zh-CN" w:bidi="ar-SA"/>
              </w:rPr>
            </w:pPr>
            <w:r>
              <w:rPr>
                <w:rFonts w:hint="default" w:ascii="Times New Roman" w:hAnsi="Times New Roman" w:eastAsia="宋体" w:cs="Times New Roman"/>
                <w:color w:val="auto"/>
                <w:kern w:val="0"/>
                <w:sz w:val="24"/>
                <w:szCs w:val="24"/>
                <w:u w:val="single"/>
                <w:lang w:val="en-US" w:eastAsia="zh-CN"/>
              </w:rPr>
              <w:t>本项目运营期</w:t>
            </w:r>
            <w:r>
              <w:rPr>
                <w:rFonts w:hint="eastAsia" w:ascii="Times New Roman" w:hAnsi="Times New Roman" w:cs="Times New Roman"/>
                <w:color w:val="auto"/>
                <w:kern w:val="0"/>
                <w:sz w:val="24"/>
                <w:szCs w:val="24"/>
                <w:u w:val="single"/>
                <w:lang w:val="en-US" w:eastAsia="zh-CN"/>
              </w:rPr>
              <w:t>DA001</w:t>
            </w:r>
            <w:r>
              <w:rPr>
                <w:rFonts w:hint="default" w:ascii="Times New Roman" w:hAnsi="Times New Roman" w:eastAsia="宋体" w:cs="Times New Roman"/>
                <w:color w:val="auto"/>
                <w:kern w:val="0"/>
                <w:sz w:val="24"/>
                <w:szCs w:val="24"/>
                <w:u w:val="single"/>
                <w:lang w:val="en-US" w:eastAsia="zh-CN"/>
              </w:rPr>
              <w:t>排放的粉尘（颗粒物）、</w:t>
            </w:r>
            <w:r>
              <w:rPr>
                <w:rFonts w:hint="eastAsia" w:ascii="Times New Roman" w:hAnsi="Times New Roman" w:cs="Times New Roman"/>
                <w:color w:val="auto"/>
                <w:kern w:val="0"/>
                <w:sz w:val="24"/>
                <w:szCs w:val="24"/>
                <w:u w:val="single"/>
                <w:lang w:val="en-US" w:eastAsia="zh-CN"/>
              </w:rPr>
              <w:t>DA002排放的</w:t>
            </w:r>
            <w:r>
              <w:rPr>
                <w:rFonts w:hint="default" w:ascii="Times New Roman" w:hAnsi="Times New Roman" w:cs="Times New Roman"/>
                <w:color w:val="auto"/>
                <w:kern w:val="0"/>
                <w:sz w:val="24"/>
                <w:szCs w:val="24"/>
                <w:u w:val="single"/>
                <w:lang w:val="en-US" w:eastAsia="zh-CN"/>
              </w:rPr>
              <w:t>VOCs</w:t>
            </w:r>
            <w:r>
              <w:rPr>
                <w:rFonts w:hint="default" w:ascii="Times New Roman" w:hAnsi="Times New Roman" w:eastAsia="宋体" w:cs="Times New Roman"/>
                <w:color w:val="auto"/>
                <w:kern w:val="0"/>
                <w:sz w:val="24"/>
                <w:szCs w:val="24"/>
                <w:u w:val="single"/>
                <w:lang w:val="en-US" w:eastAsia="zh-CN"/>
              </w:rPr>
              <w:t>执行《制药工业大气污染物排放标准》（</w:t>
            </w:r>
            <w:r>
              <w:rPr>
                <w:rFonts w:hint="default" w:ascii="Times New Roman" w:hAnsi="Times New Roman" w:cs="Times New Roman"/>
                <w:color w:val="auto"/>
                <w:kern w:val="0"/>
                <w:sz w:val="24"/>
                <w:szCs w:val="24"/>
                <w:u w:val="single"/>
                <w:lang w:val="en-US" w:eastAsia="zh-CN"/>
              </w:rPr>
              <w:t>GB37823</w:t>
            </w:r>
            <w:r>
              <w:rPr>
                <w:rFonts w:hint="default" w:ascii="Times New Roman" w:hAnsi="Times New Roman" w:eastAsia="宋体" w:cs="Times New Roman"/>
                <w:color w:val="auto"/>
                <w:kern w:val="0"/>
                <w:sz w:val="24"/>
                <w:szCs w:val="24"/>
                <w:u w:val="single"/>
                <w:lang w:val="en-US" w:eastAsia="zh-CN"/>
              </w:rPr>
              <w:t>-20</w:t>
            </w:r>
            <w:r>
              <w:rPr>
                <w:rFonts w:hint="default" w:ascii="Times New Roman" w:hAnsi="Times New Roman" w:cs="Times New Roman"/>
                <w:color w:val="auto"/>
                <w:kern w:val="0"/>
                <w:sz w:val="24"/>
                <w:szCs w:val="24"/>
                <w:u w:val="single"/>
                <w:lang w:val="en-US" w:eastAsia="zh-CN"/>
              </w:rPr>
              <w:t>19</w:t>
            </w:r>
            <w:r>
              <w:rPr>
                <w:rFonts w:hint="default" w:ascii="Times New Roman" w:hAnsi="Times New Roman" w:eastAsia="宋体" w:cs="Times New Roman"/>
                <w:color w:val="auto"/>
                <w:kern w:val="0"/>
                <w:sz w:val="24"/>
                <w:szCs w:val="24"/>
                <w:u w:val="single"/>
                <w:lang w:val="en-US" w:eastAsia="zh-CN"/>
              </w:rPr>
              <w:t>）表</w:t>
            </w:r>
            <w:r>
              <w:rPr>
                <w:rFonts w:hint="eastAsia" w:ascii="Times New Roman" w:hAnsi="Times New Roman" w:cs="Times New Roman"/>
                <w:color w:val="auto"/>
                <w:kern w:val="0"/>
                <w:sz w:val="24"/>
                <w:szCs w:val="24"/>
                <w:u w:val="single"/>
                <w:lang w:val="en-US" w:eastAsia="zh-CN"/>
              </w:rPr>
              <w:t>1标准</w:t>
            </w:r>
            <w:r>
              <w:rPr>
                <w:rFonts w:hint="default" w:ascii="Times New Roman" w:hAnsi="Times New Roman" w:eastAsia="宋体" w:cs="Times New Roman"/>
                <w:color w:val="auto"/>
                <w:kern w:val="0"/>
                <w:sz w:val="24"/>
                <w:szCs w:val="24"/>
                <w:u w:val="single"/>
                <w:lang w:val="en-US" w:eastAsia="zh-CN"/>
              </w:rPr>
              <w:t>。无组织排放的颗粒厂界外执行《大气污染物综合排放标</w:t>
            </w:r>
            <w:r>
              <w:rPr>
                <w:rFonts w:hint="default" w:ascii="Times New Roman" w:hAnsi="Times New Roman" w:cs="Times New Roman"/>
                <w:color w:val="auto"/>
                <w:kern w:val="0"/>
                <w:sz w:val="24"/>
                <w:szCs w:val="24"/>
                <w:u w:val="single"/>
                <w:lang w:val="en-US" w:eastAsia="zh-CN"/>
              </w:rPr>
              <w:t>准</w:t>
            </w:r>
            <w:r>
              <w:rPr>
                <w:rFonts w:hint="default" w:ascii="Times New Roman" w:hAnsi="Times New Roman" w:eastAsia="宋体" w:cs="Times New Roman"/>
                <w:color w:val="auto"/>
                <w:kern w:val="0"/>
                <w:sz w:val="24"/>
                <w:szCs w:val="24"/>
                <w:u w:val="single"/>
                <w:lang w:val="en-US" w:eastAsia="zh-CN"/>
              </w:rPr>
              <w:t>》（</w:t>
            </w:r>
            <w:r>
              <w:rPr>
                <w:rFonts w:hint="default" w:ascii="Times New Roman" w:hAnsi="Times New Roman" w:cs="Times New Roman"/>
                <w:color w:val="auto"/>
                <w:kern w:val="0"/>
                <w:sz w:val="24"/>
                <w:szCs w:val="24"/>
                <w:u w:val="single"/>
                <w:lang w:val="en-US" w:eastAsia="zh-CN"/>
              </w:rPr>
              <w:t>GB16297-1996</w:t>
            </w:r>
            <w:r>
              <w:rPr>
                <w:rFonts w:hint="default" w:ascii="Times New Roman" w:hAnsi="Times New Roman" w:eastAsia="宋体" w:cs="Times New Roman"/>
                <w:color w:val="auto"/>
                <w:kern w:val="0"/>
                <w:sz w:val="24"/>
                <w:szCs w:val="24"/>
                <w:u w:val="single"/>
                <w:lang w:val="en-US" w:eastAsia="zh-CN"/>
              </w:rPr>
              <w:t>）表</w:t>
            </w:r>
            <w:r>
              <w:rPr>
                <w:rFonts w:hint="default" w:ascii="Times New Roman" w:hAnsi="Times New Roman" w:cs="Times New Roman"/>
                <w:color w:val="auto"/>
                <w:kern w:val="0"/>
                <w:sz w:val="24"/>
                <w:szCs w:val="24"/>
                <w:u w:val="single"/>
                <w:lang w:val="en-US" w:eastAsia="zh-CN"/>
              </w:rPr>
              <w:t>2</w:t>
            </w:r>
            <w:r>
              <w:rPr>
                <w:rFonts w:hint="default" w:ascii="Times New Roman" w:hAnsi="Times New Roman" w:eastAsia="宋体" w:cs="Times New Roman"/>
                <w:color w:val="auto"/>
                <w:kern w:val="0"/>
                <w:sz w:val="24"/>
                <w:szCs w:val="24"/>
                <w:u w:val="single"/>
                <w:lang w:val="en-US" w:eastAsia="zh-CN"/>
              </w:rPr>
              <w:t>标准，无组织VOCs执行《挥发性有机物无组织排放控制</w:t>
            </w:r>
            <w:r>
              <w:rPr>
                <w:rFonts w:hint="default" w:ascii="Times New Roman" w:hAnsi="Times New Roman" w:cs="Times New Roman"/>
                <w:color w:val="auto"/>
                <w:kern w:val="0"/>
                <w:sz w:val="24"/>
                <w:szCs w:val="24"/>
                <w:u w:val="single"/>
                <w:lang w:val="en-US" w:eastAsia="zh-CN"/>
              </w:rPr>
              <w:t>标准</w:t>
            </w:r>
            <w:r>
              <w:rPr>
                <w:rFonts w:hint="default" w:ascii="Times New Roman" w:hAnsi="Times New Roman" w:eastAsia="宋体" w:cs="Times New Roman"/>
                <w:color w:val="auto"/>
                <w:kern w:val="0"/>
                <w:sz w:val="24"/>
                <w:szCs w:val="24"/>
                <w:u w:val="single"/>
                <w:lang w:val="en-US" w:eastAsia="zh-CN"/>
              </w:rPr>
              <w:t>》（GB37822-2019）</w:t>
            </w:r>
            <w:r>
              <w:rPr>
                <w:rFonts w:hint="default" w:ascii="Times New Roman" w:hAnsi="Times New Roman" w:cs="Times New Roman"/>
                <w:color w:val="auto"/>
                <w:kern w:val="0"/>
                <w:sz w:val="24"/>
                <w:szCs w:val="24"/>
                <w:u w:val="single"/>
                <w:lang w:val="en-US" w:eastAsia="zh-CN"/>
              </w:rPr>
              <w:t>，</w:t>
            </w:r>
            <w:r>
              <w:rPr>
                <w:rFonts w:hint="default" w:ascii="Times New Roman" w:hAnsi="Times New Roman" w:eastAsia="宋体" w:cs="Times New Roman"/>
                <w:color w:val="auto"/>
                <w:kern w:val="0"/>
                <w:sz w:val="24"/>
                <w:szCs w:val="24"/>
                <w:u w:val="single"/>
                <w:lang w:val="en-US" w:eastAsia="zh-CN"/>
              </w:rPr>
              <w:t>氨、硫化氢执行《恶臭污染物排放标准》（GB14554-93）表</w:t>
            </w:r>
            <w:r>
              <w:rPr>
                <w:rFonts w:hint="default" w:ascii="Times New Roman" w:hAnsi="Times New Roman" w:cs="Times New Roman"/>
                <w:color w:val="auto"/>
                <w:kern w:val="0"/>
                <w:sz w:val="24"/>
                <w:szCs w:val="24"/>
                <w:u w:val="single"/>
                <w:lang w:val="en-US" w:eastAsia="zh-CN"/>
              </w:rPr>
              <w:t>1</w:t>
            </w:r>
            <w:r>
              <w:rPr>
                <w:rFonts w:hint="eastAsia" w:ascii="Times New Roman" w:hAnsi="Times New Roman" w:cs="Times New Roman"/>
                <w:color w:val="auto"/>
                <w:kern w:val="0"/>
                <w:sz w:val="24"/>
                <w:szCs w:val="24"/>
                <w:u w:val="single"/>
                <w:lang w:val="en-US" w:eastAsia="zh-CN"/>
              </w:rPr>
              <w:t>二级</w:t>
            </w:r>
            <w:r>
              <w:rPr>
                <w:rFonts w:hint="default" w:ascii="Times New Roman" w:hAnsi="Times New Roman" w:eastAsia="宋体" w:cs="Times New Roman"/>
                <w:color w:val="auto"/>
                <w:kern w:val="0"/>
                <w:sz w:val="24"/>
                <w:szCs w:val="24"/>
                <w:u w:val="single"/>
                <w:lang w:val="en-US" w:eastAsia="zh-CN"/>
              </w:rPr>
              <w:t>标准。</w:t>
            </w:r>
          </w:p>
          <w:p>
            <w:pPr>
              <w:pStyle w:val="27"/>
              <w:bidi w:val="0"/>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表3-</w:t>
            </w:r>
            <w:r>
              <w:rPr>
                <w:rFonts w:hint="eastAsia" w:cs="Times New Roman"/>
                <w:u w:val="single"/>
                <w:lang w:val="en-US" w:eastAsia="zh-CN"/>
              </w:rPr>
              <w:t>6</w:t>
            </w:r>
            <w:r>
              <w:rPr>
                <w:rFonts w:hint="default" w:ascii="Times New Roman" w:hAnsi="Times New Roman" w:cs="Times New Roman"/>
                <w:u w:val="single"/>
                <w:lang w:val="en-US" w:eastAsia="zh-CN"/>
              </w:rPr>
              <w:t xml:space="preserve">  废气排放标准一览表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2063"/>
              <w:gridCol w:w="2538"/>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pct"/>
                  <w:noWrap w:val="0"/>
                  <w:vAlign w:val="center"/>
                </w:tcPr>
                <w:p>
                  <w:pPr>
                    <w:pStyle w:val="26"/>
                    <w:bidi w:val="0"/>
                    <w:spacing w:line="240" w:lineRule="auto"/>
                    <w:jc w:val="center"/>
                    <w:rPr>
                      <w:rFonts w:hint="default" w:ascii="Times New Roman" w:hAnsi="Times New Roman" w:cs="Times New Roman"/>
                      <w:b/>
                      <w:bCs/>
                      <w:u w:val="single"/>
                    </w:rPr>
                  </w:pPr>
                  <w:r>
                    <w:rPr>
                      <w:rFonts w:hint="default" w:ascii="Times New Roman" w:hAnsi="Times New Roman" w:cs="Times New Roman"/>
                      <w:b/>
                      <w:bCs/>
                      <w:u w:val="single"/>
                    </w:rPr>
                    <w:t>序号</w:t>
                  </w:r>
                </w:p>
              </w:tc>
              <w:tc>
                <w:tcPr>
                  <w:tcW w:w="1295" w:type="pct"/>
                  <w:noWrap w:val="0"/>
                  <w:vAlign w:val="center"/>
                </w:tcPr>
                <w:p>
                  <w:pPr>
                    <w:pStyle w:val="26"/>
                    <w:bidi w:val="0"/>
                    <w:spacing w:line="240" w:lineRule="auto"/>
                    <w:jc w:val="center"/>
                    <w:rPr>
                      <w:rFonts w:hint="default" w:ascii="Times New Roman" w:hAnsi="Times New Roman" w:cs="Times New Roman"/>
                      <w:b/>
                      <w:bCs/>
                      <w:u w:val="single"/>
                    </w:rPr>
                  </w:pPr>
                  <w:r>
                    <w:rPr>
                      <w:rFonts w:hint="default" w:ascii="Times New Roman" w:hAnsi="Times New Roman" w:cs="Times New Roman"/>
                      <w:b/>
                      <w:bCs/>
                      <w:u w:val="single"/>
                    </w:rPr>
                    <w:t>项目</w:t>
                  </w:r>
                </w:p>
              </w:tc>
              <w:tc>
                <w:tcPr>
                  <w:tcW w:w="1593" w:type="pct"/>
                  <w:noWrap w:val="0"/>
                  <w:vAlign w:val="center"/>
                </w:tcPr>
                <w:p>
                  <w:pPr>
                    <w:pStyle w:val="26"/>
                    <w:bidi w:val="0"/>
                    <w:spacing w:line="240" w:lineRule="auto"/>
                    <w:jc w:val="center"/>
                    <w:rPr>
                      <w:rFonts w:hint="default" w:ascii="Times New Roman" w:hAnsi="Times New Roman" w:cs="Times New Roman"/>
                      <w:b/>
                      <w:bCs/>
                      <w:u w:val="single"/>
                      <w:lang w:eastAsia="zh-CN"/>
                    </w:rPr>
                  </w:pPr>
                  <w:r>
                    <w:rPr>
                      <w:rFonts w:hint="default" w:ascii="Times New Roman" w:hAnsi="Times New Roman" w:cs="Times New Roman"/>
                      <w:b/>
                      <w:bCs/>
                      <w:u w:val="single"/>
                      <w:lang w:eastAsia="zh-CN"/>
                    </w:rPr>
                    <w:t>工艺废气</w:t>
                  </w:r>
                  <w:r>
                    <w:rPr>
                      <w:rFonts w:hint="default" w:ascii="Times New Roman" w:hAnsi="Times New Roman" w:eastAsia="宋体" w:cs="Times New Roman"/>
                      <w:b/>
                      <w:bCs/>
                      <w:color w:val="auto"/>
                      <w:kern w:val="0"/>
                      <w:sz w:val="24"/>
                      <w:szCs w:val="24"/>
                      <w:u w:val="single"/>
                      <w:lang w:val="en-US" w:eastAsia="zh-CN"/>
                    </w:rPr>
                    <w:t>mg/m</w:t>
                  </w:r>
                  <w:r>
                    <w:rPr>
                      <w:rFonts w:hint="default" w:ascii="Times New Roman" w:hAnsi="Times New Roman" w:eastAsia="宋体" w:cs="Times New Roman"/>
                      <w:b/>
                      <w:bCs/>
                      <w:color w:val="auto"/>
                      <w:kern w:val="0"/>
                      <w:sz w:val="24"/>
                      <w:szCs w:val="24"/>
                      <w:u w:val="single"/>
                      <w:vertAlign w:val="superscript"/>
                      <w:lang w:val="en-US" w:eastAsia="zh-CN"/>
                    </w:rPr>
                    <w:t>3</w:t>
                  </w:r>
                </w:p>
              </w:tc>
              <w:tc>
                <w:tcPr>
                  <w:tcW w:w="1432" w:type="pct"/>
                  <w:noWrap w:val="0"/>
                  <w:vAlign w:val="center"/>
                </w:tcPr>
                <w:p>
                  <w:pPr>
                    <w:pStyle w:val="26"/>
                    <w:bidi w:val="0"/>
                    <w:spacing w:line="240" w:lineRule="auto"/>
                    <w:jc w:val="center"/>
                    <w:rPr>
                      <w:rFonts w:hint="default" w:ascii="Times New Roman" w:hAnsi="Times New Roman" w:cs="Times New Roman"/>
                      <w:b/>
                      <w:bCs/>
                      <w:u w:val="single"/>
                      <w:lang w:eastAsia="zh-CN"/>
                    </w:rPr>
                  </w:pPr>
                  <w:r>
                    <w:rPr>
                      <w:rFonts w:hint="default" w:ascii="Times New Roman" w:hAnsi="Times New Roman" w:cs="Times New Roman"/>
                      <w:b/>
                      <w:bCs/>
                      <w:u w:val="single"/>
                      <w:lang w:eastAsia="zh-CN"/>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1</w:t>
                  </w:r>
                </w:p>
              </w:tc>
              <w:tc>
                <w:tcPr>
                  <w:tcW w:w="129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颗粒物</w:t>
                  </w:r>
                  <w:r>
                    <w:rPr>
                      <w:rFonts w:hint="eastAsia" w:eastAsia="宋体" w:cs="Times New Roman"/>
                      <w:snapToGrid w:val="0"/>
                      <w:color w:val="auto"/>
                      <w:kern w:val="21"/>
                      <w:szCs w:val="21"/>
                      <w:u w:val="single"/>
                      <w:lang w:val="en-US" w:eastAsia="zh-CN"/>
                    </w:rPr>
                    <w:t>（DA001）</w:t>
                  </w:r>
                </w:p>
              </w:tc>
              <w:tc>
                <w:tcPr>
                  <w:tcW w:w="159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eastAsia" w:eastAsia="宋体" w:cs="Times New Roman"/>
                      <w:snapToGrid w:val="0"/>
                      <w:color w:val="auto"/>
                      <w:kern w:val="21"/>
                      <w:szCs w:val="21"/>
                      <w:u w:val="single"/>
                      <w:lang w:val="en-US" w:eastAsia="zh-CN"/>
                    </w:rPr>
                    <w:t>3</w:t>
                  </w:r>
                  <w:r>
                    <w:rPr>
                      <w:rFonts w:hint="default" w:ascii="Times New Roman" w:hAnsi="Times New Roman" w:eastAsia="宋体" w:cs="Times New Roman"/>
                      <w:snapToGrid w:val="0"/>
                      <w:color w:val="auto"/>
                      <w:kern w:val="21"/>
                      <w:szCs w:val="21"/>
                      <w:u w:val="single"/>
                      <w:lang w:val="en-US" w:eastAsia="zh-CN"/>
                    </w:rPr>
                    <w:t>0</w:t>
                  </w:r>
                </w:p>
              </w:tc>
              <w:tc>
                <w:tcPr>
                  <w:tcW w:w="1432" w:type="pct"/>
                  <w:vMerge w:val="restart"/>
                  <w:noWrap w:val="0"/>
                  <w:vAlign w:val="center"/>
                </w:tcPr>
                <w:p>
                  <w:pPr>
                    <w:pStyle w:val="26"/>
                    <w:bidi w:val="0"/>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车间或生产设施排气筒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67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2</w:t>
                  </w:r>
                </w:p>
              </w:tc>
              <w:tc>
                <w:tcPr>
                  <w:tcW w:w="129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TVOC</w:t>
                  </w:r>
                  <w:r>
                    <w:rPr>
                      <w:rFonts w:hint="eastAsia" w:eastAsia="宋体" w:cs="Times New Roman"/>
                      <w:snapToGrid w:val="0"/>
                      <w:color w:val="auto"/>
                      <w:kern w:val="21"/>
                      <w:szCs w:val="21"/>
                      <w:u w:val="single"/>
                      <w:lang w:val="en-US" w:eastAsia="zh-CN"/>
                    </w:rPr>
                    <w:t>（DA002）</w:t>
                  </w:r>
                </w:p>
              </w:tc>
              <w:tc>
                <w:tcPr>
                  <w:tcW w:w="159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150</w:t>
                  </w:r>
                </w:p>
              </w:tc>
              <w:tc>
                <w:tcPr>
                  <w:tcW w:w="1432" w:type="pct"/>
                  <w:vMerge w:val="continue"/>
                  <w:noWrap w:val="0"/>
                  <w:vAlign w:val="center"/>
                </w:tcPr>
                <w:p>
                  <w:pPr>
                    <w:pStyle w:val="26"/>
                    <w:bidi w:val="0"/>
                    <w:jc w:val="center"/>
                    <w:rPr>
                      <w:rFonts w:hint="default" w:ascii="Times New Roman" w:hAnsi="Times New Roman" w:cs="Times New Roman"/>
                      <w:u w:val="single"/>
                      <w:lang w:val="en-US" w:eastAsia="zh-CN"/>
                    </w:rPr>
                  </w:pPr>
                </w:p>
              </w:tc>
            </w:tr>
          </w:tbl>
          <w:p>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表3-</w:t>
            </w:r>
            <w:r>
              <w:rPr>
                <w:rFonts w:hint="eastAsia" w:cs="Times New Roman"/>
                <w:lang w:val="en-US" w:eastAsia="zh-CN"/>
              </w:rPr>
              <w:t>7</w:t>
            </w:r>
            <w:r>
              <w:rPr>
                <w:rFonts w:hint="default" w:ascii="Times New Roman" w:hAnsi="Times New Roman" w:cs="Times New Roman"/>
                <w:lang w:val="en-US" w:eastAsia="zh-CN"/>
              </w:rPr>
              <w:t xml:space="preserve">  无组织排放限值  单位：mg/m</w:t>
            </w:r>
            <w:r>
              <w:rPr>
                <w:rFonts w:hint="default" w:ascii="Times New Roman" w:hAnsi="Times New Roman" w:cs="Times New Roman"/>
                <w:vertAlign w:val="superscript"/>
                <w:lang w:val="en-US" w:eastAsia="zh-CN"/>
              </w:rPr>
              <w:t>3</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037"/>
              <w:gridCol w:w="1830"/>
              <w:gridCol w:w="1569"/>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pct"/>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lang w:val="en-US" w:eastAsia="zh-CN"/>
                    </w:rPr>
                  </w:pPr>
                  <w:r>
                    <w:rPr>
                      <w:rFonts w:hint="default" w:ascii="Times New Roman" w:hAnsi="Times New Roman" w:eastAsia="宋体" w:cs="Times New Roman"/>
                      <w:b/>
                      <w:bCs/>
                      <w:snapToGrid w:val="0"/>
                      <w:color w:val="auto"/>
                      <w:kern w:val="21"/>
                      <w:szCs w:val="21"/>
                      <w:lang w:val="en-US" w:eastAsia="zh-CN"/>
                    </w:rPr>
                    <w:t>污染物项目</w:t>
                  </w:r>
                </w:p>
              </w:tc>
              <w:tc>
                <w:tcPr>
                  <w:tcW w:w="1800" w:type="pct"/>
                  <w:gridSpan w:val="2"/>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lang w:val="en-US" w:eastAsia="zh-CN"/>
                    </w:rPr>
                  </w:pPr>
                  <w:r>
                    <w:rPr>
                      <w:rFonts w:hint="default" w:ascii="Times New Roman" w:hAnsi="Times New Roman" w:eastAsia="宋体" w:cs="Times New Roman"/>
                      <w:b/>
                      <w:bCs/>
                      <w:snapToGrid w:val="0"/>
                      <w:color w:val="auto"/>
                      <w:kern w:val="21"/>
                      <w:szCs w:val="21"/>
                      <w:lang w:val="en-US" w:eastAsia="zh-CN"/>
                    </w:rPr>
                    <w:t>监控点</w:t>
                  </w:r>
                </w:p>
              </w:tc>
              <w:tc>
                <w:tcPr>
                  <w:tcW w:w="985" w:type="pct"/>
                  <w:noWrap w:val="0"/>
                  <w:vAlign w:val="center"/>
                </w:tcPr>
                <w:p>
                  <w:pPr>
                    <w:pStyle w:val="26"/>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浓度</w:t>
                  </w:r>
                </w:p>
              </w:tc>
              <w:tc>
                <w:tcPr>
                  <w:tcW w:w="1419" w:type="pct"/>
                  <w:noWrap w:val="0"/>
                  <w:vAlign w:val="center"/>
                </w:tcPr>
                <w:p>
                  <w:pPr>
                    <w:pStyle w:val="26"/>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95"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VOCs</w:t>
                  </w:r>
                </w:p>
              </w:tc>
              <w:tc>
                <w:tcPr>
                  <w:tcW w:w="651"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厂房外设置监控点</w:t>
                  </w:r>
                </w:p>
              </w:tc>
              <w:tc>
                <w:tcPr>
                  <w:tcW w:w="114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监控点处1h平均浓度</w:t>
                  </w:r>
                </w:p>
              </w:tc>
              <w:tc>
                <w:tcPr>
                  <w:tcW w:w="98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10</w:t>
                  </w:r>
                </w:p>
              </w:tc>
              <w:tc>
                <w:tcPr>
                  <w:tcW w:w="1419"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95"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651"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114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监控点处任意一次浓度值</w:t>
                  </w:r>
                </w:p>
              </w:tc>
              <w:tc>
                <w:tcPr>
                  <w:tcW w:w="98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30</w:t>
                  </w:r>
                </w:p>
              </w:tc>
              <w:tc>
                <w:tcPr>
                  <w:tcW w:w="1419"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颗粒物</w:t>
                  </w:r>
                </w:p>
              </w:tc>
              <w:tc>
                <w:tcPr>
                  <w:tcW w:w="1800" w:type="pct"/>
                  <w:gridSpan w:val="2"/>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周界外浓度最高点</w:t>
                  </w:r>
                </w:p>
              </w:tc>
              <w:tc>
                <w:tcPr>
                  <w:tcW w:w="98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1.0</w:t>
                  </w:r>
                </w:p>
              </w:tc>
              <w:tc>
                <w:tcPr>
                  <w:tcW w:w="141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《大气污染物综合排放标准》（GB16297-1996）表2标准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氨</w:t>
                  </w:r>
                </w:p>
              </w:tc>
              <w:tc>
                <w:tcPr>
                  <w:tcW w:w="1800" w:type="pct"/>
                  <w:gridSpan w:val="2"/>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周界外浓度最高点</w:t>
                  </w:r>
                </w:p>
              </w:tc>
              <w:tc>
                <w:tcPr>
                  <w:tcW w:w="98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1.5</w:t>
                  </w:r>
                </w:p>
              </w:tc>
              <w:tc>
                <w:tcPr>
                  <w:tcW w:w="1419"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《恶臭污染物排放标准》（GB14554-93）表1</w:t>
                  </w:r>
                  <w:r>
                    <w:rPr>
                      <w:rFonts w:hint="eastAsia" w:eastAsia="宋体" w:cs="Times New Roman"/>
                      <w:snapToGrid w:val="0"/>
                      <w:color w:val="auto"/>
                      <w:kern w:val="21"/>
                      <w:szCs w:val="21"/>
                      <w:lang w:val="en-US" w:eastAsia="zh-CN"/>
                    </w:rPr>
                    <w:t>二</w:t>
                  </w:r>
                  <w:r>
                    <w:rPr>
                      <w:rFonts w:hint="default" w:ascii="Times New Roman" w:hAnsi="Times New Roman" w:eastAsia="宋体" w:cs="Times New Roman"/>
                      <w:snapToGrid w:val="0"/>
                      <w:color w:val="auto"/>
                      <w:kern w:val="21"/>
                      <w:szCs w:val="21"/>
                      <w:lang w:val="en-US" w:eastAsia="zh-CN"/>
                    </w:rPr>
                    <w:t>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硫化氢</w:t>
                  </w:r>
                </w:p>
              </w:tc>
              <w:tc>
                <w:tcPr>
                  <w:tcW w:w="1800" w:type="pct"/>
                  <w:gridSpan w:val="2"/>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周界外浓度最高点</w:t>
                  </w:r>
                </w:p>
              </w:tc>
              <w:tc>
                <w:tcPr>
                  <w:tcW w:w="985" w:type="pct"/>
                  <w:noWrap w:val="0"/>
                  <w:vAlign w:val="center"/>
                </w:tcPr>
                <w:p>
                  <w:pPr>
                    <w:pStyle w:val="26"/>
                    <w:bidi w:val="0"/>
                    <w:jc w:val="center"/>
                    <w:rPr>
                      <w:rFonts w:hint="default" w:ascii="Times New Roman" w:hAnsi="Times New Roman" w:cs="Times New Roman"/>
                      <w:lang w:val="en-US" w:eastAsia="zh-CN"/>
                    </w:rPr>
                  </w:pPr>
                  <w:r>
                    <w:rPr>
                      <w:rFonts w:hint="eastAsia" w:cs="Times New Roman"/>
                      <w:lang w:val="en-US" w:eastAsia="zh-CN"/>
                    </w:rPr>
                    <w:t>0.06</w:t>
                  </w:r>
                </w:p>
              </w:tc>
              <w:tc>
                <w:tcPr>
                  <w:tcW w:w="1419" w:type="pct"/>
                  <w:vMerge w:val="continue"/>
                  <w:noWrap w:val="0"/>
                  <w:vAlign w:val="center"/>
                </w:tcPr>
                <w:p>
                  <w:pPr>
                    <w:pStyle w:val="26"/>
                    <w:bidi w:val="0"/>
                    <w:jc w:val="center"/>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臭气浓度</w:t>
                  </w:r>
                </w:p>
              </w:tc>
              <w:tc>
                <w:tcPr>
                  <w:tcW w:w="1800" w:type="pct"/>
                  <w:gridSpan w:val="2"/>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周界外浓度最高点</w:t>
                  </w:r>
                </w:p>
              </w:tc>
              <w:tc>
                <w:tcPr>
                  <w:tcW w:w="985"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20（无量纲）</w:t>
                  </w:r>
                </w:p>
              </w:tc>
              <w:tc>
                <w:tcPr>
                  <w:tcW w:w="1419" w:type="pct"/>
                  <w:vMerge w:val="continue"/>
                  <w:noWrap w:val="0"/>
                  <w:vAlign w:val="center"/>
                </w:tcPr>
                <w:p>
                  <w:pPr>
                    <w:pStyle w:val="26"/>
                    <w:bidi w:val="0"/>
                    <w:jc w:val="center"/>
                    <w:rPr>
                      <w:rFonts w:hint="default" w:ascii="Times New Roman" w:hAnsi="Times New Roman" w:cs="Times New Roman"/>
                      <w:lang w:val="en-US" w:eastAsia="zh-CN"/>
                    </w:rPr>
                  </w:pPr>
                </w:p>
              </w:tc>
            </w:tr>
          </w:tbl>
          <w:p>
            <w:pPr>
              <w:pStyle w:val="6"/>
              <w:bidi w:val="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3、噪声排放标准</w:t>
            </w:r>
          </w:p>
          <w:p>
            <w:pPr>
              <w:pStyle w:val="3"/>
              <w:spacing w:line="360" w:lineRule="auto"/>
              <w:rPr>
                <w:rFonts w:hint="default" w:ascii="Times New Roman" w:hAnsi="Times New Roman" w:eastAsia="宋体" w:cs="Times New Roman"/>
                <w:color w:val="auto"/>
                <w:kern w:val="0"/>
                <w:sz w:val="24"/>
                <w:szCs w:val="24"/>
                <w:u w:val="none"/>
                <w:lang w:val="en-US" w:eastAsia="zh-CN"/>
              </w:rPr>
            </w:pPr>
            <w:r>
              <w:rPr>
                <w:rFonts w:hint="default" w:ascii="Times New Roman" w:hAnsi="Times New Roman" w:eastAsia="宋体" w:cs="Times New Roman"/>
                <w:color w:val="auto"/>
                <w:kern w:val="0"/>
                <w:sz w:val="24"/>
                <w:szCs w:val="24"/>
                <w:u w:val="none"/>
                <w:lang w:val="en-US" w:eastAsia="zh-CN"/>
              </w:rPr>
              <w:t>项目施工期执行《建筑施工场界环境噪声排放标准》（GB12523-2011），运营期厂界噪声排放执行《工业企业厂界环境噪声排放标准》（GB12348-2008）中3类标准，具体见下表。</w:t>
            </w:r>
          </w:p>
          <w:p>
            <w:pPr>
              <w:pStyle w:val="33"/>
              <w:spacing w:line="240" w:lineRule="auto"/>
              <w:ind w:firstLine="422"/>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表</w:t>
            </w:r>
            <w:r>
              <w:rPr>
                <w:rFonts w:hint="default" w:ascii="Times New Roman" w:hAnsi="Times New Roman" w:eastAsia="宋体" w:cs="Times New Roman"/>
                <w:b/>
                <w:bCs/>
                <w:kern w:val="0"/>
                <w:sz w:val="21"/>
                <w:szCs w:val="21"/>
                <w:lang w:val="en-US" w:eastAsia="zh-CN"/>
              </w:rPr>
              <w:t>3-</w:t>
            </w:r>
            <w:r>
              <w:rPr>
                <w:rFonts w:hint="eastAsia" w:ascii="Times New Roman" w:hAnsi="Times New Roman" w:cs="Times New Roman"/>
                <w:b/>
                <w:bCs/>
                <w:kern w:val="0"/>
                <w:sz w:val="21"/>
                <w:szCs w:val="21"/>
                <w:lang w:val="en-US" w:eastAsia="zh-CN"/>
              </w:rPr>
              <w:t>8</w:t>
            </w:r>
            <w:r>
              <w:rPr>
                <w:rFonts w:hint="default" w:ascii="Times New Roman" w:hAnsi="Times New Roman" w:eastAsia="宋体" w:cs="Times New Roman"/>
                <w:b/>
                <w:bCs/>
                <w:kern w:val="0"/>
                <w:sz w:val="21"/>
                <w:szCs w:val="21"/>
              </w:rPr>
              <w:t xml:space="preserve">  建筑施工场界环境噪声排放标准限值</w:t>
            </w:r>
          </w:p>
          <w:tbl>
            <w:tblPr>
              <w:tblStyle w:val="17"/>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39"/>
              <w:gridCol w:w="41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2409" w:type="pct"/>
                  <w:tcBorders>
                    <w:tl2br w:val="nil"/>
                    <w:tr2bl w:val="nil"/>
                  </w:tcBorders>
                  <w:noWrap w:val="0"/>
                  <w:vAlign w:val="center"/>
                </w:tcPr>
                <w:p>
                  <w:pPr>
                    <w:pStyle w:val="34"/>
                    <w:spacing w:line="240" w:lineRule="auto"/>
                    <w:rPr>
                      <w:rFonts w:hint="default" w:ascii="Times New Roman" w:hAnsi="Times New Roman" w:cs="Times New Roman"/>
                      <w:b/>
                      <w:bCs/>
                      <w:sz w:val="21"/>
                      <w:szCs w:val="21"/>
                    </w:rPr>
                  </w:pPr>
                  <w:bookmarkStart w:id="7" w:name="OLE_LINK16"/>
                  <w:r>
                    <w:rPr>
                      <w:rFonts w:hint="default" w:ascii="Times New Roman" w:hAnsi="Times New Roman" w:cs="Times New Roman"/>
                      <w:b/>
                      <w:bCs/>
                      <w:sz w:val="21"/>
                      <w:szCs w:val="21"/>
                    </w:rPr>
                    <w:t>昼间</w:t>
                  </w:r>
                  <w:bookmarkEnd w:id="7"/>
                  <w:r>
                    <w:rPr>
                      <w:rFonts w:hint="default" w:ascii="Times New Roman" w:hAnsi="Times New Roman" w:cs="Times New Roman"/>
                      <w:b/>
                      <w:bCs/>
                      <w:sz w:val="21"/>
                      <w:szCs w:val="21"/>
                    </w:rPr>
                    <w:t>dB(A)</w:t>
                  </w:r>
                </w:p>
              </w:tc>
              <w:tc>
                <w:tcPr>
                  <w:tcW w:w="2591" w:type="pct"/>
                  <w:tcBorders>
                    <w:tl2br w:val="nil"/>
                    <w:tr2bl w:val="nil"/>
                  </w:tcBorders>
                  <w:noWrap w:val="0"/>
                  <w:vAlign w:val="center"/>
                </w:tcPr>
                <w:p>
                  <w:pPr>
                    <w:pStyle w:val="34"/>
                    <w:spacing w:line="240" w:lineRule="auto"/>
                    <w:rPr>
                      <w:rFonts w:hint="default" w:ascii="Times New Roman" w:hAnsi="Times New Roman" w:cs="Times New Roman"/>
                      <w:b/>
                      <w:bCs/>
                      <w:sz w:val="21"/>
                      <w:szCs w:val="21"/>
                    </w:rPr>
                  </w:pPr>
                  <w:r>
                    <w:rPr>
                      <w:rFonts w:hint="default" w:ascii="Times New Roman" w:hAnsi="Times New Roman" w:cs="Times New Roman"/>
                      <w:b/>
                      <w:bCs/>
                      <w:sz w:val="21"/>
                      <w:szCs w:val="21"/>
                    </w:rPr>
                    <w:t>夜间dB(A)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2409" w:type="pct"/>
                  <w:tcBorders>
                    <w:tl2br w:val="nil"/>
                    <w:tr2bl w:val="nil"/>
                  </w:tcBorders>
                  <w:noWrap w:val="0"/>
                  <w:vAlign w:val="center"/>
                </w:tcPr>
                <w:p>
                  <w:pPr>
                    <w:pStyle w:val="34"/>
                    <w:spacing w:line="240" w:lineRule="auto"/>
                    <w:rPr>
                      <w:rFonts w:hint="default" w:ascii="Times New Roman" w:hAnsi="Times New Roman" w:cs="Times New Roman"/>
                      <w:sz w:val="21"/>
                      <w:szCs w:val="21"/>
                    </w:rPr>
                  </w:pPr>
                  <w:r>
                    <w:rPr>
                      <w:rFonts w:hint="default" w:ascii="Times New Roman" w:hAnsi="Times New Roman" w:cs="Times New Roman"/>
                      <w:sz w:val="21"/>
                      <w:szCs w:val="21"/>
                    </w:rPr>
                    <w:t>70</w:t>
                  </w:r>
                </w:p>
              </w:tc>
              <w:tc>
                <w:tcPr>
                  <w:tcW w:w="2591" w:type="pct"/>
                  <w:tcBorders>
                    <w:tl2br w:val="nil"/>
                    <w:tr2bl w:val="nil"/>
                  </w:tcBorders>
                  <w:noWrap w:val="0"/>
                  <w:vAlign w:val="center"/>
                </w:tcPr>
                <w:p>
                  <w:pPr>
                    <w:pStyle w:val="34"/>
                    <w:spacing w:line="240" w:lineRule="auto"/>
                    <w:rPr>
                      <w:rFonts w:hint="default" w:ascii="Times New Roman" w:hAnsi="Times New Roman" w:cs="Times New Roman"/>
                      <w:sz w:val="21"/>
                      <w:szCs w:val="21"/>
                    </w:rPr>
                  </w:pPr>
                  <w:r>
                    <w:rPr>
                      <w:rFonts w:hint="default" w:ascii="Times New Roman" w:hAnsi="Times New Roman" w:cs="Times New Roman"/>
                      <w:sz w:val="21"/>
                      <w:szCs w:val="21"/>
                    </w:rPr>
                    <w:t>55</w:t>
                  </w:r>
                </w:p>
              </w:tc>
            </w:tr>
          </w:tbl>
          <w:p>
            <w:pPr>
              <w:pStyle w:val="33"/>
              <w:spacing w:line="240" w:lineRule="auto"/>
              <w:ind w:firstLine="422"/>
              <w:jc w:val="center"/>
              <w:rPr>
                <w:rFonts w:hint="default" w:ascii="Times New Roman" w:hAnsi="Times New Roman" w:cs="Times New Roman"/>
                <w:b/>
                <w:bCs w:val="0"/>
                <w:kern w:val="0"/>
                <w:sz w:val="21"/>
                <w:szCs w:val="21"/>
              </w:rPr>
            </w:pPr>
            <w:r>
              <w:rPr>
                <w:rFonts w:hint="default" w:ascii="Times New Roman" w:hAnsi="Times New Roman" w:cs="Times New Roman"/>
                <w:b/>
                <w:bCs w:val="0"/>
                <w:kern w:val="0"/>
                <w:sz w:val="21"/>
                <w:szCs w:val="21"/>
              </w:rPr>
              <w:t>表3-</w:t>
            </w:r>
            <w:r>
              <w:rPr>
                <w:rFonts w:hint="default" w:ascii="Times New Roman" w:hAnsi="Times New Roman" w:cs="Times New Roman"/>
                <w:b/>
                <w:bCs w:val="0"/>
                <w:kern w:val="0"/>
                <w:sz w:val="21"/>
                <w:szCs w:val="21"/>
                <w:lang w:val="en-US" w:eastAsia="zh-CN"/>
              </w:rPr>
              <w:t>10</w:t>
            </w:r>
            <w:r>
              <w:rPr>
                <w:rFonts w:hint="default" w:ascii="Times New Roman" w:hAnsi="Times New Roman" w:cs="Times New Roman"/>
                <w:b/>
                <w:bCs w:val="0"/>
                <w:kern w:val="0"/>
                <w:sz w:val="21"/>
                <w:szCs w:val="21"/>
              </w:rPr>
              <w:t xml:space="preserve">  噪声排放标准一览表</w:t>
            </w:r>
          </w:p>
          <w:tbl>
            <w:tblPr>
              <w:tblStyle w:val="1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41"/>
              <w:gridCol w:w="1209"/>
              <w:gridCol w:w="1068"/>
              <w:gridCol w:w="1092"/>
              <w:gridCol w:w="355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7" w:hRule="atLeast"/>
                <w:jc w:val="center"/>
              </w:trPr>
              <w:tc>
                <w:tcPr>
                  <w:tcW w:w="653" w:type="pct"/>
                  <w:tcBorders>
                    <w:tl2br w:val="nil"/>
                    <w:tr2bl w:val="nil"/>
                  </w:tcBorders>
                  <w:noWrap w:val="0"/>
                  <w:vAlign w:val="center"/>
                </w:tcPr>
                <w:p>
                  <w:pPr>
                    <w:pStyle w:val="33"/>
                    <w:spacing w:line="240" w:lineRule="auto"/>
                    <w:ind w:firstLine="0" w:firstLineChars="0"/>
                    <w:jc w:val="center"/>
                    <w:rPr>
                      <w:rFonts w:hint="default" w:ascii="Times New Roman" w:hAnsi="Times New Roman" w:cs="Times New Roman"/>
                      <w:b/>
                      <w:bCs w:val="0"/>
                      <w:kern w:val="0"/>
                      <w:sz w:val="21"/>
                      <w:szCs w:val="21"/>
                    </w:rPr>
                  </w:pPr>
                  <w:r>
                    <w:rPr>
                      <w:rFonts w:hint="default" w:ascii="Times New Roman" w:hAnsi="Times New Roman" w:cs="Times New Roman"/>
                      <w:b/>
                      <w:bCs w:val="0"/>
                      <w:kern w:val="0"/>
                      <w:sz w:val="21"/>
                      <w:szCs w:val="21"/>
                    </w:rPr>
                    <w:t>时段</w:t>
                  </w:r>
                </w:p>
              </w:tc>
              <w:tc>
                <w:tcPr>
                  <w:tcW w:w="758" w:type="pct"/>
                  <w:tcBorders>
                    <w:tl2br w:val="nil"/>
                    <w:tr2bl w:val="nil"/>
                  </w:tcBorders>
                  <w:noWrap w:val="0"/>
                  <w:vAlign w:val="center"/>
                </w:tcPr>
                <w:p>
                  <w:pPr>
                    <w:pStyle w:val="33"/>
                    <w:spacing w:line="240" w:lineRule="auto"/>
                    <w:ind w:firstLine="0" w:firstLineChars="0"/>
                    <w:jc w:val="center"/>
                    <w:rPr>
                      <w:rFonts w:hint="default" w:ascii="Times New Roman" w:hAnsi="Times New Roman" w:cs="Times New Roman"/>
                      <w:b/>
                      <w:bCs w:val="0"/>
                      <w:kern w:val="0"/>
                      <w:sz w:val="21"/>
                      <w:szCs w:val="21"/>
                    </w:rPr>
                  </w:pPr>
                  <w:r>
                    <w:rPr>
                      <w:rFonts w:hint="default" w:ascii="Times New Roman" w:hAnsi="Times New Roman" w:cs="Times New Roman"/>
                      <w:b/>
                      <w:bCs w:val="0"/>
                      <w:kern w:val="0"/>
                      <w:sz w:val="21"/>
                      <w:szCs w:val="21"/>
                    </w:rPr>
                    <w:t>区域</w:t>
                  </w:r>
                </w:p>
              </w:tc>
              <w:tc>
                <w:tcPr>
                  <w:tcW w:w="1355" w:type="pct"/>
                  <w:gridSpan w:val="2"/>
                  <w:tcBorders>
                    <w:tl2br w:val="nil"/>
                    <w:tr2bl w:val="nil"/>
                  </w:tcBorders>
                  <w:noWrap w:val="0"/>
                  <w:vAlign w:val="center"/>
                </w:tcPr>
                <w:p>
                  <w:pPr>
                    <w:pStyle w:val="33"/>
                    <w:spacing w:line="240" w:lineRule="auto"/>
                    <w:ind w:firstLine="0" w:firstLineChars="0"/>
                    <w:jc w:val="center"/>
                    <w:rPr>
                      <w:rFonts w:hint="default" w:ascii="Times New Roman" w:hAnsi="Times New Roman" w:cs="Times New Roman"/>
                      <w:b/>
                      <w:bCs w:val="0"/>
                      <w:kern w:val="0"/>
                      <w:sz w:val="21"/>
                      <w:szCs w:val="21"/>
                    </w:rPr>
                  </w:pPr>
                  <w:r>
                    <w:rPr>
                      <w:rFonts w:hint="default" w:ascii="Times New Roman" w:hAnsi="Times New Roman" w:cs="Times New Roman"/>
                      <w:b/>
                      <w:bCs w:val="0"/>
                      <w:kern w:val="0"/>
                      <w:sz w:val="21"/>
                      <w:szCs w:val="21"/>
                    </w:rPr>
                    <w:t>标准值</w:t>
                  </w:r>
                </w:p>
              </w:tc>
              <w:tc>
                <w:tcPr>
                  <w:tcW w:w="2232" w:type="pct"/>
                  <w:tcBorders>
                    <w:tl2br w:val="nil"/>
                    <w:tr2bl w:val="nil"/>
                  </w:tcBorders>
                  <w:noWrap w:val="0"/>
                  <w:vAlign w:val="center"/>
                </w:tcPr>
                <w:p>
                  <w:pPr>
                    <w:pStyle w:val="33"/>
                    <w:spacing w:line="240" w:lineRule="auto"/>
                    <w:ind w:firstLine="0" w:firstLineChars="0"/>
                    <w:jc w:val="center"/>
                    <w:rPr>
                      <w:rFonts w:hint="default" w:ascii="Times New Roman" w:hAnsi="Times New Roman" w:cs="Times New Roman"/>
                      <w:b/>
                      <w:bCs w:val="0"/>
                      <w:kern w:val="0"/>
                      <w:sz w:val="21"/>
                      <w:szCs w:val="21"/>
                    </w:rPr>
                  </w:pPr>
                  <w:r>
                    <w:rPr>
                      <w:rFonts w:hint="default" w:ascii="Times New Roman" w:hAnsi="Times New Roman" w:cs="Times New Roman"/>
                      <w:b/>
                      <w:bCs w:val="0"/>
                      <w:kern w:val="0"/>
                      <w:sz w:val="21"/>
                      <w:szCs w:val="21"/>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653" w:type="pct"/>
                  <w:vMerge w:val="restart"/>
                  <w:tcBorders>
                    <w:tl2br w:val="nil"/>
                    <w:tr2bl w:val="nil"/>
                  </w:tcBorders>
                  <w:noWrap w:val="0"/>
                  <w:vAlign w:val="center"/>
                </w:tcPr>
                <w:p>
                  <w:pPr>
                    <w:pStyle w:val="33"/>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运营期</w:t>
                  </w:r>
                </w:p>
              </w:tc>
              <w:tc>
                <w:tcPr>
                  <w:tcW w:w="758" w:type="pct"/>
                  <w:vMerge w:val="restart"/>
                  <w:tcBorders>
                    <w:tl2br w:val="nil"/>
                    <w:tr2bl w:val="nil"/>
                  </w:tcBorders>
                  <w:noWrap w:val="0"/>
                  <w:vAlign w:val="center"/>
                </w:tcPr>
                <w:p>
                  <w:pPr>
                    <w:pStyle w:val="33"/>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厂界四周</w:t>
                  </w:r>
                </w:p>
              </w:tc>
              <w:tc>
                <w:tcPr>
                  <w:tcW w:w="670" w:type="pct"/>
                  <w:tcBorders>
                    <w:tl2br w:val="nil"/>
                    <w:tr2bl w:val="nil"/>
                  </w:tcBorders>
                  <w:noWrap w:val="0"/>
                  <w:vAlign w:val="center"/>
                </w:tcPr>
                <w:p>
                  <w:pPr>
                    <w:pStyle w:val="33"/>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昼间</w:t>
                  </w:r>
                </w:p>
              </w:tc>
              <w:tc>
                <w:tcPr>
                  <w:tcW w:w="684" w:type="pct"/>
                  <w:tcBorders>
                    <w:tl2br w:val="nil"/>
                    <w:tr2bl w:val="nil"/>
                  </w:tcBorders>
                  <w:noWrap w:val="0"/>
                  <w:vAlign w:val="center"/>
                </w:tcPr>
                <w:p>
                  <w:pPr>
                    <w:pStyle w:val="33"/>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65</w:t>
                  </w:r>
                  <w:r>
                    <w:rPr>
                      <w:rFonts w:hint="default" w:ascii="Times New Roman" w:hAnsi="Times New Roman" w:cs="Times New Roman"/>
                      <w:sz w:val="21"/>
                      <w:szCs w:val="21"/>
                    </w:rPr>
                    <w:t>dB(A)</w:t>
                  </w:r>
                </w:p>
              </w:tc>
              <w:tc>
                <w:tcPr>
                  <w:tcW w:w="2232" w:type="pct"/>
                  <w:vMerge w:val="restart"/>
                  <w:tcBorders>
                    <w:tl2br w:val="nil"/>
                    <w:tr2bl w:val="nil"/>
                  </w:tcBorders>
                  <w:noWrap w:val="0"/>
                  <w:vAlign w:val="center"/>
                </w:tcPr>
                <w:p>
                  <w:pPr>
                    <w:pStyle w:val="33"/>
                    <w:spacing w:line="240" w:lineRule="auto"/>
                    <w:ind w:firstLine="0" w:firstLineChars="0"/>
                    <w:jc w:val="center"/>
                    <w:rPr>
                      <w:rFonts w:hint="default" w:ascii="Times New Roman" w:hAnsi="Times New Roman" w:cs="Times New Roman"/>
                      <w:b/>
                      <w:bCs w:val="0"/>
                      <w:kern w:val="0"/>
                      <w:sz w:val="21"/>
                      <w:szCs w:val="21"/>
                    </w:rPr>
                  </w:pPr>
                  <w:r>
                    <w:rPr>
                      <w:rFonts w:hint="default" w:ascii="Times New Roman" w:hAnsi="Times New Roman" w:cs="Times New Roman"/>
                      <w:sz w:val="21"/>
                      <w:szCs w:val="21"/>
                    </w:rPr>
                    <w:t>《工业企业厂界环境噪声排放标准》（GB12348-2008）中3类标准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7" w:hRule="atLeast"/>
                <w:jc w:val="center"/>
              </w:trPr>
              <w:tc>
                <w:tcPr>
                  <w:tcW w:w="653" w:type="pct"/>
                  <w:vMerge w:val="continue"/>
                  <w:tcBorders>
                    <w:tl2br w:val="nil"/>
                    <w:tr2bl w:val="nil"/>
                  </w:tcBorders>
                  <w:noWrap w:val="0"/>
                  <w:vAlign w:val="center"/>
                </w:tcPr>
                <w:p>
                  <w:pPr>
                    <w:pStyle w:val="33"/>
                    <w:spacing w:line="240" w:lineRule="auto"/>
                    <w:ind w:firstLine="0" w:firstLineChars="0"/>
                    <w:jc w:val="center"/>
                    <w:rPr>
                      <w:rFonts w:hint="default" w:ascii="Times New Roman" w:hAnsi="Times New Roman" w:cs="Times New Roman"/>
                      <w:kern w:val="0"/>
                      <w:sz w:val="21"/>
                      <w:szCs w:val="21"/>
                    </w:rPr>
                  </w:pPr>
                </w:p>
              </w:tc>
              <w:tc>
                <w:tcPr>
                  <w:tcW w:w="758" w:type="pct"/>
                  <w:vMerge w:val="continue"/>
                  <w:tcBorders>
                    <w:tl2br w:val="nil"/>
                    <w:tr2bl w:val="nil"/>
                  </w:tcBorders>
                  <w:noWrap w:val="0"/>
                  <w:vAlign w:val="center"/>
                </w:tcPr>
                <w:p>
                  <w:pPr>
                    <w:pStyle w:val="33"/>
                    <w:spacing w:line="240" w:lineRule="auto"/>
                    <w:ind w:firstLine="0" w:firstLineChars="0"/>
                    <w:jc w:val="center"/>
                    <w:rPr>
                      <w:rFonts w:hint="default" w:ascii="Times New Roman" w:hAnsi="Times New Roman" w:cs="Times New Roman"/>
                      <w:kern w:val="0"/>
                      <w:sz w:val="21"/>
                      <w:szCs w:val="21"/>
                    </w:rPr>
                  </w:pPr>
                </w:p>
              </w:tc>
              <w:tc>
                <w:tcPr>
                  <w:tcW w:w="670" w:type="pct"/>
                  <w:tcBorders>
                    <w:tl2br w:val="nil"/>
                    <w:tr2bl w:val="nil"/>
                  </w:tcBorders>
                  <w:noWrap w:val="0"/>
                  <w:vAlign w:val="center"/>
                </w:tcPr>
                <w:p>
                  <w:pPr>
                    <w:pStyle w:val="33"/>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夜间</w:t>
                  </w:r>
                </w:p>
              </w:tc>
              <w:tc>
                <w:tcPr>
                  <w:tcW w:w="684" w:type="pct"/>
                  <w:tcBorders>
                    <w:tl2br w:val="nil"/>
                    <w:tr2bl w:val="nil"/>
                  </w:tcBorders>
                  <w:noWrap w:val="0"/>
                  <w:vAlign w:val="center"/>
                </w:tcPr>
                <w:p>
                  <w:pPr>
                    <w:pStyle w:val="33"/>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55</w:t>
                  </w:r>
                  <w:r>
                    <w:rPr>
                      <w:rFonts w:hint="default" w:ascii="Times New Roman" w:hAnsi="Times New Roman" w:cs="Times New Roman"/>
                      <w:sz w:val="21"/>
                      <w:szCs w:val="21"/>
                    </w:rPr>
                    <w:t>dB(A)</w:t>
                  </w:r>
                </w:p>
              </w:tc>
              <w:tc>
                <w:tcPr>
                  <w:tcW w:w="2232" w:type="pct"/>
                  <w:vMerge w:val="continue"/>
                  <w:tcBorders>
                    <w:tl2br w:val="nil"/>
                    <w:tr2bl w:val="nil"/>
                  </w:tcBorders>
                  <w:noWrap w:val="0"/>
                  <w:vAlign w:val="top"/>
                </w:tcPr>
                <w:p>
                  <w:pPr>
                    <w:pStyle w:val="33"/>
                    <w:spacing w:line="240" w:lineRule="auto"/>
                    <w:ind w:firstLine="0" w:firstLineChars="0"/>
                    <w:rPr>
                      <w:rFonts w:hint="default" w:ascii="Times New Roman" w:hAnsi="Times New Roman" w:cs="Times New Roman"/>
                      <w:b/>
                      <w:bCs w:val="0"/>
                      <w:kern w:val="0"/>
                      <w:sz w:val="21"/>
                      <w:szCs w:val="21"/>
                    </w:rPr>
                  </w:pPr>
                </w:p>
              </w:tc>
            </w:tr>
          </w:tbl>
          <w:p>
            <w:pPr>
              <w:pStyle w:val="6"/>
              <w:bidi w:val="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4、固体废物</w:t>
            </w:r>
          </w:p>
          <w:p>
            <w:pPr>
              <w:pStyle w:val="3"/>
              <w:spacing w:line="360" w:lineRule="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kern w:val="2"/>
                <w:sz w:val="24"/>
                <w:szCs w:val="24"/>
                <w:lang w:val="en-US" w:eastAsia="zh-CN" w:bidi="ar-SA"/>
              </w:rPr>
              <w:t>施工期生活垃圾委托环卫部门清运处置；运营期一般固废执行《一般工业固体废物贮存、处置场污染控制标准》（GB18599-2020），危险废物执行《危险废物贮存污染控制标准》（GB18597-2023），生活垃圾委托环卫部门清运处置</w:t>
            </w:r>
            <w:r>
              <w:rPr>
                <w:rFonts w:hint="default" w:ascii="Times New Roman" w:hAnsi="Times New Roman" w:cs="Times New Roman"/>
                <w:color w:val="auto"/>
                <w:kern w:val="2"/>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控制</w:t>
            </w:r>
          </w:p>
          <w:p>
            <w:pPr>
              <w:adjustRightInd w:val="0"/>
              <w:snapToGrid w:val="0"/>
              <w:jc w:val="center"/>
              <w:rPr>
                <w:rFonts w:hint="default" w:ascii="Times New Roman" w:hAnsi="Times New Roman" w:cs="Times New Roman"/>
                <w:color w:val="FF0000"/>
                <w:kern w:val="0"/>
                <w:sz w:val="24"/>
                <w:szCs w:val="24"/>
              </w:rPr>
            </w:pPr>
            <w:r>
              <w:rPr>
                <w:rFonts w:hint="default" w:ascii="Times New Roman" w:hAnsi="Times New Roman" w:cs="Times New Roman"/>
                <w:color w:val="auto"/>
                <w:kern w:val="0"/>
                <w:sz w:val="24"/>
                <w:szCs w:val="24"/>
              </w:rPr>
              <w:t>指标</w:t>
            </w:r>
          </w:p>
        </w:tc>
        <w:tc>
          <w:tcPr>
            <w:tcW w:w="8190" w:type="dxa"/>
            <w:noWrap w:val="0"/>
            <w:vAlign w:val="center"/>
          </w:tcPr>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Cs w:val="24"/>
              </w:rPr>
              <w:t>根据湖南省人民政府办公厅关于印发《湖南省主要污染物排污权有偿使用和交易管理办法》的通知湘政办发〔2022〕23号，目前</w:t>
            </w:r>
            <w:r>
              <w:rPr>
                <w:rFonts w:hint="default" w:ascii="Times New Roman" w:hAnsi="Times New Roman" w:cs="Times New Roman"/>
                <w:szCs w:val="24"/>
                <w:lang w:val="en-US" w:eastAsia="zh-CN"/>
              </w:rPr>
              <w:t>湖南省</w:t>
            </w:r>
            <w:r>
              <w:rPr>
                <w:rFonts w:hint="default" w:ascii="Times New Roman" w:hAnsi="Times New Roman" w:cs="Times New Roman"/>
                <w:szCs w:val="24"/>
              </w:rPr>
              <w:t>主要对化学需氧量、氨氮、二氧化硫、氮氧化物、铅、镉、砷、汞、铬、挥发性有机物、总磷</w:t>
            </w:r>
            <w:r>
              <w:rPr>
                <w:rFonts w:hint="default" w:ascii="Times New Roman" w:hAnsi="Times New Roman" w:cs="Times New Roman"/>
                <w:szCs w:val="24"/>
                <w:lang w:val="en-US" w:eastAsia="zh-CN"/>
              </w:rPr>
              <w:t>等十一</w:t>
            </w:r>
            <w:r>
              <w:rPr>
                <w:rFonts w:hint="default" w:ascii="Times New Roman" w:hAnsi="Times New Roman" w:cs="Times New Roman"/>
                <w:szCs w:val="24"/>
              </w:rPr>
              <w:t>项主要污染物实行排放总量控制计划管理</w:t>
            </w:r>
            <w:r>
              <w:rPr>
                <w:rFonts w:hint="default" w:ascii="Times New Roman" w:hAnsi="Times New Roman" w:cs="Times New Roman"/>
                <w:sz w:val="24"/>
              </w:rPr>
              <w:t>，</w:t>
            </w:r>
            <w:r>
              <w:rPr>
                <w:rFonts w:hint="default" w:ascii="Times New Roman" w:hAnsi="Times New Roman" w:cs="Times New Roman"/>
                <w:sz w:val="24"/>
                <w:lang w:eastAsia="zh-CN"/>
              </w:rPr>
              <w:t>本项目</w:t>
            </w:r>
            <w:r>
              <w:rPr>
                <w:rFonts w:hint="default" w:ascii="Times New Roman" w:hAnsi="Times New Roman" w:cs="Times New Roman"/>
                <w:sz w:val="24"/>
              </w:rPr>
              <w:t>污染物排放总量控制因子为废水中的COD和NH</w:t>
            </w:r>
            <w:r>
              <w:rPr>
                <w:rFonts w:hint="default" w:ascii="Times New Roman" w:hAnsi="Times New Roman" w:cs="Times New Roman"/>
                <w:sz w:val="24"/>
                <w:vertAlign w:val="subscript"/>
              </w:rPr>
              <w:t>3</w:t>
            </w:r>
            <w:r>
              <w:rPr>
                <w:rFonts w:hint="default" w:ascii="Times New Roman" w:hAnsi="Times New Roman" w:cs="Times New Roman"/>
                <w:sz w:val="24"/>
              </w:rPr>
              <w:t>-N两项；废气中的</w:t>
            </w:r>
            <w:r>
              <w:rPr>
                <w:rFonts w:hint="default" w:ascii="Times New Roman" w:hAnsi="Times New Roman" w:cs="Times New Roman"/>
                <w:lang w:val="en-US" w:eastAsia="zh-CN"/>
              </w:rPr>
              <w:t>VOCs</w:t>
            </w:r>
            <w:r>
              <w:rPr>
                <w:rFonts w:hint="default" w:ascii="Times New Roman" w:hAnsi="Times New Roman" w:cs="Times New Roman"/>
                <w:sz w:val="24"/>
              </w:rPr>
              <w:t>。</w:t>
            </w:r>
          </w:p>
          <w:p>
            <w:pPr>
              <w:bidi w:val="0"/>
              <w:ind w:firstLine="480" w:firstLineChars="200"/>
              <w:rPr>
                <w:rFonts w:hint="default" w:ascii="Times New Roman" w:hAnsi="Times New Roman" w:cs="Times New Roman"/>
              </w:rPr>
            </w:pPr>
            <w:r>
              <w:rPr>
                <w:rFonts w:hint="default" w:ascii="Times New Roman" w:hAnsi="Times New Roman" w:cs="Times New Roman"/>
              </w:rPr>
              <w:t>（1）废水污染因子建议指标为：COD和NH</w:t>
            </w:r>
            <w:r>
              <w:rPr>
                <w:rFonts w:hint="default" w:ascii="Times New Roman" w:hAnsi="Times New Roman" w:cs="Times New Roman"/>
                <w:vertAlign w:val="subscript"/>
              </w:rPr>
              <w:t>3</w:t>
            </w:r>
            <w:r>
              <w:rPr>
                <w:rFonts w:hint="default" w:ascii="Times New Roman" w:hAnsi="Times New Roman" w:cs="Times New Roman"/>
              </w:rPr>
              <w:t>-N。</w:t>
            </w:r>
          </w:p>
          <w:p>
            <w:pPr>
              <w:bidi w:val="0"/>
              <w:ind w:firstLine="480" w:firstLineChars="20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eastAsia="zh-CN"/>
              </w:rPr>
              <w:t>废水</w:t>
            </w:r>
            <w:r>
              <w:rPr>
                <w:rFonts w:hint="default" w:ascii="Times New Roman" w:hAnsi="Times New Roman" w:cs="Times New Roman"/>
              </w:rPr>
              <w:t>经</w:t>
            </w:r>
            <w:r>
              <w:rPr>
                <w:rFonts w:hint="default" w:ascii="Times New Roman" w:hAnsi="Times New Roman" w:cs="Times New Roman"/>
                <w:lang w:eastAsia="zh-CN"/>
              </w:rPr>
              <w:t>污水处理站</w:t>
            </w:r>
            <w:r>
              <w:rPr>
                <w:rFonts w:hint="default" w:ascii="Times New Roman" w:hAnsi="Times New Roman" w:cs="Times New Roman"/>
              </w:rPr>
              <w:t>处理后排入德山污水处理厂进一步处理，处理达《城镇污水处理厂污染物排放标准》（GB18918-2002）一级A标准后排入东风河。计算出总量控制指标如下表。</w:t>
            </w:r>
          </w:p>
          <w:p>
            <w:pPr>
              <w:pStyle w:val="3"/>
              <w:spacing w:line="360" w:lineRule="auto"/>
              <w:ind w:firstLine="480"/>
              <w:rPr>
                <w:rFonts w:hint="default" w:ascii="Times New Roman" w:hAnsi="Times New Roman" w:cs="Times New Roman"/>
                <w:sz w:val="24"/>
                <w:u w:val="single"/>
              </w:rPr>
            </w:pPr>
            <w:r>
              <w:rPr>
                <w:rFonts w:hint="default" w:ascii="Times New Roman" w:hAnsi="Times New Roman" w:cs="Times New Roman"/>
                <w:sz w:val="24"/>
                <w:u w:val="single"/>
              </w:rPr>
              <w:t>（2）气型污染因子建议指标</w:t>
            </w:r>
            <w:r>
              <w:rPr>
                <w:rFonts w:hint="default" w:ascii="Times New Roman" w:hAnsi="Times New Roman" w:cs="Times New Roman"/>
                <w:u w:val="single"/>
              </w:rPr>
              <w:t>为：</w:t>
            </w:r>
            <w:r>
              <w:rPr>
                <w:rFonts w:hint="default" w:ascii="Times New Roman" w:hAnsi="Times New Roman" w:cs="Times New Roman"/>
                <w:u w:val="single"/>
                <w:lang w:val="en-US" w:eastAsia="zh-CN"/>
              </w:rPr>
              <w:t>VOCs</w:t>
            </w:r>
            <w:r>
              <w:rPr>
                <w:rFonts w:hint="default" w:ascii="Times New Roman" w:hAnsi="Times New Roman" w:cs="Times New Roman"/>
                <w:sz w:val="24"/>
                <w:u w:val="single"/>
              </w:rPr>
              <w:t>。</w:t>
            </w:r>
          </w:p>
          <w:p>
            <w:pPr>
              <w:bidi w:val="0"/>
              <w:ind w:firstLine="480" w:firstLineChars="200"/>
              <w:rPr>
                <w:rFonts w:hint="default" w:ascii="Times New Roman" w:hAnsi="Times New Roman" w:cs="Times New Roman"/>
                <w:u w:val="single"/>
              </w:rPr>
            </w:pPr>
            <w:r>
              <w:rPr>
                <w:rFonts w:hint="default" w:ascii="Times New Roman" w:hAnsi="Times New Roman" w:cs="Times New Roman"/>
                <w:u w:val="single"/>
              </w:rPr>
              <w:t>本项目营运期主要废气有颗粒物、</w:t>
            </w:r>
            <w:r>
              <w:rPr>
                <w:rFonts w:hint="default" w:ascii="Times New Roman" w:hAnsi="Times New Roman" w:cs="Times New Roman"/>
                <w:u w:val="single"/>
                <w:lang w:val="en-US" w:eastAsia="zh-CN"/>
              </w:rPr>
              <w:t>VOCs</w:t>
            </w:r>
            <w:r>
              <w:rPr>
                <w:rFonts w:hint="default" w:ascii="Times New Roman" w:hAnsi="Times New Roman" w:cs="Times New Roman"/>
                <w:u w:val="single"/>
              </w:rPr>
              <w:t>等，本次环评在工程分析的基础上给出该项目污染物排放总量控制指标为</w:t>
            </w:r>
            <w:r>
              <w:rPr>
                <w:rFonts w:hint="default" w:ascii="Times New Roman" w:hAnsi="Times New Roman" w:cs="Times New Roman"/>
                <w:u w:val="single"/>
                <w:lang w:eastAsia="zh-CN"/>
              </w:rPr>
              <w:t>非甲烷总烃</w:t>
            </w:r>
            <w:r>
              <w:rPr>
                <w:rFonts w:hint="default" w:ascii="Times New Roman" w:hAnsi="Times New Roman" w:cs="Times New Roman"/>
                <w:u w:val="single"/>
              </w:rPr>
              <w:t>：</w:t>
            </w:r>
            <w:r>
              <w:rPr>
                <w:rFonts w:hint="eastAsia" w:cs="Times New Roman"/>
                <w:u w:val="single"/>
                <w:lang w:val="en-US" w:eastAsia="zh-CN"/>
              </w:rPr>
              <w:t>0.016</w:t>
            </w:r>
            <w:r>
              <w:rPr>
                <w:rFonts w:hint="default" w:ascii="Times New Roman" w:hAnsi="Times New Roman" w:cs="Times New Roman"/>
                <w:u w:val="single"/>
              </w:rPr>
              <w:t>t/a</w:t>
            </w:r>
          </w:p>
          <w:p>
            <w:pPr>
              <w:bidi w:val="0"/>
              <w:ind w:firstLine="480" w:firstLineChars="200"/>
              <w:rPr>
                <w:rFonts w:hint="default" w:ascii="Times New Roman" w:hAnsi="Times New Roman" w:cs="Times New Roman"/>
                <w:u w:val="single"/>
              </w:rPr>
            </w:pPr>
            <w:r>
              <w:rPr>
                <w:rFonts w:hint="default" w:ascii="Times New Roman" w:hAnsi="Times New Roman" w:cs="Times New Roman"/>
                <w:u w:val="single"/>
              </w:rPr>
              <w:t>本项目实施后，CO</w:t>
            </w:r>
            <w:r>
              <w:rPr>
                <w:rFonts w:hint="default" w:ascii="Times New Roman" w:hAnsi="Times New Roman" w:cs="Times New Roman"/>
                <w:u w:val="single"/>
                <w:lang w:eastAsia="zh-CN"/>
              </w:rPr>
              <w:t>、</w:t>
            </w:r>
            <w:r>
              <w:rPr>
                <w:rFonts w:hint="default" w:ascii="Times New Roman" w:hAnsi="Times New Roman" w:cs="Times New Roman"/>
                <w:u w:val="single"/>
              </w:rPr>
              <w:t>NH</w:t>
            </w:r>
            <w:r>
              <w:rPr>
                <w:rFonts w:hint="default" w:ascii="Times New Roman" w:hAnsi="Times New Roman" w:cs="Times New Roman"/>
                <w:u w:val="single"/>
                <w:vertAlign w:val="subscript"/>
              </w:rPr>
              <w:t>3</w:t>
            </w:r>
            <w:r>
              <w:rPr>
                <w:rFonts w:hint="default" w:ascii="Times New Roman" w:hAnsi="Times New Roman" w:cs="Times New Roman"/>
                <w:u w:val="single"/>
              </w:rPr>
              <w:t>-N总量控制指标由当地生态环境部门进行确认，通过排污权交易或其他渠道获得总量控制指标。</w:t>
            </w:r>
          </w:p>
          <w:p>
            <w:pPr>
              <w:bidi w:val="0"/>
              <w:ind w:firstLine="480" w:firstLineChars="200"/>
              <w:rPr>
                <w:rFonts w:hint="eastAsia" w:cs="Times New Roman"/>
                <w:u w:val="single"/>
                <w:lang w:val="en-US" w:eastAsia="zh-CN"/>
              </w:rPr>
            </w:pPr>
            <w:r>
              <w:rPr>
                <w:rFonts w:hint="eastAsia" w:cs="Times New Roman"/>
                <w:u w:val="single"/>
                <w:lang w:val="en-US" w:eastAsia="zh-CN"/>
              </w:rPr>
              <w:t>根据常德市生态环境局关于印发《常德市建设项目新增主要污染物排放总量管理方案》的通知（常环发[2024]9号）中规定：</w:t>
            </w:r>
          </w:p>
          <w:p>
            <w:pPr>
              <w:bidi w:val="0"/>
              <w:ind w:firstLine="480" w:firstLineChars="200"/>
              <w:rPr>
                <w:rFonts w:hint="default" w:ascii="Times New Roman" w:hAnsi="Times New Roman" w:cs="Times New Roman"/>
                <w:u w:val="single"/>
              </w:rPr>
            </w:pPr>
            <w:r>
              <w:rPr>
                <w:rFonts w:hint="eastAsia" w:cs="Times New Roman"/>
                <w:u w:val="single"/>
                <w:lang w:eastAsia="zh-CN"/>
              </w:rPr>
              <w:t>（</w:t>
            </w:r>
            <w:r>
              <w:rPr>
                <w:rFonts w:hint="eastAsia" w:cs="Times New Roman"/>
                <w:u w:val="single"/>
                <w:lang w:val="en-US" w:eastAsia="zh-CN"/>
              </w:rPr>
              <w:t>七</w:t>
            </w:r>
            <w:r>
              <w:rPr>
                <w:rFonts w:hint="eastAsia" w:cs="Times New Roman"/>
                <w:u w:val="single"/>
                <w:lang w:eastAsia="zh-CN"/>
              </w:rPr>
              <w:t>）</w:t>
            </w:r>
            <w:r>
              <w:rPr>
                <w:rFonts w:hint="default" w:ascii="Times New Roman" w:hAnsi="Times New Roman" w:cs="Times New Roman"/>
                <w:u w:val="single"/>
              </w:rPr>
              <w:t>由政府统筹削减替代来源的建设项目</w:t>
            </w:r>
          </w:p>
          <w:p>
            <w:pPr>
              <w:bidi w:val="0"/>
              <w:ind w:firstLine="480" w:firstLineChars="200"/>
              <w:rPr>
                <w:rFonts w:hint="default" w:ascii="Times New Roman" w:hAnsi="Times New Roman" w:cs="Times New Roman"/>
                <w:u w:val="single"/>
              </w:rPr>
            </w:pPr>
            <w:r>
              <w:rPr>
                <w:rFonts w:hint="default" w:ascii="Times New Roman" w:hAnsi="Times New Roman" w:cs="Times New Roman"/>
                <w:u w:val="single"/>
              </w:rPr>
              <w:t>符合以下情形的建设项目，新增总量由政府(以生态环境部门为主)统筹削减替代来源，建设单位无需在报批环评文件时提交建设项目新增总量削减替代来源说明。</w:t>
            </w:r>
          </w:p>
          <w:p>
            <w:pPr>
              <w:bidi w:val="0"/>
              <w:ind w:firstLine="480" w:firstLineChars="200"/>
              <w:rPr>
                <w:rFonts w:hint="eastAsia" w:ascii="Times New Roman" w:hAnsi="Times New Roman" w:eastAsia="宋体" w:cs="Times New Roman"/>
                <w:u w:val="single"/>
                <w:lang w:eastAsia="zh-CN"/>
              </w:rPr>
            </w:pPr>
            <w:r>
              <w:rPr>
                <w:rFonts w:hint="eastAsia" w:cs="Times New Roman"/>
                <w:u w:val="single"/>
                <w:lang w:val="en-US" w:eastAsia="zh-CN"/>
              </w:rPr>
              <w:t>1、</w:t>
            </w:r>
            <w:r>
              <w:rPr>
                <w:rFonts w:hint="default" w:ascii="Times New Roman" w:hAnsi="Times New Roman" w:cs="Times New Roman"/>
                <w:u w:val="single"/>
              </w:rPr>
              <w:t>NOx、VOCs和COD单项主要污染物的新增量小于0.1吨/年(含0.1吨/年)以及NH</w:t>
            </w:r>
            <w:r>
              <w:rPr>
                <w:rFonts w:hint="default" w:ascii="Times New Roman" w:hAnsi="Times New Roman" w:cs="Times New Roman"/>
                <w:u w:val="single"/>
                <w:vertAlign w:val="subscript"/>
              </w:rPr>
              <w:t>3</w:t>
            </w:r>
            <w:r>
              <w:rPr>
                <w:rFonts w:hint="default" w:ascii="Times New Roman" w:hAnsi="Times New Roman" w:cs="Times New Roman"/>
                <w:u w:val="single"/>
              </w:rPr>
              <w:t>-N的新增量小于0.01吨/年(含0.01吨/年)的建设项目</w:t>
            </w:r>
            <w:r>
              <w:rPr>
                <w:rFonts w:hint="eastAsia" w:cs="Times New Roman"/>
                <w:u w:val="single"/>
                <w:lang w:eastAsia="zh-CN"/>
              </w:rPr>
              <w:t>。</w:t>
            </w:r>
          </w:p>
          <w:p>
            <w:pPr>
              <w:bidi w:val="0"/>
              <w:ind w:firstLine="480" w:firstLineChars="200"/>
              <w:rPr>
                <w:rFonts w:hint="default" w:ascii="Times New Roman" w:hAnsi="Times New Roman" w:cs="Times New Roman"/>
                <w:u w:val="single"/>
                <w:lang w:val="en-US" w:eastAsia="zh-CN"/>
              </w:rPr>
            </w:pPr>
            <w:r>
              <w:rPr>
                <w:rFonts w:hint="default" w:ascii="Times New Roman" w:hAnsi="Times New Roman" w:cs="Times New Roman"/>
                <w:u w:val="single"/>
              </w:rPr>
              <w:t>本项目</w:t>
            </w:r>
            <w:r>
              <w:rPr>
                <w:rFonts w:hint="default" w:ascii="Times New Roman" w:hAnsi="Times New Roman" w:cs="Times New Roman"/>
                <w:u w:val="single"/>
                <w:lang w:val="en-US" w:eastAsia="zh-CN"/>
              </w:rPr>
              <w:t>VOCs</w:t>
            </w:r>
            <w:r>
              <w:rPr>
                <w:rFonts w:hint="eastAsia" w:cs="Times New Roman"/>
                <w:u w:val="single"/>
                <w:lang w:val="en-US" w:eastAsia="zh-CN"/>
              </w:rPr>
              <w:t xml:space="preserve"> 排放量为0.016</w:t>
            </w:r>
            <w:r>
              <w:rPr>
                <w:rFonts w:hint="default" w:ascii="Times New Roman" w:hAnsi="Times New Roman" w:cs="Times New Roman"/>
                <w:u w:val="single"/>
              </w:rPr>
              <w:t>t/a</w:t>
            </w:r>
            <w:r>
              <w:rPr>
                <w:rFonts w:hint="eastAsia" w:cs="Times New Roman"/>
                <w:u w:val="single"/>
                <w:lang w:eastAsia="zh-CN"/>
              </w:rPr>
              <w:t>，</w:t>
            </w:r>
            <w:r>
              <w:rPr>
                <w:rFonts w:hint="eastAsia" w:ascii="宋体" w:hAnsi="宋体" w:cs="宋体"/>
                <w:u w:val="single"/>
                <w:lang w:val="en-US" w:eastAsia="zh-CN"/>
              </w:rPr>
              <w:t>小于</w:t>
            </w:r>
            <w:r>
              <w:rPr>
                <w:rFonts w:hint="default" w:ascii="Times New Roman" w:hAnsi="Times New Roman" w:cs="Times New Roman"/>
                <w:u w:val="single"/>
              </w:rPr>
              <w:t>0.1吨/年</w:t>
            </w:r>
            <w:r>
              <w:rPr>
                <w:rFonts w:hint="eastAsia" w:ascii="Times New Roman" w:hAnsi="Times New Roman" w:cs="Times New Roman"/>
                <w:u w:val="single"/>
                <w:lang w:eastAsia="zh-CN"/>
              </w:rPr>
              <w:t>，</w:t>
            </w:r>
            <w:r>
              <w:rPr>
                <w:rFonts w:hint="eastAsia" w:cs="Times New Roman"/>
                <w:u w:val="single"/>
                <w:lang w:val="en-US" w:eastAsia="zh-CN"/>
              </w:rPr>
              <w:t>因此</w:t>
            </w:r>
            <w:r>
              <w:rPr>
                <w:rFonts w:hint="default" w:ascii="Times New Roman" w:hAnsi="Times New Roman" w:cs="Times New Roman"/>
                <w:u w:val="single"/>
              </w:rPr>
              <w:t>设单位无需在报批环评文件时提交建设项目新增总量削减替代来源说明。</w:t>
            </w:r>
          </w:p>
          <w:p>
            <w:pPr>
              <w:pStyle w:val="27"/>
              <w:bidi w:val="0"/>
              <w:rPr>
                <w:rFonts w:hint="default" w:ascii="Times New Roman" w:hAnsi="Times New Roman" w:cs="Times New Roman"/>
              </w:rPr>
            </w:pPr>
            <w:r>
              <w:rPr>
                <w:rFonts w:hint="default" w:ascii="Times New Roman" w:hAnsi="Times New Roman" w:cs="Times New Roman"/>
              </w:rPr>
              <w:t>表3-</w:t>
            </w:r>
            <w:r>
              <w:rPr>
                <w:rFonts w:hint="eastAsia" w:cs="Times New Roman"/>
                <w:lang w:val="en-US" w:eastAsia="zh-CN"/>
              </w:rPr>
              <w:t>9</w:t>
            </w:r>
            <w:r>
              <w:rPr>
                <w:rFonts w:hint="default" w:ascii="Times New Roman" w:hAnsi="Times New Roman" w:cs="Times New Roman"/>
              </w:rPr>
              <w:t xml:space="preserve">  本项目总量控制指标一览表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128"/>
              <w:gridCol w:w="3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669" w:type="pct"/>
                  <w:gridSpan w:val="2"/>
                  <w:tcBorders>
                    <w:top w:val="single" w:color="auto" w:sz="4" w:space="0"/>
                    <w:left w:val="single" w:color="auto" w:sz="4" w:space="0"/>
                    <w:bottom w:val="single" w:color="auto" w:sz="4" w:space="0"/>
                    <w:right w:val="single" w:color="auto" w:sz="4" w:space="0"/>
                  </w:tcBorders>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lang w:val="en-US" w:eastAsia="zh-CN"/>
                    </w:rPr>
                  </w:pPr>
                  <w:r>
                    <w:rPr>
                      <w:rFonts w:hint="default" w:ascii="Times New Roman" w:hAnsi="Times New Roman" w:eastAsia="宋体" w:cs="Times New Roman"/>
                      <w:b/>
                      <w:bCs/>
                      <w:snapToGrid w:val="0"/>
                      <w:color w:val="auto"/>
                      <w:kern w:val="21"/>
                      <w:szCs w:val="21"/>
                      <w:lang w:val="en-US" w:eastAsia="zh-CN"/>
                    </w:rPr>
                    <w:t>污染物总量控制因子</w:t>
                  </w:r>
                </w:p>
              </w:tc>
              <w:tc>
                <w:tcPr>
                  <w:tcW w:w="2330" w:type="pct"/>
                  <w:tcBorders>
                    <w:top w:val="single" w:color="auto" w:sz="4" w:space="0"/>
                    <w:left w:val="single" w:color="auto" w:sz="4" w:space="0"/>
                    <w:bottom w:val="single" w:color="auto" w:sz="4" w:space="0"/>
                    <w:right w:val="single" w:color="auto" w:sz="4" w:space="0"/>
                  </w:tcBorders>
                  <w:noWrap w:val="0"/>
                  <w:vAlign w:val="center"/>
                </w:tcPr>
                <w:p>
                  <w:pPr>
                    <w:pStyle w:val="26"/>
                    <w:spacing w:beforeLines="0" w:afterLines="0" w:line="240" w:lineRule="auto"/>
                    <w:jc w:val="center"/>
                    <w:rPr>
                      <w:rFonts w:hint="default" w:ascii="Times New Roman" w:hAnsi="Times New Roman" w:eastAsia="宋体" w:cs="Times New Roman"/>
                      <w:b/>
                      <w:bCs/>
                      <w:snapToGrid w:val="0"/>
                      <w:color w:val="auto"/>
                      <w:kern w:val="21"/>
                      <w:szCs w:val="21"/>
                      <w:lang w:val="en-US" w:eastAsia="zh-CN"/>
                    </w:rPr>
                  </w:pPr>
                  <w:r>
                    <w:rPr>
                      <w:rFonts w:hint="default" w:ascii="Times New Roman" w:hAnsi="Times New Roman" w:eastAsia="宋体" w:cs="Times New Roman"/>
                      <w:b/>
                      <w:bCs/>
                      <w:snapToGrid w:val="0"/>
                      <w:color w:val="auto"/>
                      <w:kern w:val="21"/>
                      <w:szCs w:val="21"/>
                      <w:lang w:val="en-US" w:eastAsia="zh-CN"/>
                    </w:rPr>
                    <w:t>德山污水处理厂排放口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32" w:type="pct"/>
                  <w:vMerge w:val="restart"/>
                  <w:tcBorders>
                    <w:top w:val="single" w:color="auto" w:sz="4" w:space="0"/>
                    <w:left w:val="single" w:color="auto" w:sz="4" w:space="0"/>
                    <w:bottom w:val="single" w:color="auto" w:sz="4" w:space="0"/>
                    <w:right w:val="single" w:color="auto" w:sz="4" w:space="0"/>
                  </w:tcBorders>
                  <w:noWrap w:val="0"/>
                  <w:vAlign w:val="center"/>
                </w:tcPr>
                <w:p>
                  <w:pPr>
                    <w:pStyle w:val="26"/>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污水</w:t>
                  </w:r>
                  <w:r>
                    <w:rPr>
                      <w:rFonts w:hint="eastAsia" w:eastAsia="宋体" w:cs="Times New Roman"/>
                      <w:snapToGrid w:val="0"/>
                      <w:color w:val="auto"/>
                      <w:kern w:val="21"/>
                      <w:szCs w:val="21"/>
                      <w:lang w:val="en-US" w:eastAsia="zh-CN"/>
                    </w:rPr>
                    <w:t>（29957t/a）</w:t>
                  </w:r>
                </w:p>
              </w:tc>
              <w:tc>
                <w:tcPr>
                  <w:tcW w:w="1336" w:type="pct"/>
                  <w:tcBorders>
                    <w:top w:val="single" w:color="auto" w:sz="4" w:space="0"/>
                    <w:left w:val="single" w:color="auto" w:sz="4" w:space="0"/>
                    <w:bottom w:val="single" w:color="auto" w:sz="4" w:space="0"/>
                    <w:right w:val="single" w:color="auto" w:sz="4" w:space="0"/>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COD</w:t>
                  </w:r>
                </w:p>
              </w:tc>
              <w:tc>
                <w:tcPr>
                  <w:tcW w:w="2330" w:type="pct"/>
                  <w:tcBorders>
                    <w:top w:val="single" w:color="auto" w:sz="4" w:space="0"/>
                    <w:left w:val="single" w:color="auto" w:sz="4" w:space="0"/>
                    <w:bottom w:val="single" w:color="auto" w:sz="4" w:space="0"/>
                    <w:right w:val="single" w:color="auto" w:sz="4" w:space="0"/>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1.50</w:t>
                  </w:r>
                  <w:r>
                    <w:rPr>
                      <w:rFonts w:hint="default" w:ascii="Times New Roman" w:hAnsi="Times New Roman" w:eastAsia="宋体" w:cs="Times New Roman"/>
                      <w:snapToGrid w:val="0"/>
                      <w:color w:val="auto"/>
                      <w:kern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33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1336" w:type="pct"/>
                  <w:tcBorders>
                    <w:top w:val="single" w:color="auto" w:sz="4" w:space="0"/>
                    <w:left w:val="single" w:color="auto" w:sz="4" w:space="0"/>
                    <w:bottom w:val="single" w:color="auto" w:sz="4" w:space="0"/>
                    <w:right w:val="single" w:color="auto" w:sz="4" w:space="0"/>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NH</w:t>
                  </w:r>
                  <w:r>
                    <w:rPr>
                      <w:rFonts w:hint="default" w:ascii="Times New Roman" w:hAnsi="Times New Roman" w:eastAsia="宋体" w:cs="Times New Roman"/>
                      <w:snapToGrid w:val="0"/>
                      <w:color w:val="auto"/>
                      <w:kern w:val="21"/>
                      <w:szCs w:val="21"/>
                      <w:vertAlign w:val="subscript"/>
                      <w:lang w:val="en-US" w:eastAsia="zh-CN"/>
                    </w:rPr>
                    <w:t>3</w:t>
                  </w:r>
                  <w:r>
                    <w:rPr>
                      <w:rFonts w:hint="default" w:ascii="Times New Roman" w:hAnsi="Times New Roman" w:eastAsia="宋体" w:cs="Times New Roman"/>
                      <w:snapToGrid w:val="0"/>
                      <w:color w:val="auto"/>
                      <w:kern w:val="21"/>
                      <w:szCs w:val="21"/>
                      <w:lang w:val="en-US" w:eastAsia="zh-CN"/>
                    </w:rPr>
                    <w:t>-N</w:t>
                  </w:r>
                </w:p>
              </w:tc>
              <w:tc>
                <w:tcPr>
                  <w:tcW w:w="2330" w:type="pct"/>
                  <w:tcBorders>
                    <w:top w:val="single" w:color="auto" w:sz="4" w:space="0"/>
                    <w:left w:val="single" w:color="auto" w:sz="4" w:space="0"/>
                    <w:bottom w:val="single" w:color="auto" w:sz="4" w:space="0"/>
                    <w:right w:val="single" w:color="auto" w:sz="4" w:space="0"/>
                  </w:tcBorders>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0.15</w:t>
                  </w:r>
                  <w:r>
                    <w:rPr>
                      <w:rFonts w:hint="default" w:ascii="Times New Roman" w:hAnsi="Times New Roman" w:eastAsia="宋体" w:cs="Times New Roman"/>
                      <w:snapToGrid w:val="0"/>
                      <w:color w:val="auto"/>
                      <w:kern w:val="21"/>
                      <w:szCs w:val="21"/>
                      <w:lang w:val="en-US" w:eastAsia="zh-CN"/>
                    </w:rPr>
                    <w:t>t/a</w:t>
                  </w:r>
                </w:p>
              </w:tc>
            </w:tr>
          </w:tbl>
          <w:p>
            <w:pPr>
              <w:rPr>
                <w:rFonts w:hint="default" w:ascii="Times New Roman" w:hAnsi="Times New Roman" w:cs="Times New Roman"/>
              </w:rPr>
            </w:pPr>
          </w:p>
          <w:p>
            <w:pPr>
              <w:pStyle w:val="2"/>
              <w:rPr>
                <w:rFonts w:hint="default"/>
                <w:lang w:val="en-US" w:eastAsia="zh-CN"/>
              </w:rPr>
            </w:pPr>
          </w:p>
        </w:tc>
      </w:tr>
    </w:tbl>
    <w:p>
      <w:pPr>
        <w:pStyle w:val="2"/>
        <w:bidi w:val="0"/>
      </w:pPr>
      <w:bookmarkStart w:id="8" w:name="_Toc10958"/>
      <w:r>
        <w:rPr>
          <w:rFonts w:hint="eastAsia"/>
        </w:rPr>
        <w:t>四、主要环境影响和保护措施</w:t>
      </w:r>
      <w:bookmarkEnd w:id="8"/>
    </w:p>
    <w:tbl>
      <w:tblPr>
        <w:tblStyle w:val="17"/>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80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1117" w:type="dxa"/>
            <w:noWrap w:val="0"/>
            <w:tcMar>
              <w:left w:w="28" w:type="dxa"/>
              <w:right w:w="28" w:type="dxa"/>
            </w:tcMar>
            <w:vAlign w:val="center"/>
          </w:tcPr>
          <w:p>
            <w:pPr>
              <w:pStyle w:val="14"/>
              <w:adjustRightInd w:val="0"/>
              <w:snapToGrid w:val="0"/>
              <w:spacing w:before="0" w:beforeAutospacing="0" w:after="0" w:afterAutospacing="0" w:line="360" w:lineRule="auto"/>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施工</w:t>
            </w:r>
          </w:p>
          <w:p>
            <w:pPr>
              <w:pStyle w:val="14"/>
              <w:adjustRightInd w:val="0"/>
              <w:snapToGrid w:val="0"/>
              <w:spacing w:before="0" w:beforeAutospacing="0" w:after="0" w:afterAutospacing="0" w:line="360" w:lineRule="auto"/>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期环</w:t>
            </w:r>
          </w:p>
          <w:p>
            <w:pPr>
              <w:pStyle w:val="14"/>
              <w:adjustRightInd w:val="0"/>
              <w:snapToGrid w:val="0"/>
              <w:spacing w:before="0" w:beforeAutospacing="0" w:after="0" w:afterAutospacing="0" w:line="360" w:lineRule="auto"/>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境保</w:t>
            </w:r>
          </w:p>
          <w:p>
            <w:pPr>
              <w:pStyle w:val="14"/>
              <w:adjustRightInd w:val="0"/>
              <w:snapToGrid w:val="0"/>
              <w:spacing w:before="0" w:beforeAutospacing="0" w:after="0" w:afterAutospacing="0" w:line="360" w:lineRule="auto"/>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护措</w:t>
            </w:r>
          </w:p>
          <w:p>
            <w:pPr>
              <w:pStyle w:val="14"/>
              <w:adjustRightInd w:val="0"/>
              <w:snapToGrid w:val="0"/>
              <w:spacing w:before="0" w:beforeAutospacing="0" w:after="0" w:afterAutospacing="0" w:line="360" w:lineRule="auto"/>
              <w:jc w:val="center"/>
              <w:rPr>
                <w:rFonts w:hint="default" w:ascii="Times New Roman" w:hAnsi="Times New Roman" w:cs="Times New Roman"/>
                <w:bCs/>
                <w:color w:val="auto"/>
                <w:kern w:val="2"/>
                <w:sz w:val="24"/>
                <w:szCs w:val="24"/>
              </w:rPr>
            </w:pPr>
            <w:r>
              <w:rPr>
                <w:rFonts w:hint="default" w:ascii="Times New Roman" w:hAnsi="Times New Roman" w:cs="Times New Roman"/>
                <w:color w:val="auto"/>
                <w:kern w:val="2"/>
                <w:sz w:val="24"/>
                <w:szCs w:val="24"/>
              </w:rPr>
              <w:t>施</w:t>
            </w:r>
          </w:p>
        </w:tc>
        <w:tc>
          <w:tcPr>
            <w:tcW w:w="8576" w:type="dxa"/>
            <w:noWrap w:val="0"/>
            <w:vAlign w:val="center"/>
          </w:tcPr>
          <w:p>
            <w:pPr>
              <w:adjustRightInd w:val="0"/>
              <w:snapToGrid w:val="0"/>
              <w:spacing w:line="360" w:lineRule="auto"/>
              <w:ind w:firstLine="442" w:firstLineChars="200"/>
              <w:rPr>
                <w:rFonts w:hint="default" w:ascii="Times New Roman" w:hAnsi="Times New Roman" w:cs="Times New Roman"/>
                <w:b/>
                <w:bCs w:val="0"/>
                <w:color w:val="auto"/>
                <w:spacing w:val="-10"/>
                <w:sz w:val="24"/>
                <w:szCs w:val="24"/>
              </w:rPr>
            </w:pPr>
            <w:r>
              <w:rPr>
                <w:rFonts w:hint="default" w:ascii="Times New Roman" w:hAnsi="Times New Roman" w:cs="Times New Roman"/>
                <w:b/>
                <w:bCs w:val="0"/>
                <w:color w:val="auto"/>
                <w:spacing w:val="-10"/>
                <w:sz w:val="24"/>
                <w:szCs w:val="24"/>
              </w:rPr>
              <w:t>1、废气污染控制措施</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（1）扬尘控制措施</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①及时硬化进场施工道路路面，定期在施工现场地面和道路上洒水，以减少施工扬尘的产生。</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②在施工期间，应根据不同空气污染指数范围和大风、高温、干燥、晴天、雨天等各种不同气象条件要求，建立保洁制度，包括洒水、清扫方式、频次等。</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③渣料运输必须采用专用的密封运输车，施工现场应设置车辆冲洗装置，对开出的渣土车辆进行清洗，以减少渣土沿路洒落。</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④对于粉状物料的运输和堆放，必须采取遮盖措施，防止因风吹而引起扬尘。</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（2）汽车尾气及燃油机械废气控制措施</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施工单位应采用尾气排放符合国家规定标准的车辆和施工机械，确保其在运行时尾气达标排放，减少对环境空气的污染。禁止尾气排放不达标的车辆和施工机械运行作业。</w:t>
            </w:r>
          </w:p>
          <w:p>
            <w:pPr>
              <w:adjustRightInd w:val="0"/>
              <w:snapToGrid w:val="0"/>
              <w:spacing w:line="360" w:lineRule="auto"/>
              <w:ind w:firstLine="442" w:firstLineChars="200"/>
              <w:rPr>
                <w:rFonts w:hint="default" w:ascii="Times New Roman" w:hAnsi="Times New Roman" w:cs="Times New Roman"/>
                <w:b/>
                <w:bCs w:val="0"/>
                <w:color w:val="auto"/>
                <w:spacing w:val="-10"/>
                <w:sz w:val="24"/>
                <w:szCs w:val="24"/>
              </w:rPr>
            </w:pPr>
            <w:r>
              <w:rPr>
                <w:rFonts w:hint="default" w:ascii="Times New Roman" w:hAnsi="Times New Roman" w:cs="Times New Roman"/>
                <w:b/>
                <w:bCs w:val="0"/>
                <w:color w:val="auto"/>
                <w:spacing w:val="-10"/>
                <w:sz w:val="24"/>
                <w:szCs w:val="24"/>
              </w:rPr>
              <w:t>2、水污染控制措施</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①施工现场应设置完善的配套排水系统、泥浆沉淀设施，出施工场地的运输车辆经过冲洗后方可上路，建议在施工区车辆出口处，设置施工车辆清洗设施和一个20m</w:t>
            </w:r>
            <w:r>
              <w:rPr>
                <w:rFonts w:hint="default" w:ascii="Times New Roman" w:hAnsi="Times New Roman" w:cs="Times New Roman"/>
                <w:bCs/>
                <w:color w:val="auto"/>
                <w:spacing w:val="-10"/>
                <w:sz w:val="24"/>
                <w:szCs w:val="24"/>
                <w:vertAlign w:val="superscript"/>
              </w:rPr>
              <w:t>3</w:t>
            </w:r>
            <w:r>
              <w:rPr>
                <w:rFonts w:hint="default" w:ascii="Times New Roman" w:hAnsi="Times New Roman" w:cs="Times New Roman"/>
                <w:bCs/>
                <w:color w:val="auto"/>
                <w:spacing w:val="-10"/>
                <w:sz w:val="24"/>
                <w:szCs w:val="24"/>
              </w:rPr>
              <w:t>的沉淀池，冲洗废水经过沉淀处理后，上清液回用作为洗车水或道路洒水降尘。</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②施工人员生活污水经化粪池处理后，排入园区污水管网，经</w:t>
            </w:r>
            <w:r>
              <w:rPr>
                <w:rFonts w:hint="eastAsia" w:cs="Times New Roman"/>
                <w:bCs/>
                <w:color w:val="auto"/>
                <w:spacing w:val="-10"/>
                <w:sz w:val="24"/>
                <w:szCs w:val="24"/>
                <w:lang w:eastAsia="zh-CN"/>
              </w:rPr>
              <w:t>德山</w:t>
            </w:r>
            <w:r>
              <w:rPr>
                <w:rFonts w:hint="default" w:ascii="Times New Roman" w:hAnsi="Times New Roman" w:cs="Times New Roman"/>
                <w:bCs/>
                <w:color w:val="auto"/>
                <w:spacing w:val="-10"/>
                <w:sz w:val="24"/>
                <w:szCs w:val="24"/>
              </w:rPr>
              <w:t>污水处理厂深度处理。</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③做好建筑材料和施工废渣的管理和回收，特别是含有油污的物体，不能露天存放，以免因雨废油水冲刷而污染水体，应用废油桶收集起来，集中保管，定期送有关单位进行处理回收，严禁将废油随意倾倒，造成污染。</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3、噪声污染控制措施</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①选用低噪声施工设备。对动力机械设备应进行定期的维修、养护。</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②合理安排施工作业，尽量避免多台强噪声施工机械在同一地点同时施工。</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③施工期噪声应按《建筑施工场界噪声限值》（GB12523-2011）进行控制，应合理安排施工时间，尽量避免高噪声设备同时施工，应限制夜间高噪声设备的施工时间，在夜间10点至次日早上6点禁止施工。</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④尽量采用各种隔声降噪措施，在项目施工区四周设置施工围墙以减轻施工噪声对附近周边环境的影响等。</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⑤施工运输车辆行驶时应控制速度行驶，减少鸣笛。</w:t>
            </w:r>
          </w:p>
          <w:p>
            <w:pPr>
              <w:adjustRightInd w:val="0"/>
              <w:snapToGrid w:val="0"/>
              <w:spacing w:line="360" w:lineRule="auto"/>
              <w:ind w:firstLine="442" w:firstLineChars="200"/>
              <w:rPr>
                <w:rFonts w:hint="default" w:ascii="Times New Roman" w:hAnsi="Times New Roman" w:cs="Times New Roman"/>
                <w:b/>
                <w:bCs w:val="0"/>
                <w:color w:val="auto"/>
                <w:spacing w:val="-10"/>
                <w:sz w:val="24"/>
                <w:szCs w:val="24"/>
              </w:rPr>
            </w:pPr>
            <w:r>
              <w:rPr>
                <w:rFonts w:hint="default" w:ascii="Times New Roman" w:hAnsi="Times New Roman" w:cs="Times New Roman"/>
                <w:b/>
                <w:bCs w:val="0"/>
                <w:color w:val="auto"/>
                <w:spacing w:val="-10"/>
                <w:sz w:val="24"/>
                <w:szCs w:val="24"/>
              </w:rPr>
              <w:t>4、固体废物污染防治措施</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①在施工过程中施工弃渣均要求集中堆置于临时弃渣场或用于地基填筑，临时弃渣场采取彩条布覆盖等临时防护措施。</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②建议对施工期表土开挖产生的土方设置临时表土堆放场，并采取相应的水土保持措施，在本项目施工后期用于项目区绿化用土，可做到土石方平衡。</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③施工期生活垃圾由施工单位安排专人负责施工人员生活区日常生活垃圾的清扫工作，并配套必要的清扫工具。妥善处理，定期清运由环卫部门。</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④施工过程中的建筑垃圾废弃的砖瓦碎石和渣土应尽量在施工场地域内用于回填或道路的铺设并及时压实；对于不能用于回收固体废物，应与有关部门联系，运往指定的地点堆放、处置，不能随意弃置堆放。</w:t>
            </w:r>
          </w:p>
          <w:p>
            <w:pPr>
              <w:adjustRightInd w:val="0"/>
              <w:snapToGrid w:val="0"/>
              <w:spacing w:line="360" w:lineRule="auto"/>
              <w:ind w:firstLine="442" w:firstLineChars="200"/>
              <w:rPr>
                <w:rFonts w:hint="default" w:ascii="Times New Roman" w:hAnsi="Times New Roman" w:cs="Times New Roman"/>
                <w:b/>
                <w:bCs w:val="0"/>
                <w:color w:val="auto"/>
                <w:spacing w:val="-10"/>
                <w:sz w:val="24"/>
                <w:szCs w:val="24"/>
              </w:rPr>
            </w:pPr>
            <w:r>
              <w:rPr>
                <w:rFonts w:hint="default" w:ascii="Times New Roman" w:hAnsi="Times New Roman" w:cs="Times New Roman"/>
                <w:b/>
                <w:bCs w:val="0"/>
                <w:color w:val="auto"/>
                <w:spacing w:val="-10"/>
                <w:sz w:val="24"/>
                <w:szCs w:val="24"/>
              </w:rPr>
              <w:t>5、生态污染防治措施</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① 施工前在项目周边建临时围墙，设备堆放场、材料堆放场的防径流冲刷措施应加强，废土、弃渣应及时运出填埋，不得随意堆放，防止出现废土、渣处置不妥而导致的水土流失。</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② 生态恢复时，应尽量采用本地种类或常见绿化物种，严禁随意使用非本地物种，避免因生物侵袭给当地的生态系统带来严重伤害。</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③ 提高工程施工效率，缩短施工时间，加强项目两边边坡生态护砌和绿化，减少裸地的暴露时间，减少裸露地表水流失。</w:t>
            </w: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p>
          <w:p>
            <w:pPr>
              <w:adjustRightInd w:val="0"/>
              <w:snapToGrid w:val="0"/>
              <w:spacing w:line="360" w:lineRule="auto"/>
              <w:ind w:firstLine="440" w:firstLineChars="200"/>
              <w:rPr>
                <w:rFonts w:hint="default" w:ascii="Times New Roman" w:hAnsi="Times New Roman" w:cs="Times New Roman"/>
                <w:bCs/>
                <w:color w:val="auto"/>
                <w:spacing w:val="-1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90" w:hRule="atLeast"/>
          <w:jc w:val="center"/>
        </w:trPr>
        <w:tc>
          <w:tcPr>
            <w:tcW w:w="1117" w:type="dxa"/>
            <w:noWrap w:val="0"/>
            <w:tcMar>
              <w:left w:w="28" w:type="dxa"/>
              <w:right w:w="28" w:type="dxa"/>
            </w:tcMar>
            <w:vAlign w:val="center"/>
          </w:tcPr>
          <w:p>
            <w:pPr>
              <w:adjustRightInd w:val="0"/>
              <w:snapToGrid w:val="0"/>
              <w:spacing w:line="360" w:lineRule="auto"/>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pPr>
              <w:adjustRightInd w:val="0"/>
              <w:snapToGrid w:val="0"/>
              <w:spacing w:line="360" w:lineRule="auto"/>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pPr>
              <w:adjustRightInd w:val="0"/>
              <w:snapToGrid w:val="0"/>
              <w:spacing w:line="360" w:lineRule="auto"/>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pPr>
              <w:adjustRightInd w:val="0"/>
              <w:snapToGrid w:val="0"/>
              <w:spacing w:line="360" w:lineRule="auto"/>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pPr>
              <w:adjustRightInd w:val="0"/>
              <w:snapToGrid w:val="0"/>
              <w:spacing w:line="360" w:lineRule="auto"/>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pPr>
              <w:adjustRightInd w:val="0"/>
              <w:snapToGrid w:val="0"/>
              <w:spacing w:line="360" w:lineRule="auto"/>
              <w:jc w:val="center"/>
              <w:rPr>
                <w:rFonts w:hint="default" w:ascii="Times New Roman" w:hAnsi="Times New Roman" w:cs="Times New Roman"/>
                <w:bCs/>
                <w:color w:val="FF0000"/>
                <w:sz w:val="24"/>
                <w:szCs w:val="24"/>
              </w:rPr>
            </w:pPr>
            <w:r>
              <w:rPr>
                <w:rFonts w:hint="default" w:ascii="Times New Roman" w:hAnsi="Times New Roman" w:cs="Times New Roman"/>
                <w:bCs/>
                <w:color w:val="auto"/>
                <w:sz w:val="24"/>
                <w:szCs w:val="24"/>
              </w:rPr>
              <w:t>措施</w:t>
            </w:r>
          </w:p>
        </w:tc>
        <w:tc>
          <w:tcPr>
            <w:tcW w:w="8576" w:type="dxa"/>
            <w:noWrap w:val="0"/>
            <w:vAlign w:val="center"/>
          </w:tcPr>
          <w:p>
            <w:pPr>
              <w:pStyle w:val="2"/>
              <w:bidi w:val="0"/>
              <w:rPr>
                <w:rFonts w:hint="default" w:ascii="Times New Roman" w:hAnsi="Times New Roman" w:cs="Times New Roman"/>
              </w:rPr>
            </w:pPr>
            <w:r>
              <w:rPr>
                <w:rFonts w:hint="default" w:ascii="Times New Roman" w:hAnsi="Times New Roman" w:cs="Times New Roman"/>
                <w:lang w:eastAsia="zh-CN"/>
              </w:rPr>
              <w:t>（一）</w:t>
            </w:r>
            <w:r>
              <w:rPr>
                <w:rFonts w:hint="default" w:ascii="Times New Roman" w:hAnsi="Times New Roman" w:cs="Times New Roman"/>
              </w:rPr>
              <w:t>废气</w:t>
            </w:r>
          </w:p>
          <w:p>
            <w:pPr>
              <w:pStyle w:val="6"/>
              <w:bidi w:val="0"/>
              <w:rPr>
                <w:rFonts w:hint="default" w:ascii="Times New Roman" w:hAnsi="Times New Roman" w:cs="Times New Roman"/>
              </w:rPr>
            </w:pPr>
            <w:r>
              <w:rPr>
                <w:rFonts w:hint="default" w:ascii="Times New Roman" w:hAnsi="Times New Roman" w:cs="Times New Roman"/>
              </w:rPr>
              <w:t>1、废气源强核算</w:t>
            </w:r>
          </w:p>
          <w:p>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）产品生产废气</w:t>
            </w:r>
          </w:p>
          <w:p>
            <w:pPr>
              <w:bidi w:val="0"/>
              <w:ind w:firstLine="480" w:firstLineChars="200"/>
              <w:rPr>
                <w:rFonts w:hint="default" w:ascii="Times New Roman" w:hAnsi="Times New Roman" w:cs="Times New Roman"/>
                <w:lang w:val="en-US" w:eastAsia="zh-CN"/>
              </w:rPr>
            </w:pPr>
            <w:r>
              <w:rPr>
                <w:rFonts w:hint="default" w:ascii="Times New Roman" w:hAnsi="Times New Roman" w:cs="Times New Roman"/>
                <w:u w:val="single"/>
                <w:lang w:val="en-US" w:eastAsia="zh-CN"/>
              </w:rPr>
              <w:t>项目废气包括：称量、制粒粉尘（颗粒物），分析检测过程中产生的废气（</w:t>
            </w:r>
            <w:r>
              <w:rPr>
                <w:rFonts w:hint="eastAsia" w:cs="Times New Roman"/>
                <w:u w:val="single"/>
                <w:lang w:val="en-US" w:eastAsia="zh-CN"/>
              </w:rPr>
              <w:t>挥发性有机物</w:t>
            </w:r>
            <w:r>
              <w:rPr>
                <w:rFonts w:hint="default" w:ascii="Times New Roman" w:hAnsi="Times New Roman" w:cs="Times New Roman"/>
                <w:u w:val="single"/>
                <w:lang w:val="en-US" w:eastAsia="zh-CN"/>
              </w:rPr>
              <w:t>）。</w:t>
            </w:r>
          </w:p>
          <w:p>
            <w:pPr>
              <w:bidi w:val="0"/>
              <w:ind w:firstLine="480" w:firstLineChars="200"/>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①粉尘</w:t>
            </w:r>
          </w:p>
          <w:p>
            <w:pPr>
              <w:bidi w:val="0"/>
              <w:spacing w:line="360" w:lineRule="auto"/>
              <w:rPr>
                <w:rFonts w:hint="default" w:ascii="Times New Roman" w:hAnsi="Times New Roman" w:cs="Times New Roman"/>
                <w:u w:val="single"/>
                <w:lang w:val="en-US" w:eastAsia="zh-CN"/>
              </w:rPr>
            </w:pPr>
            <w:r>
              <w:rPr>
                <w:rFonts w:hint="default" w:ascii="Times New Roman" w:hAnsi="Times New Roman" w:cs="Times New Roman"/>
                <w:u w:val="none"/>
                <w:lang w:val="en-US" w:eastAsia="zh-CN"/>
              </w:rPr>
              <w:t xml:space="preserve">   </w:t>
            </w:r>
            <w:r>
              <w:rPr>
                <w:rFonts w:hint="default" w:ascii="Times New Roman" w:hAnsi="Times New Roman" w:cs="Times New Roman"/>
                <w:u w:val="single"/>
                <w:lang w:val="en-US" w:eastAsia="zh-CN"/>
              </w:rPr>
              <w:t>项目在配料、混合、整粒、制粒、总混、压片、包衣等工序均会产生粉尘。项目配料、混合、整粒、制粒、总混、压片、包衣等设备均在单独的房间内，其中混合、整粒、制粒、总混等工序均是在密闭设备内进行，粉尘在正常情况下不会溢出，收集的粉尘在设备内回收利用。因此项目主要粉尘产生工序为配料、压片、包衣工序。本项目所有的固体物质的使用量为</w:t>
            </w:r>
            <w:r>
              <w:rPr>
                <w:rFonts w:hint="eastAsia" w:cs="Times New Roman"/>
                <w:u w:val="single"/>
                <w:lang w:val="en-US" w:eastAsia="zh-CN"/>
              </w:rPr>
              <w:t>2.816</w:t>
            </w:r>
            <w:r>
              <w:rPr>
                <w:rFonts w:hint="default" w:ascii="Times New Roman" w:hAnsi="Times New Roman" w:cs="Times New Roman"/>
                <w:u w:val="single"/>
                <w:lang w:val="en-US" w:eastAsia="zh-CN"/>
              </w:rPr>
              <w:t>t/a，类比同类型企业，颗粒物产生量约占物料用量的1%，则项目颗粒物产生量为</w:t>
            </w:r>
            <w:r>
              <w:rPr>
                <w:rFonts w:hint="eastAsia" w:cs="Times New Roman"/>
                <w:u w:val="single"/>
                <w:lang w:val="en-US" w:eastAsia="zh-CN"/>
              </w:rPr>
              <w:t>0.028</w:t>
            </w:r>
            <w:r>
              <w:rPr>
                <w:rFonts w:hint="default" w:ascii="Times New Roman" w:hAnsi="Times New Roman" w:cs="Times New Roman"/>
                <w:u w:val="single"/>
                <w:lang w:val="en-US" w:eastAsia="zh-CN"/>
              </w:rPr>
              <w:t>t/a，项目年工作时间为300天，每天8h，生产过程为滚动批次生产，故按所有工序同时连续进行考虑，则粉尘产生速率为</w:t>
            </w:r>
            <w:r>
              <w:rPr>
                <w:rFonts w:hint="eastAsia" w:cs="Times New Roman"/>
                <w:u w:val="single"/>
                <w:lang w:val="en-US" w:eastAsia="zh-CN"/>
              </w:rPr>
              <w:t>0.12</w:t>
            </w:r>
            <w:r>
              <w:rPr>
                <w:rFonts w:hint="default" w:ascii="Times New Roman" w:hAnsi="Times New Roman" w:cs="Times New Roman"/>
                <w:u w:val="single"/>
                <w:lang w:val="en-US" w:eastAsia="zh-CN"/>
              </w:rPr>
              <w:t>kg/h。</w:t>
            </w:r>
          </w:p>
          <w:p>
            <w:pPr>
              <w:keepNext w:val="0"/>
              <w:keepLines w:val="0"/>
              <w:widowControl/>
              <w:suppressLineNumbers w:val="0"/>
              <w:ind w:firstLine="480" w:firstLineChars="200"/>
              <w:jc w:val="left"/>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项目生产车间为设计的洁净厂房，洁净区为密闭空间，洁净区内的通风由净化空调系统完成，空调管路包括送风、回风和排风系统，送风和排风系统都安装高效空气过滤器，废气最终通过车间排气口（位于厂房屋顶）排放。配料、压片、包衣工序均在洁净区内进行，称量配料间、压片车间、包衣车间采用负压设计，并采用单机除尘装置就地除尘，除尘设备排气口与</w:t>
            </w:r>
            <w:r>
              <w:rPr>
                <w:rFonts w:hint="eastAsia" w:cs="Times New Roman"/>
                <w:u w:val="single"/>
                <w:lang w:val="en-US" w:eastAsia="zh-CN"/>
              </w:rPr>
              <w:t>车间整体配套的通风除尘系统连接</w:t>
            </w:r>
            <w:r>
              <w:rPr>
                <w:rFonts w:hint="default" w:ascii="Times New Roman" w:hAnsi="Times New Roman" w:cs="Times New Roman"/>
                <w:u w:val="single"/>
                <w:lang w:val="en-US" w:eastAsia="zh-CN"/>
              </w:rPr>
              <w:t>。配料、压片、包衣粉尘经</w:t>
            </w:r>
            <w:r>
              <w:rPr>
                <w:rFonts w:hint="eastAsia" w:cs="Times New Roman"/>
                <w:u w:val="single"/>
                <w:lang w:val="en-US" w:eastAsia="zh-CN"/>
              </w:rPr>
              <w:t>设备自带</w:t>
            </w:r>
            <w:r>
              <w:rPr>
                <w:rFonts w:hint="default" w:ascii="Times New Roman" w:hAnsi="Times New Roman" w:cs="Times New Roman"/>
                <w:u w:val="single"/>
                <w:lang w:val="en-US" w:eastAsia="zh-CN"/>
              </w:rPr>
              <w:t>除尘装置</w:t>
            </w:r>
            <w:r>
              <w:rPr>
                <w:rFonts w:hint="eastAsia" w:cs="Times New Roman"/>
                <w:u w:val="single"/>
                <w:lang w:val="en-US" w:eastAsia="zh-CN"/>
              </w:rPr>
              <w:t>和车间整体通风除尘系统</w:t>
            </w:r>
            <w:r>
              <w:rPr>
                <w:rFonts w:hint="default" w:ascii="Times New Roman" w:hAnsi="Times New Roman" w:cs="Times New Roman"/>
                <w:u w:val="single"/>
                <w:lang w:val="en-US" w:eastAsia="zh-CN"/>
              </w:rPr>
              <w:t>处理后（收集效率为90%，处理效率按9</w:t>
            </w:r>
            <w:r>
              <w:rPr>
                <w:rFonts w:hint="eastAsia" w:cs="Times New Roman"/>
                <w:u w:val="single"/>
                <w:lang w:val="en-US" w:eastAsia="zh-CN"/>
              </w:rPr>
              <w:t>5</w:t>
            </w:r>
            <w:r>
              <w:rPr>
                <w:rFonts w:hint="default" w:ascii="Times New Roman" w:hAnsi="Times New Roman" w:cs="Times New Roman"/>
                <w:u w:val="single"/>
                <w:lang w:val="en-US" w:eastAsia="zh-CN"/>
              </w:rPr>
              <w:t>%计）通过车间排气口（位于厂房屋顶）排放（</w:t>
            </w:r>
            <w:r>
              <w:rPr>
                <w:rFonts w:hint="eastAsia" w:cs="Times New Roman"/>
                <w:u w:val="single"/>
                <w:lang w:val="en-US" w:eastAsia="zh-CN"/>
              </w:rPr>
              <w:t>DA001</w:t>
            </w:r>
            <w:r>
              <w:rPr>
                <w:rFonts w:hint="default" w:ascii="Times New Roman" w:hAnsi="Times New Roman" w:cs="Times New Roman"/>
                <w:u w:val="single"/>
                <w:lang w:val="en-US" w:eastAsia="zh-CN"/>
              </w:rPr>
              <w:t>，排气筒高度</w:t>
            </w:r>
            <w:r>
              <w:rPr>
                <w:rFonts w:hint="eastAsia" w:cs="Times New Roman"/>
                <w:u w:val="single"/>
                <w:lang w:val="en-US" w:eastAsia="zh-CN"/>
              </w:rPr>
              <w:t>20</w:t>
            </w:r>
            <w:r>
              <w:rPr>
                <w:rFonts w:hint="default" w:ascii="Times New Roman" w:hAnsi="Times New Roman" w:cs="Times New Roman"/>
                <w:u w:val="single"/>
                <w:lang w:val="en-US" w:eastAsia="zh-CN"/>
              </w:rPr>
              <w:t>m），排风量3000m</w:t>
            </w:r>
            <w:r>
              <w:rPr>
                <w:rFonts w:hint="default" w:ascii="Times New Roman" w:hAnsi="Times New Roman" w:cs="Times New Roman"/>
                <w:u w:val="single"/>
                <w:vertAlign w:val="superscript"/>
                <w:lang w:val="en-US" w:eastAsia="zh-CN"/>
              </w:rPr>
              <w:t>3</w:t>
            </w:r>
            <w:r>
              <w:rPr>
                <w:rFonts w:hint="default" w:ascii="Times New Roman" w:hAnsi="Times New Roman" w:cs="Times New Roman"/>
                <w:u w:val="single"/>
                <w:lang w:val="en-US" w:eastAsia="zh-CN"/>
              </w:rPr>
              <w:t>/h。采取上述措施后，项目粉尘排放量为</w:t>
            </w:r>
            <w:r>
              <w:rPr>
                <w:rFonts w:hint="eastAsia" w:cs="Times New Roman"/>
                <w:u w:val="single"/>
                <w:lang w:val="en-US" w:eastAsia="zh-CN"/>
              </w:rPr>
              <w:t>0.005</w:t>
            </w:r>
            <w:r>
              <w:rPr>
                <w:rFonts w:hint="default" w:ascii="Times New Roman" w:hAnsi="Times New Roman" w:cs="Times New Roman"/>
                <w:u w:val="single"/>
                <w:lang w:val="en-US" w:eastAsia="zh-CN"/>
              </w:rPr>
              <w:t>t/a，排放速率为</w:t>
            </w:r>
            <w:r>
              <w:rPr>
                <w:rFonts w:hint="eastAsia" w:cs="Times New Roman"/>
                <w:u w:val="single"/>
                <w:lang w:val="en-US" w:eastAsia="zh-CN"/>
              </w:rPr>
              <w:t>0.003</w:t>
            </w:r>
            <w:r>
              <w:rPr>
                <w:rFonts w:hint="default" w:ascii="Times New Roman" w:hAnsi="Times New Roman" w:cs="Times New Roman"/>
                <w:u w:val="single"/>
                <w:lang w:val="en-US" w:eastAsia="zh-CN"/>
              </w:rPr>
              <w:t>kg/h，排放浓度约为</w:t>
            </w:r>
            <w:r>
              <w:rPr>
                <w:rFonts w:hint="eastAsia" w:cs="Times New Roman"/>
                <w:u w:val="single"/>
                <w:lang w:val="en-US" w:eastAsia="zh-CN"/>
              </w:rPr>
              <w:t>1</w:t>
            </w:r>
            <w:r>
              <w:rPr>
                <w:rFonts w:hint="default" w:ascii="Times New Roman" w:hAnsi="Times New Roman" w:cs="Times New Roman"/>
                <w:u w:val="single"/>
                <w:lang w:val="en-US" w:eastAsia="zh-CN"/>
              </w:rPr>
              <w:t>mg/m</w:t>
            </w:r>
            <w:r>
              <w:rPr>
                <w:rFonts w:hint="default" w:ascii="Times New Roman" w:hAnsi="Times New Roman" w:cs="Times New Roman"/>
                <w:u w:val="single"/>
                <w:vertAlign w:val="superscript"/>
                <w:lang w:val="en-US" w:eastAsia="zh-CN"/>
              </w:rPr>
              <w:t>3</w:t>
            </w:r>
            <w:r>
              <w:rPr>
                <w:rFonts w:hint="default" w:ascii="Times New Roman" w:hAnsi="Times New Roman" w:cs="Times New Roman"/>
                <w:u w:val="single"/>
                <w:lang w:val="en-US" w:eastAsia="zh-CN"/>
              </w:rPr>
              <w:t>，粉尘排放能够满足《制药工业大气污染物排放标准》（GB37823-2019）表</w:t>
            </w:r>
            <w:r>
              <w:rPr>
                <w:rFonts w:hint="eastAsia" w:cs="Times New Roman"/>
                <w:u w:val="single"/>
                <w:lang w:val="en-US" w:eastAsia="zh-CN"/>
              </w:rPr>
              <w:t>1</w:t>
            </w:r>
            <w:r>
              <w:rPr>
                <w:rFonts w:hint="default" w:ascii="Times New Roman" w:hAnsi="Times New Roman" w:cs="Times New Roman"/>
                <w:u w:val="single"/>
                <w:lang w:val="en-US" w:eastAsia="zh-CN"/>
              </w:rPr>
              <w:t>标准要求（颗粒物：</w:t>
            </w:r>
            <w:r>
              <w:rPr>
                <w:rFonts w:hint="eastAsia" w:cs="Times New Roman"/>
                <w:u w:val="single"/>
                <w:lang w:val="en-US" w:eastAsia="zh-CN"/>
              </w:rPr>
              <w:t>3</w:t>
            </w:r>
            <w:r>
              <w:rPr>
                <w:rFonts w:hint="default" w:ascii="Times New Roman" w:hAnsi="Times New Roman" w:cs="Times New Roman"/>
                <w:u w:val="single"/>
                <w:lang w:val="en-US" w:eastAsia="zh-CN"/>
              </w:rPr>
              <w:t>0mg/m</w:t>
            </w:r>
            <w:r>
              <w:rPr>
                <w:rFonts w:hint="default" w:ascii="Times New Roman" w:hAnsi="Times New Roman" w:cs="Times New Roman"/>
                <w:u w:val="single"/>
                <w:vertAlign w:val="superscript"/>
                <w:lang w:val="en-US" w:eastAsia="zh-CN"/>
              </w:rPr>
              <w:t>3</w:t>
            </w:r>
            <w:r>
              <w:rPr>
                <w:rFonts w:hint="default" w:ascii="Times New Roman" w:hAnsi="Times New Roman" w:cs="Times New Roman"/>
                <w:u w:val="single"/>
                <w:lang w:val="en-US" w:eastAsia="zh-CN"/>
              </w:rPr>
              <w:t>），做到达标排放。</w:t>
            </w:r>
          </w:p>
          <w:p>
            <w:pPr>
              <w:ind w:firstLine="480" w:firstLineChars="200"/>
              <w:rPr>
                <w:rFonts w:hint="default" w:ascii="Times New Roman" w:hAnsi="Times New Roman" w:cs="Times New Roman"/>
                <w:u w:val="single"/>
                <w:lang w:eastAsia="zh-CN"/>
              </w:rPr>
            </w:pPr>
            <w:r>
              <w:rPr>
                <w:rFonts w:hint="default" w:ascii="Times New Roman" w:hAnsi="Times New Roman" w:cs="Times New Roman"/>
                <w:u w:val="single"/>
                <w:lang w:eastAsia="zh-CN"/>
              </w:rPr>
              <w:t>②有机废气</w:t>
            </w:r>
          </w:p>
          <w:p>
            <w:pPr>
              <w:keepNext w:val="0"/>
              <w:keepLines w:val="0"/>
              <w:widowControl/>
              <w:suppressLineNumbers w:val="0"/>
              <w:ind w:firstLine="480" w:firstLineChars="200"/>
              <w:jc w:val="left"/>
              <w:rPr>
                <w:rFonts w:hint="default" w:ascii="Times New Roman" w:hAnsi="Times New Roman" w:cs="Times New Roman"/>
                <w:u w:val="single"/>
              </w:rPr>
            </w:pPr>
            <w:r>
              <w:rPr>
                <w:rFonts w:hint="default" w:ascii="Times New Roman" w:hAnsi="Times New Roman" w:cs="Times New Roman"/>
                <w:u w:val="single"/>
                <w:lang w:val="en-US" w:eastAsia="zh-CN"/>
              </w:rPr>
              <w:t>项目产品质检时，利用高效液相色谱仪、分光光度计等设备分析各类质控指标，主要包括有效物质含量、均匀度、溶出度、药品稳定性及微生物等质控指标进行分析。溶液配置均在通风柜内完成，对配置完成的溶液采用相应的设备进行各参数测定。实验过程中会产生少量的实验废气，根据建设单位提供的原辅料表可知，实验废气主要来源于挥发性酸、碱及有机试剂取液和操作过程中挥发出的废气。</w:t>
            </w:r>
          </w:p>
          <w:p>
            <w:pPr>
              <w:keepNext w:val="0"/>
              <w:keepLines w:val="0"/>
              <w:widowControl/>
              <w:suppressLineNumbers w:val="0"/>
              <w:ind w:firstLine="480" w:firstLineChars="200"/>
              <w:jc w:val="both"/>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根据建设单位提供资料，项目质检使用的挥发性有机试剂用量约</w:t>
            </w:r>
            <w:r>
              <w:rPr>
                <w:rFonts w:hint="eastAsia" w:cs="Times New Roman"/>
                <w:u w:val="single"/>
                <w:lang w:val="en-US" w:eastAsia="zh-CN"/>
              </w:rPr>
              <w:t>0.926</w:t>
            </w:r>
            <w:r>
              <w:rPr>
                <w:rFonts w:hint="default" w:ascii="Times New Roman" w:hAnsi="Times New Roman" w:cs="Times New Roman"/>
                <w:u w:val="single"/>
                <w:lang w:val="en-US" w:eastAsia="zh-CN"/>
              </w:rPr>
              <w:t>t/a，有机废气产量按试剂使用量的10%计算，则有机废气产生量为</w:t>
            </w:r>
            <w:r>
              <w:rPr>
                <w:rFonts w:hint="eastAsia" w:cs="Times New Roman"/>
                <w:u w:val="single"/>
                <w:lang w:val="en-US" w:eastAsia="zh-CN"/>
              </w:rPr>
              <w:t>0.093</w:t>
            </w:r>
            <w:r>
              <w:rPr>
                <w:rFonts w:hint="default" w:ascii="Times New Roman" w:hAnsi="Times New Roman" w:cs="Times New Roman"/>
                <w:u w:val="single"/>
                <w:lang w:val="en-US" w:eastAsia="zh-CN"/>
              </w:rPr>
              <w:t>t/a。项目年工作时间为300天，质检按每天工作2h计，则有机废气产生速率为</w:t>
            </w:r>
            <w:r>
              <w:rPr>
                <w:rFonts w:hint="eastAsia" w:cs="Times New Roman"/>
                <w:u w:val="single"/>
                <w:lang w:val="en-US" w:eastAsia="zh-CN"/>
              </w:rPr>
              <w:t>0.16</w:t>
            </w:r>
            <w:r>
              <w:rPr>
                <w:rFonts w:hint="default" w:ascii="Times New Roman" w:hAnsi="Times New Roman" w:cs="Times New Roman"/>
                <w:u w:val="single"/>
                <w:lang w:val="en-US" w:eastAsia="zh-CN"/>
              </w:rPr>
              <w:t>kg/h。建设单位拟在实验台上方设置万向集气罩，实验过程中产生的有机废气通过通风柜和集气罩收集（废气收集率≥90%）汇总经1套“过滤棉除湿+活性炭吸附装置”处理后（净化效率≥90%）通过实验室设置的排气口（位于厂房屋顶）排放（</w:t>
            </w:r>
            <w:r>
              <w:rPr>
                <w:rFonts w:hint="eastAsia" w:cs="Times New Roman"/>
                <w:u w:val="single"/>
                <w:lang w:val="en-US" w:eastAsia="zh-CN"/>
              </w:rPr>
              <w:t>DA002</w:t>
            </w:r>
            <w:r>
              <w:rPr>
                <w:rFonts w:hint="default" w:ascii="Times New Roman" w:hAnsi="Times New Roman" w:cs="Times New Roman"/>
                <w:u w:val="single"/>
                <w:lang w:val="en-US" w:eastAsia="zh-CN"/>
              </w:rPr>
              <w:t>，排气筒高度</w:t>
            </w:r>
            <w:r>
              <w:rPr>
                <w:rFonts w:hint="eastAsia" w:cs="Times New Roman"/>
                <w:u w:val="single"/>
                <w:lang w:val="en-US" w:eastAsia="zh-CN"/>
              </w:rPr>
              <w:t>25</w:t>
            </w:r>
            <w:r>
              <w:rPr>
                <w:rFonts w:hint="default" w:ascii="Times New Roman" w:hAnsi="Times New Roman" w:cs="Times New Roman"/>
                <w:u w:val="single"/>
                <w:lang w:val="en-US" w:eastAsia="zh-CN"/>
              </w:rPr>
              <w:t>m）风量4000m</w:t>
            </w:r>
            <w:r>
              <w:rPr>
                <w:rFonts w:hint="default" w:ascii="Times New Roman" w:hAnsi="Times New Roman" w:cs="Times New Roman"/>
                <w:u w:val="single"/>
                <w:vertAlign w:val="superscript"/>
                <w:lang w:val="en-US" w:eastAsia="zh-CN"/>
              </w:rPr>
              <w:t>3</w:t>
            </w:r>
            <w:r>
              <w:rPr>
                <w:rFonts w:hint="default" w:ascii="Times New Roman" w:hAnsi="Times New Roman" w:cs="Times New Roman"/>
                <w:u w:val="single"/>
                <w:lang w:val="en-US" w:eastAsia="zh-CN"/>
              </w:rPr>
              <w:t>/h，项目有机废气排放量为</w:t>
            </w:r>
            <w:r>
              <w:rPr>
                <w:rFonts w:hint="eastAsia" w:cs="Times New Roman"/>
                <w:u w:val="single"/>
                <w:lang w:val="en-US" w:eastAsia="zh-CN"/>
              </w:rPr>
              <w:t>0.008</w:t>
            </w:r>
            <w:r>
              <w:rPr>
                <w:rFonts w:hint="default" w:ascii="Times New Roman" w:hAnsi="Times New Roman" w:cs="Times New Roman"/>
                <w:u w:val="single"/>
                <w:lang w:val="en-US" w:eastAsia="zh-CN"/>
              </w:rPr>
              <w:t>t/a，排放速率为</w:t>
            </w:r>
            <w:r>
              <w:rPr>
                <w:rFonts w:hint="eastAsia" w:cs="Times New Roman"/>
                <w:u w:val="single"/>
                <w:lang w:val="en-US" w:eastAsia="zh-CN"/>
              </w:rPr>
              <w:t>0.01</w:t>
            </w:r>
            <w:r>
              <w:rPr>
                <w:rFonts w:hint="default" w:ascii="Times New Roman" w:hAnsi="Times New Roman" w:cs="Times New Roman"/>
                <w:u w:val="single"/>
                <w:lang w:val="en-US" w:eastAsia="zh-CN"/>
              </w:rPr>
              <w:t>kg/h，排放浓度约为</w:t>
            </w:r>
            <w:r>
              <w:rPr>
                <w:rFonts w:hint="eastAsia" w:cs="Times New Roman"/>
                <w:u w:val="single"/>
                <w:lang w:val="en-US" w:eastAsia="zh-CN"/>
              </w:rPr>
              <w:t>2.5</w:t>
            </w:r>
            <w:r>
              <w:rPr>
                <w:rFonts w:hint="default" w:ascii="Times New Roman" w:hAnsi="Times New Roman" w:cs="Times New Roman"/>
                <w:u w:val="single"/>
                <w:lang w:val="en-US" w:eastAsia="zh-CN"/>
              </w:rPr>
              <w:t>mg/m</w:t>
            </w:r>
            <w:r>
              <w:rPr>
                <w:rFonts w:hint="default" w:ascii="Times New Roman" w:hAnsi="Times New Roman" w:cs="Times New Roman"/>
                <w:u w:val="single"/>
                <w:vertAlign w:val="superscript"/>
                <w:lang w:val="en-US" w:eastAsia="zh-CN"/>
              </w:rPr>
              <w:t>3</w:t>
            </w:r>
            <w:r>
              <w:rPr>
                <w:rFonts w:hint="default" w:ascii="Times New Roman" w:hAnsi="Times New Roman" w:cs="Times New Roman"/>
                <w:u w:val="single"/>
                <w:lang w:val="en-US" w:eastAsia="zh-CN"/>
              </w:rPr>
              <w:t>。</w:t>
            </w:r>
          </w:p>
          <w:p>
            <w:pPr>
              <w:keepNext w:val="0"/>
              <w:keepLines w:val="0"/>
              <w:widowControl/>
              <w:suppressLineNumbers w:val="0"/>
              <w:ind w:firstLine="480" w:firstLineChars="200"/>
              <w:jc w:val="left"/>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采取上述措施后，VOCs排放能够满足能够满足《制药工业大气污染物排放标准》（GB37823-2019）表</w:t>
            </w:r>
            <w:r>
              <w:rPr>
                <w:rFonts w:hint="eastAsia" w:cs="Times New Roman"/>
                <w:u w:val="single"/>
                <w:lang w:val="en-US" w:eastAsia="zh-CN"/>
              </w:rPr>
              <w:t>1</w:t>
            </w:r>
            <w:r>
              <w:rPr>
                <w:rFonts w:hint="default" w:ascii="Times New Roman" w:hAnsi="Times New Roman" w:cs="Times New Roman"/>
                <w:u w:val="single"/>
                <w:lang w:val="en-US" w:eastAsia="zh-CN"/>
              </w:rPr>
              <w:t>标准要求（150mg/m</w:t>
            </w:r>
            <w:r>
              <w:rPr>
                <w:rFonts w:hint="default" w:ascii="Times New Roman" w:hAnsi="Times New Roman" w:cs="Times New Roman"/>
                <w:u w:val="single"/>
                <w:vertAlign w:val="superscript"/>
                <w:lang w:val="en-US" w:eastAsia="zh-CN"/>
              </w:rPr>
              <w:t>3</w:t>
            </w:r>
            <w:r>
              <w:rPr>
                <w:rFonts w:hint="default" w:ascii="Times New Roman" w:hAnsi="Times New Roman" w:cs="Times New Roman"/>
                <w:u w:val="single"/>
                <w:lang w:val="en-US" w:eastAsia="zh-CN"/>
              </w:rPr>
              <w:t>），做到达标排放。</w:t>
            </w:r>
          </w:p>
          <w:p>
            <w:pPr>
              <w:keepNext w:val="0"/>
              <w:keepLines w:val="0"/>
              <w:widowControl/>
              <w:suppressLineNumbers w:val="0"/>
              <w:ind w:firstLine="480" w:firstLineChars="200"/>
              <w:jc w:val="left"/>
              <w:rPr>
                <w:rFonts w:hint="eastAsia" w:cs="Times New Roman"/>
                <w:u w:val="single"/>
                <w:lang w:val="en-US" w:eastAsia="zh-CN"/>
              </w:rPr>
            </w:pPr>
            <w:r>
              <w:rPr>
                <w:rFonts w:hint="default" w:ascii="Times New Roman" w:hAnsi="Times New Roman" w:cs="Times New Roman"/>
                <w:u w:val="single"/>
                <w:lang w:val="en-US" w:eastAsia="zh-CN"/>
              </w:rPr>
              <w:t>废过滤棉和废活性炭：根据相关资料表明，1吨活性炭对有机废气的最大吸附量约为300~350kg。本次环评按330kg/t计，根据计算，活性炭吸附的有机废气量约为</w:t>
            </w:r>
            <w:r>
              <w:rPr>
                <w:rFonts w:hint="eastAsia" w:cs="Times New Roman"/>
                <w:u w:val="single"/>
                <w:lang w:val="en-US" w:eastAsia="zh-CN"/>
              </w:rPr>
              <w:t>0.075</w:t>
            </w:r>
            <w:r>
              <w:rPr>
                <w:rFonts w:hint="default" w:ascii="Times New Roman" w:hAnsi="Times New Roman" w:cs="Times New Roman"/>
                <w:u w:val="single"/>
                <w:lang w:val="en-US" w:eastAsia="zh-CN"/>
              </w:rPr>
              <w:t>t/a，则需要活性炭约</w:t>
            </w:r>
            <w:r>
              <w:rPr>
                <w:rFonts w:hint="eastAsia" w:cs="Times New Roman"/>
                <w:u w:val="single"/>
                <w:lang w:val="en-US" w:eastAsia="zh-CN"/>
              </w:rPr>
              <w:t>0.025</w:t>
            </w:r>
            <w:r>
              <w:rPr>
                <w:rFonts w:hint="default" w:ascii="Times New Roman" w:hAnsi="Times New Roman" w:cs="Times New Roman"/>
                <w:u w:val="single"/>
                <w:lang w:val="en-US" w:eastAsia="zh-CN"/>
              </w:rPr>
              <w:t>t/a。活性炭必须按照吸附能力定期更换，环评要求建设单位每三个月更换一次，更换下来的废活性炭采用密封桶收集暂存于危废暂存间，定期交由有资质单位处置。过滤棉除湿装置拟一次性装入过滤棉5kg，每三个月更换一次，则更换下来的废过滤棉产生量约0.02t/a。</w:t>
            </w:r>
            <w:r>
              <w:rPr>
                <w:rFonts w:hint="eastAsia" w:cs="Times New Roman"/>
                <w:u w:val="single"/>
                <w:lang w:val="en-US" w:eastAsia="zh-CN"/>
              </w:rPr>
              <w:t>本项目生产车间废气及实验室废气处理工艺流程分别见下图4-1及4-2。</w:t>
            </w:r>
          </w:p>
          <w:p>
            <w:pPr>
              <w:pStyle w:val="2"/>
              <w:rPr>
                <w:rFonts w:hint="default"/>
                <w:lang w:val="en-US" w:eastAsia="zh-CN"/>
              </w:rPr>
            </w:pPr>
            <w:r>
              <w:rPr>
                <w:rFonts w:hint="default"/>
                <w:lang w:val="en-US" w:eastAsia="zh-CN"/>
              </w:rPr>
              <w:object>
                <v:shape id="_x0000_i1046" o:spt="75" type="#_x0000_t75" style="height:209.25pt;width:143.95pt;" o:ole="t" filled="f" o:preferrelative="t" stroked="f" coordsize="21600,21600">
                  <v:path/>
                  <v:fill on="f" focussize="0,0"/>
                  <v:stroke on="f"/>
                  <v:imagedata r:id="rId25" o:title=""/>
                  <o:lock v:ext="edit" aspectratio="f"/>
                  <w10:wrap type="none"/>
                  <w10:anchorlock/>
                </v:shape>
                <o:OLEObject Type="Embed" ProgID="Visio.Drawing.11" ShapeID="_x0000_i1046" DrawAspect="Content" ObjectID="_1468075731" r:id="rId24">
                  <o:LockedField>false</o:LockedField>
                </o:OLEObject>
              </w:object>
            </w:r>
            <w:r>
              <w:rPr>
                <w:rFonts w:hint="eastAsia"/>
                <w:lang w:val="en-US" w:eastAsia="zh-CN"/>
              </w:rPr>
              <w:t xml:space="preserve">        </w:t>
            </w:r>
            <w:r>
              <w:rPr>
                <w:rFonts w:hint="default"/>
                <w:lang w:val="en-US" w:eastAsia="zh-CN"/>
              </w:rPr>
              <w:object>
                <v:shape id="_x0000_i1047" o:spt="75" type="#_x0000_t75" style="height:195pt;width:143.95pt;" o:ole="t" filled="f" o:preferrelative="t" stroked="f" coordsize="21600,21600">
                  <v:path/>
                  <v:fill on="f" focussize="0,0"/>
                  <v:stroke on="f"/>
                  <v:imagedata r:id="rId27" o:title=""/>
                  <o:lock v:ext="edit" aspectratio="f"/>
                  <w10:wrap type="none"/>
                  <w10:anchorlock/>
                </v:shape>
                <o:OLEObject Type="Embed" ProgID="Visio.Drawing.11" ShapeID="_x0000_i1047" DrawAspect="Content" ObjectID="_1468075732" r:id="rId26">
                  <o:LockedField>false</o:LockedField>
                </o:OLEObject>
              </w:object>
            </w:r>
          </w:p>
          <w:p>
            <w:pPr>
              <w:pStyle w:val="3"/>
              <w:ind w:left="0" w:leftChars="0" w:firstLine="0" w:firstLineChars="0"/>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 xml:space="preserve">图4-1  生产车间废气处理工艺流程  </w:t>
            </w:r>
            <w:r>
              <w:rPr>
                <w:rFonts w:hint="eastAsia"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US" w:eastAsia="zh-CN"/>
              </w:rPr>
              <w:t>图4-2  实验室废气处理工艺流程</w:t>
            </w:r>
          </w:p>
          <w:p>
            <w:pPr>
              <w:keepNext w:val="0"/>
              <w:keepLines w:val="0"/>
              <w:widowControl/>
              <w:suppressLineNumbers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（2）污水处理站废气</w:t>
            </w:r>
          </w:p>
          <w:p>
            <w:pPr>
              <w:keepNext w:val="0"/>
              <w:keepLines w:val="0"/>
              <w:widowControl/>
              <w:suppressLineNumbers w:val="0"/>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污水处理设施中硫化氢主要来源于两个方面：原水中硫酸盐的转化和含硫有机物的脱硫。在</w:t>
            </w:r>
            <w:r>
              <w:rPr>
                <w:rFonts w:hint="eastAsia" w:cs="Times New Roman"/>
                <w:lang w:val="en-US" w:eastAsia="zh-CN"/>
              </w:rPr>
              <w:t>污水处理过程</w:t>
            </w:r>
            <w:r>
              <w:rPr>
                <w:rFonts w:hint="default" w:ascii="Times New Roman" w:hAnsi="Times New Roman" w:cs="Times New Roman"/>
                <w:lang w:val="en-US" w:eastAsia="zh-CN"/>
              </w:rPr>
              <w:t>中硫化氢一般在厌氧或缺氧的条件下产生，污水中的SO</w:t>
            </w:r>
            <w:r>
              <w:rPr>
                <w:rFonts w:hint="default" w:ascii="Times New Roman" w:hAnsi="Times New Roman" w:cs="Times New Roman"/>
                <w:vertAlign w:val="subscript"/>
                <w:lang w:val="en-US" w:eastAsia="zh-CN"/>
              </w:rPr>
              <w:t>4</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在厌氧条件下被还原成亚硫酸盐和硫化物，主要以H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S、HS</w:t>
            </w:r>
            <w:r>
              <w:rPr>
                <w:rFonts w:hint="default" w:ascii="Times New Roman" w:hAnsi="Times New Roman" w:cs="Times New Roman"/>
                <w:vertAlign w:val="superscript"/>
                <w:lang w:val="en-US" w:eastAsia="zh-CN"/>
              </w:rPr>
              <w:t>-</w:t>
            </w:r>
            <w:r>
              <w:rPr>
                <w:rFonts w:hint="default" w:ascii="Times New Roman" w:hAnsi="Times New Roman" w:cs="Times New Roman"/>
                <w:lang w:val="en-US" w:eastAsia="zh-CN"/>
              </w:rPr>
              <w:t>、S</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形态溶解于水中，部分以硫化氢形式挥发出来。氨气在污水中的浓度通常较硫化氢低，主要由污水中的固体颗粒物经过厌氧硝化和好氧硝化而产生。厌氧硝化池中含氮的有机物一般全部转化为氨态氮，则氨气在水中的溶解度升高，当温度、水流条件、pH等发生变化时，氨气很容易从废水中挥发出来。</w:t>
            </w:r>
          </w:p>
          <w:p>
            <w:pPr>
              <w:keepNext w:val="0"/>
              <w:keepLines w:val="0"/>
              <w:widowControl/>
              <w:suppressLineNumbers w:val="0"/>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污水处理设施氨、硫化氢等恶臭气体主要发生源主要为接触氧化池，排放方式为无组织排放，会对项目本身及周边环境造成影响。根据美国EPA对城市污水处理厂恶臭污染物产生情况的研究，每处理1g的BOD，可产生0.0031g的NH</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和0.00012g的H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S。本次项目处理规模为</w:t>
            </w:r>
            <w:r>
              <w:rPr>
                <w:rFonts w:hint="eastAsia" w:cs="Times New Roman"/>
                <w:lang w:val="en-US" w:eastAsia="zh-CN"/>
              </w:rPr>
              <w:t>90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r>
              <w:rPr>
                <w:rFonts w:hint="eastAsia" w:cs="Times New Roman"/>
                <w:lang w:val="en-US" w:eastAsia="zh-CN"/>
              </w:rPr>
              <w:t>29957</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/a，BOD</w:t>
            </w:r>
            <w:r>
              <w:rPr>
                <w:rFonts w:hint="default" w:ascii="Times New Roman" w:hAnsi="Times New Roman" w:cs="Times New Roman"/>
                <w:vertAlign w:val="subscript"/>
                <w:lang w:val="en-US" w:eastAsia="zh-CN"/>
              </w:rPr>
              <w:t>5</w:t>
            </w:r>
            <w:r>
              <w:rPr>
                <w:rFonts w:hint="default" w:ascii="Times New Roman" w:hAnsi="Times New Roman" w:cs="Times New Roman"/>
                <w:lang w:val="en-US" w:eastAsia="zh-CN"/>
              </w:rPr>
              <w:t>的产生量为</w:t>
            </w:r>
            <w:r>
              <w:rPr>
                <w:rFonts w:hint="eastAsia" w:cs="Times New Roman"/>
                <w:lang w:val="en-US" w:eastAsia="zh-CN"/>
              </w:rPr>
              <w:t>0.97</w:t>
            </w:r>
            <w:r>
              <w:rPr>
                <w:rFonts w:hint="default" w:ascii="Times New Roman" w:hAnsi="Times New Roman" w:cs="Times New Roman"/>
                <w:lang w:val="en-US" w:eastAsia="zh-CN"/>
              </w:rPr>
              <w:t>t/a。由此可计算出H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S和NH</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的产生量，由此可见，本次项目废气污染物的产生量分别为：NH</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为</w:t>
            </w:r>
            <w:r>
              <w:rPr>
                <w:rFonts w:hint="eastAsia" w:cs="Times New Roman"/>
                <w:lang w:val="en-US" w:eastAsia="zh-CN"/>
              </w:rPr>
              <w:t>3.01</w:t>
            </w:r>
            <w:r>
              <w:rPr>
                <w:rFonts w:hint="default" w:ascii="Times New Roman" w:hAnsi="Times New Roman" w:cs="Times New Roman"/>
                <w:lang w:val="en-US" w:eastAsia="zh-CN"/>
              </w:rPr>
              <w:t>kg/a，H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S为</w:t>
            </w:r>
            <w:r>
              <w:rPr>
                <w:rFonts w:hint="eastAsia" w:cs="Times New Roman"/>
                <w:lang w:val="en-US" w:eastAsia="zh-CN"/>
              </w:rPr>
              <w:t>0.12</w:t>
            </w:r>
            <w:r>
              <w:rPr>
                <w:rFonts w:hint="default" w:ascii="Times New Roman" w:hAnsi="Times New Roman" w:cs="Times New Roman"/>
                <w:lang w:val="en-US" w:eastAsia="zh-CN"/>
              </w:rPr>
              <w:t>kg/a。由于本项目污水处理站恶臭气体产生量较小，且污水处理站采用一体化设备，各污水处理单元均为密封式处理，因此恶臭气体挥发量较小，则最终氨气</w:t>
            </w:r>
            <w:r>
              <w:rPr>
                <w:rFonts w:hint="eastAsia" w:cs="Times New Roman"/>
                <w:lang w:val="en-US" w:eastAsia="zh-CN"/>
              </w:rPr>
              <w:t>排放</w:t>
            </w:r>
            <w:r>
              <w:rPr>
                <w:rFonts w:hint="default" w:ascii="Times New Roman" w:hAnsi="Times New Roman" w:cs="Times New Roman"/>
                <w:lang w:val="en-US" w:eastAsia="zh-CN"/>
              </w:rPr>
              <w:t>量为</w:t>
            </w:r>
            <w:r>
              <w:rPr>
                <w:rFonts w:hint="eastAsia" w:cs="Times New Roman"/>
                <w:lang w:val="en-US" w:eastAsia="zh-CN"/>
              </w:rPr>
              <w:t>3.01</w:t>
            </w:r>
            <w:r>
              <w:rPr>
                <w:rFonts w:hint="default" w:ascii="Times New Roman" w:hAnsi="Times New Roman" w:cs="Times New Roman"/>
                <w:lang w:val="en-US" w:eastAsia="zh-CN"/>
              </w:rPr>
              <w:t>kg/a；硫化氢</w:t>
            </w:r>
            <w:r>
              <w:rPr>
                <w:rFonts w:hint="eastAsia" w:cs="Times New Roman"/>
                <w:lang w:val="en-US" w:eastAsia="zh-CN"/>
              </w:rPr>
              <w:t>排放</w:t>
            </w:r>
            <w:r>
              <w:rPr>
                <w:rFonts w:hint="default" w:ascii="Times New Roman" w:hAnsi="Times New Roman" w:cs="Times New Roman"/>
                <w:lang w:val="en-US" w:eastAsia="zh-CN"/>
              </w:rPr>
              <w:t>量为</w:t>
            </w:r>
            <w:r>
              <w:rPr>
                <w:rFonts w:hint="eastAsia" w:cs="Times New Roman"/>
                <w:lang w:val="en-US" w:eastAsia="zh-CN"/>
              </w:rPr>
              <w:t>0.12</w:t>
            </w:r>
            <w:r>
              <w:rPr>
                <w:rFonts w:hint="default" w:ascii="Times New Roman" w:hAnsi="Times New Roman" w:cs="Times New Roman"/>
                <w:lang w:val="en-US" w:eastAsia="zh-CN"/>
              </w:rPr>
              <w:t>kg/a。在厂区内无组织排放。</w:t>
            </w:r>
          </w:p>
          <w:p>
            <w:p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2、排污口设置情况及监测计划</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本项目排污口及监测计划如下表所示</w:t>
            </w:r>
          </w:p>
          <w:p>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表4-1  大气排污口设置情况及监测计划一览表</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906"/>
              <w:gridCol w:w="480"/>
              <w:gridCol w:w="480"/>
              <w:gridCol w:w="539"/>
              <w:gridCol w:w="1654"/>
              <w:gridCol w:w="479"/>
              <w:gridCol w:w="858"/>
              <w:gridCol w:w="680"/>
              <w:gridCol w:w="865"/>
              <w:gridCol w:w="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255"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污染源</w:t>
                  </w:r>
                </w:p>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类别</w:t>
                  </w:r>
                </w:p>
              </w:tc>
              <w:tc>
                <w:tcPr>
                  <w:tcW w:w="581"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排污口编号及名称</w:t>
                  </w:r>
                </w:p>
              </w:tc>
              <w:tc>
                <w:tcPr>
                  <w:tcW w:w="2330" w:type="pct"/>
                  <w:gridSpan w:val="5"/>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排放口基本情况</w:t>
                  </w:r>
                </w:p>
              </w:tc>
              <w:tc>
                <w:tcPr>
                  <w:tcW w:w="55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排放标准</w:t>
                  </w:r>
                </w:p>
              </w:tc>
              <w:tc>
                <w:tcPr>
                  <w:tcW w:w="1282" w:type="pct"/>
                  <w:gridSpan w:val="3"/>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581"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30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高度（m)</w:t>
                  </w:r>
                </w:p>
              </w:tc>
              <w:tc>
                <w:tcPr>
                  <w:tcW w:w="30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内径（m)</w:t>
                  </w:r>
                </w:p>
              </w:tc>
              <w:tc>
                <w:tcPr>
                  <w:tcW w:w="34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温度（℃)</w:t>
                  </w:r>
                </w:p>
              </w:tc>
              <w:tc>
                <w:tcPr>
                  <w:tcW w:w="106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坐标</w:t>
                  </w:r>
                </w:p>
              </w:tc>
              <w:tc>
                <w:tcPr>
                  <w:tcW w:w="30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类型</w:t>
                  </w:r>
                </w:p>
              </w:tc>
              <w:tc>
                <w:tcPr>
                  <w:tcW w:w="55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浓度限值（mg/m</w:t>
                  </w:r>
                  <w:r>
                    <w:rPr>
                      <w:rFonts w:hint="default" w:ascii="Times New Roman" w:hAnsi="Times New Roman" w:eastAsia="宋体" w:cs="Times New Roman"/>
                      <w:snapToGrid w:val="0"/>
                      <w:color w:val="auto"/>
                      <w:kern w:val="21"/>
                      <w:szCs w:val="21"/>
                      <w:vertAlign w:val="superscript"/>
                      <w:lang w:val="en-US" w:eastAsia="zh-CN"/>
                    </w:rPr>
                    <w:t>3</w:t>
                  </w:r>
                  <w:r>
                    <w:rPr>
                      <w:rFonts w:hint="default" w:ascii="Times New Roman" w:hAnsi="Times New Roman" w:eastAsia="宋体" w:cs="Times New Roman"/>
                      <w:snapToGrid w:val="0"/>
                      <w:color w:val="auto"/>
                      <w:kern w:val="21"/>
                      <w:szCs w:val="21"/>
                      <w:lang w:val="en-US" w:eastAsia="zh-CN"/>
                    </w:rPr>
                    <w:t>)</w:t>
                  </w:r>
                </w:p>
              </w:tc>
              <w:tc>
                <w:tcPr>
                  <w:tcW w:w="43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监测点位</w:t>
                  </w:r>
                </w:p>
              </w:tc>
              <w:tc>
                <w:tcPr>
                  <w:tcW w:w="55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监测因子</w:t>
                  </w:r>
                </w:p>
              </w:tc>
              <w:tc>
                <w:tcPr>
                  <w:tcW w:w="29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55"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有组织</w:t>
                  </w:r>
                </w:p>
              </w:tc>
              <w:tc>
                <w:tcPr>
                  <w:tcW w:w="58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DA001</w:t>
                  </w:r>
                </w:p>
              </w:tc>
              <w:tc>
                <w:tcPr>
                  <w:tcW w:w="30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20</w:t>
                  </w:r>
                </w:p>
              </w:tc>
              <w:tc>
                <w:tcPr>
                  <w:tcW w:w="30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0.2</w:t>
                  </w:r>
                </w:p>
              </w:tc>
              <w:tc>
                <w:tcPr>
                  <w:tcW w:w="34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常温</w:t>
                  </w:r>
                </w:p>
              </w:tc>
              <w:tc>
                <w:tcPr>
                  <w:tcW w:w="106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111.69544458, 28.92798364,</w:t>
                  </w:r>
                </w:p>
              </w:tc>
              <w:tc>
                <w:tcPr>
                  <w:tcW w:w="307"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一般</w:t>
                  </w:r>
                </w:p>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排放口</w:t>
                  </w:r>
                </w:p>
              </w:tc>
              <w:tc>
                <w:tcPr>
                  <w:tcW w:w="55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20</w:t>
                  </w:r>
                </w:p>
              </w:tc>
              <w:tc>
                <w:tcPr>
                  <w:tcW w:w="43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DA001</w:t>
                  </w:r>
                </w:p>
              </w:tc>
              <w:tc>
                <w:tcPr>
                  <w:tcW w:w="55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颗粒物</w:t>
                  </w:r>
                </w:p>
              </w:tc>
              <w:tc>
                <w:tcPr>
                  <w:tcW w:w="29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半年/次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55"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58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DA002</w:t>
                  </w:r>
                </w:p>
              </w:tc>
              <w:tc>
                <w:tcPr>
                  <w:tcW w:w="30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25</w:t>
                  </w:r>
                </w:p>
              </w:tc>
              <w:tc>
                <w:tcPr>
                  <w:tcW w:w="30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0.2</w:t>
                  </w:r>
                </w:p>
              </w:tc>
              <w:tc>
                <w:tcPr>
                  <w:tcW w:w="34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常温</w:t>
                  </w:r>
                </w:p>
              </w:tc>
              <w:tc>
                <w:tcPr>
                  <w:tcW w:w="106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111.69544458, 28.92798364,</w:t>
                  </w:r>
                </w:p>
              </w:tc>
              <w:tc>
                <w:tcPr>
                  <w:tcW w:w="307"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55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100</w:t>
                  </w:r>
                </w:p>
              </w:tc>
              <w:tc>
                <w:tcPr>
                  <w:tcW w:w="43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DA002</w:t>
                  </w:r>
                </w:p>
              </w:tc>
              <w:tc>
                <w:tcPr>
                  <w:tcW w:w="55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VOCs</w:t>
                  </w:r>
                </w:p>
              </w:tc>
              <w:tc>
                <w:tcPr>
                  <w:tcW w:w="29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半年/次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55"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无组织</w:t>
                  </w:r>
                </w:p>
              </w:tc>
              <w:tc>
                <w:tcPr>
                  <w:tcW w:w="581"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厂界</w:t>
                  </w:r>
                </w:p>
              </w:tc>
              <w:tc>
                <w:tcPr>
                  <w:tcW w:w="307"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307"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345"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061"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307"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55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1.0</w:t>
                  </w:r>
                </w:p>
              </w:tc>
              <w:tc>
                <w:tcPr>
                  <w:tcW w:w="436"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厂界</w:t>
                  </w:r>
                </w:p>
              </w:tc>
              <w:tc>
                <w:tcPr>
                  <w:tcW w:w="55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颗粒物</w:t>
                  </w:r>
                </w:p>
              </w:tc>
              <w:tc>
                <w:tcPr>
                  <w:tcW w:w="291"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半年/次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5" w:type="pct"/>
                  <w:vMerge w:val="continue"/>
                  <w:noWrap w:val="0"/>
                  <w:vAlign w:val="center"/>
                </w:tcPr>
                <w:p>
                  <w:pPr>
                    <w:bidi w:val="0"/>
                    <w:spacing w:line="240" w:lineRule="auto"/>
                    <w:jc w:val="center"/>
                    <w:rPr>
                      <w:rFonts w:hint="default" w:ascii="Times New Roman" w:hAnsi="Times New Roman" w:cs="Times New Roman"/>
                    </w:rPr>
                  </w:pPr>
                </w:p>
              </w:tc>
              <w:tc>
                <w:tcPr>
                  <w:tcW w:w="581" w:type="pct"/>
                  <w:vMerge w:val="continue"/>
                  <w:noWrap w:val="0"/>
                  <w:vAlign w:val="center"/>
                </w:tcPr>
                <w:p>
                  <w:pPr>
                    <w:bidi w:val="0"/>
                    <w:spacing w:line="240" w:lineRule="auto"/>
                    <w:jc w:val="center"/>
                    <w:rPr>
                      <w:rFonts w:hint="default" w:ascii="Times New Roman" w:hAnsi="Times New Roman" w:cs="Times New Roman"/>
                    </w:rPr>
                  </w:pPr>
                </w:p>
              </w:tc>
              <w:tc>
                <w:tcPr>
                  <w:tcW w:w="307" w:type="pct"/>
                  <w:vMerge w:val="continue"/>
                  <w:noWrap w:val="0"/>
                  <w:vAlign w:val="center"/>
                </w:tcPr>
                <w:p>
                  <w:pPr>
                    <w:bidi w:val="0"/>
                    <w:spacing w:line="240" w:lineRule="auto"/>
                    <w:jc w:val="center"/>
                    <w:rPr>
                      <w:rFonts w:hint="default" w:ascii="Times New Roman" w:hAnsi="Times New Roman" w:cs="Times New Roman"/>
                    </w:rPr>
                  </w:pPr>
                </w:p>
              </w:tc>
              <w:tc>
                <w:tcPr>
                  <w:tcW w:w="307" w:type="pct"/>
                  <w:vMerge w:val="continue"/>
                  <w:noWrap w:val="0"/>
                  <w:vAlign w:val="center"/>
                </w:tcPr>
                <w:p>
                  <w:pPr>
                    <w:bidi w:val="0"/>
                    <w:spacing w:line="240" w:lineRule="auto"/>
                    <w:jc w:val="center"/>
                    <w:rPr>
                      <w:rFonts w:hint="default" w:ascii="Times New Roman" w:hAnsi="Times New Roman" w:cs="Times New Roman"/>
                    </w:rPr>
                  </w:pPr>
                </w:p>
              </w:tc>
              <w:tc>
                <w:tcPr>
                  <w:tcW w:w="345" w:type="pct"/>
                  <w:vMerge w:val="continue"/>
                  <w:noWrap w:val="0"/>
                  <w:vAlign w:val="center"/>
                </w:tcPr>
                <w:p>
                  <w:pPr>
                    <w:bidi w:val="0"/>
                    <w:spacing w:line="240" w:lineRule="auto"/>
                    <w:jc w:val="center"/>
                    <w:rPr>
                      <w:rFonts w:hint="default" w:ascii="Times New Roman" w:hAnsi="Times New Roman" w:cs="Times New Roman"/>
                    </w:rPr>
                  </w:pPr>
                </w:p>
              </w:tc>
              <w:tc>
                <w:tcPr>
                  <w:tcW w:w="1061" w:type="pct"/>
                  <w:vMerge w:val="continue"/>
                  <w:noWrap w:val="0"/>
                  <w:vAlign w:val="center"/>
                </w:tcPr>
                <w:p>
                  <w:pPr>
                    <w:bidi w:val="0"/>
                    <w:spacing w:line="240" w:lineRule="auto"/>
                    <w:jc w:val="center"/>
                    <w:rPr>
                      <w:rFonts w:hint="default" w:ascii="Times New Roman" w:hAnsi="Times New Roman" w:cs="Times New Roman"/>
                    </w:rPr>
                  </w:pPr>
                </w:p>
              </w:tc>
              <w:tc>
                <w:tcPr>
                  <w:tcW w:w="307" w:type="pct"/>
                  <w:vMerge w:val="continue"/>
                  <w:noWrap w:val="0"/>
                  <w:vAlign w:val="center"/>
                </w:tcPr>
                <w:p>
                  <w:pPr>
                    <w:bidi w:val="0"/>
                    <w:spacing w:line="240" w:lineRule="auto"/>
                    <w:jc w:val="center"/>
                    <w:rPr>
                      <w:rFonts w:hint="default" w:ascii="Times New Roman" w:hAnsi="Times New Roman" w:cs="Times New Roman"/>
                    </w:rPr>
                  </w:pPr>
                </w:p>
              </w:tc>
              <w:tc>
                <w:tcPr>
                  <w:tcW w:w="550" w:type="pct"/>
                  <w:noWrap w:val="0"/>
                  <w:vAlign w:val="center"/>
                </w:tcPr>
                <w:p>
                  <w:pPr>
                    <w:bidi w:val="0"/>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4.0</w:t>
                  </w:r>
                </w:p>
              </w:tc>
              <w:tc>
                <w:tcPr>
                  <w:tcW w:w="436" w:type="pct"/>
                  <w:vMerge w:val="continue"/>
                  <w:noWrap w:val="0"/>
                  <w:vAlign w:val="center"/>
                </w:tcPr>
                <w:p>
                  <w:pPr>
                    <w:bidi w:val="0"/>
                    <w:spacing w:line="240" w:lineRule="auto"/>
                    <w:jc w:val="center"/>
                    <w:rPr>
                      <w:rFonts w:hint="default" w:ascii="Times New Roman" w:hAnsi="Times New Roman" w:cs="Times New Roman"/>
                    </w:rPr>
                  </w:pPr>
                </w:p>
              </w:tc>
              <w:tc>
                <w:tcPr>
                  <w:tcW w:w="554" w:type="pct"/>
                  <w:noWrap w:val="0"/>
                  <w:vAlign w:val="center"/>
                </w:tcPr>
                <w:p>
                  <w:pPr>
                    <w:bidi w:val="0"/>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非甲烷总烃</w:t>
                  </w:r>
                </w:p>
              </w:tc>
              <w:tc>
                <w:tcPr>
                  <w:tcW w:w="291" w:type="pct"/>
                  <w:vMerge w:val="continue"/>
                  <w:noWrap w:val="0"/>
                  <w:vAlign w:val="center"/>
                </w:tcPr>
                <w:p>
                  <w:pPr>
                    <w:bidi w:val="0"/>
                    <w:spacing w:line="240" w:lineRule="auto"/>
                    <w:jc w:val="center"/>
                    <w:rPr>
                      <w:rFonts w:hint="default" w:ascii="Times New Roman" w:hAnsi="Times New Roman" w:cs="Times New Roman"/>
                      <w:lang w:val="en-US" w:eastAsia="zh-CN"/>
                    </w:rPr>
                  </w:pP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3、措施可行性分析及其影响分析</w:t>
            </w:r>
          </w:p>
          <w:p>
            <w:pPr>
              <w:pStyle w:val="3"/>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目前对有机废气治理方案有活性炭颗粒吸收、RTO焚烧以及低温等离子+光催化，三种方案治理对比如下表所示：</w:t>
            </w:r>
          </w:p>
          <w:p>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表4-2  废气治理方案对比一览表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198"/>
              <w:gridCol w:w="1132"/>
              <w:gridCol w:w="1338"/>
              <w:gridCol w:w="2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治理方案</w:t>
                  </w:r>
                </w:p>
              </w:tc>
              <w:tc>
                <w:tcPr>
                  <w:tcW w:w="139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基础投资（万元）</w:t>
                  </w:r>
                </w:p>
              </w:tc>
              <w:tc>
                <w:tcPr>
                  <w:tcW w:w="1318"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去除效率（%）</w:t>
                  </w:r>
                </w:p>
              </w:tc>
              <w:tc>
                <w:tcPr>
                  <w:tcW w:w="156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二次污染</w:t>
                  </w:r>
                </w:p>
              </w:tc>
              <w:tc>
                <w:tcPr>
                  <w:tcW w:w="342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优缺点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活性炭颗粒吸收</w:t>
                  </w:r>
                </w:p>
              </w:tc>
              <w:tc>
                <w:tcPr>
                  <w:tcW w:w="139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5</w:t>
                  </w:r>
                </w:p>
              </w:tc>
              <w:tc>
                <w:tcPr>
                  <w:tcW w:w="1318"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80</w:t>
                  </w:r>
                </w:p>
              </w:tc>
              <w:tc>
                <w:tcPr>
                  <w:tcW w:w="156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废活性炭作为危险废物</w:t>
                  </w:r>
                </w:p>
              </w:tc>
              <w:tc>
                <w:tcPr>
                  <w:tcW w:w="342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基础投资低，适用于低浓度废气处理，易产生二次污染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低温等离子+光催化</w:t>
                  </w:r>
                </w:p>
              </w:tc>
              <w:tc>
                <w:tcPr>
                  <w:tcW w:w="139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15</w:t>
                  </w:r>
                </w:p>
              </w:tc>
              <w:tc>
                <w:tcPr>
                  <w:tcW w:w="1318"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80-90</w:t>
                  </w:r>
                </w:p>
              </w:tc>
              <w:tc>
                <w:tcPr>
                  <w:tcW w:w="156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无二次污染</w:t>
                  </w:r>
                </w:p>
              </w:tc>
              <w:tc>
                <w:tcPr>
                  <w:tcW w:w="342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基础费用较高，运行费用低，适用于低浓度废气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RTO焚烧</w:t>
                  </w:r>
                </w:p>
              </w:tc>
              <w:tc>
                <w:tcPr>
                  <w:tcW w:w="139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40以上</w:t>
                  </w:r>
                </w:p>
              </w:tc>
              <w:tc>
                <w:tcPr>
                  <w:tcW w:w="1318"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95以上</w:t>
                  </w:r>
                </w:p>
              </w:tc>
              <w:tc>
                <w:tcPr>
                  <w:tcW w:w="156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无二次污染</w:t>
                  </w:r>
                </w:p>
              </w:tc>
              <w:tc>
                <w:tcPr>
                  <w:tcW w:w="342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基础费用高，运行费用高，适用于高浓度废气</w:t>
                  </w:r>
                </w:p>
              </w:tc>
            </w:tr>
          </w:tbl>
          <w:p>
            <w:pPr>
              <w:pStyle w:val="3"/>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本项目产生的有机废气浓度较低，产生量较小，通过上表对比，本次环评推荐采用活性炭颗粒吸收处理收集后的有机废气。</w:t>
            </w:r>
          </w:p>
          <w:p>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根据《排污许可证申请与核发技术规范  制药工业-化学药品制剂制造》（HJ1063-2019）中对废气处理措施推荐，颗粒物采取除尘措施，有机废气采用吸收、吸附等措施，本项目颗粒物采用除尘措施，有机废气采用活性炭吸附，符合推荐处理措施。</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综上，本项目大气污染物有组织排放量如下表所示：</w:t>
            </w:r>
          </w:p>
          <w:p>
            <w:pPr>
              <w:adjustRightInd w:val="0"/>
              <w:snapToGrid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表4-3  大气污染物有组织排放量一览表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488"/>
              <w:gridCol w:w="1552"/>
              <w:gridCol w:w="1318"/>
              <w:gridCol w:w="1305"/>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序号</w:t>
                  </w:r>
                </w:p>
              </w:tc>
              <w:tc>
                <w:tcPr>
                  <w:tcW w:w="95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排放口编号</w:t>
                  </w:r>
                </w:p>
              </w:tc>
              <w:tc>
                <w:tcPr>
                  <w:tcW w:w="99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污染物</w:t>
                  </w:r>
                </w:p>
              </w:tc>
              <w:tc>
                <w:tcPr>
                  <w:tcW w:w="84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核算排放浓度（mg/m</w:t>
                  </w:r>
                  <w:r>
                    <w:rPr>
                      <w:rFonts w:hint="default" w:ascii="Times New Roman" w:hAnsi="Times New Roman" w:eastAsia="宋体" w:cs="Times New Roman"/>
                      <w:snapToGrid w:val="0"/>
                      <w:color w:val="auto"/>
                      <w:kern w:val="21"/>
                      <w:szCs w:val="21"/>
                      <w:vertAlign w:val="superscript"/>
                      <w:lang w:val="en-US" w:eastAsia="zh-CN"/>
                    </w:rPr>
                    <w:t>3</w:t>
                  </w:r>
                  <w:r>
                    <w:rPr>
                      <w:rFonts w:hint="default" w:ascii="Times New Roman" w:hAnsi="Times New Roman" w:eastAsia="宋体" w:cs="Times New Roman"/>
                      <w:snapToGrid w:val="0"/>
                      <w:color w:val="auto"/>
                      <w:kern w:val="21"/>
                      <w:szCs w:val="21"/>
                      <w:lang w:val="en-US" w:eastAsia="zh-CN"/>
                    </w:rPr>
                    <w:t>)</w:t>
                  </w:r>
                </w:p>
              </w:tc>
              <w:tc>
                <w:tcPr>
                  <w:tcW w:w="83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核算排放速率（kg/h)</w:t>
                  </w:r>
                </w:p>
              </w:tc>
              <w:tc>
                <w:tcPr>
                  <w:tcW w:w="83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w:t>
                  </w:r>
                </w:p>
              </w:tc>
              <w:tc>
                <w:tcPr>
                  <w:tcW w:w="95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DA001</w:t>
                  </w:r>
                </w:p>
              </w:tc>
              <w:tc>
                <w:tcPr>
                  <w:tcW w:w="99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颗粒物</w:t>
                  </w:r>
                </w:p>
              </w:tc>
              <w:tc>
                <w:tcPr>
                  <w:tcW w:w="84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10</w:t>
                  </w:r>
                </w:p>
              </w:tc>
              <w:tc>
                <w:tcPr>
                  <w:tcW w:w="83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0.003</w:t>
                  </w:r>
                </w:p>
              </w:tc>
              <w:tc>
                <w:tcPr>
                  <w:tcW w:w="83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53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w:t>
                  </w:r>
                </w:p>
              </w:tc>
              <w:tc>
                <w:tcPr>
                  <w:tcW w:w="95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DA002</w:t>
                  </w:r>
                </w:p>
              </w:tc>
              <w:tc>
                <w:tcPr>
                  <w:tcW w:w="99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VOCs</w:t>
                  </w:r>
                </w:p>
              </w:tc>
              <w:tc>
                <w:tcPr>
                  <w:tcW w:w="84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2.5</w:t>
                  </w:r>
                </w:p>
              </w:tc>
              <w:tc>
                <w:tcPr>
                  <w:tcW w:w="83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0.01</w:t>
                  </w:r>
                </w:p>
              </w:tc>
              <w:tc>
                <w:tcPr>
                  <w:tcW w:w="83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1" w:type="pct"/>
                  <w:gridSpan w:val="2"/>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有组织排放合计</w:t>
                  </w:r>
                </w:p>
              </w:tc>
              <w:tc>
                <w:tcPr>
                  <w:tcW w:w="1840" w:type="pct"/>
                  <w:gridSpan w:val="2"/>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颗粒物</w:t>
                  </w:r>
                </w:p>
              </w:tc>
              <w:tc>
                <w:tcPr>
                  <w:tcW w:w="1667" w:type="pct"/>
                  <w:gridSpan w:val="2"/>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1" w:type="pct"/>
                  <w:gridSpan w:val="2"/>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1840" w:type="pct"/>
                  <w:gridSpan w:val="2"/>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VOCs</w:t>
                  </w:r>
                </w:p>
              </w:tc>
              <w:tc>
                <w:tcPr>
                  <w:tcW w:w="1667" w:type="pct"/>
                  <w:gridSpan w:val="2"/>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0.008</w:t>
                  </w:r>
                </w:p>
              </w:tc>
            </w:tr>
          </w:tbl>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本项目大气污染物无组织排放量如下表所示：</w:t>
            </w:r>
          </w:p>
          <w:p>
            <w:pPr>
              <w:adjustRightInd w:val="0"/>
              <w:snapToGrid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表4-4  大气污染物无组织排放量一览表</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785"/>
              <w:gridCol w:w="715"/>
              <w:gridCol w:w="679"/>
              <w:gridCol w:w="1147"/>
              <w:gridCol w:w="1880"/>
              <w:gridCol w:w="1232"/>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5"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序号</w:t>
                  </w:r>
                </w:p>
              </w:tc>
              <w:tc>
                <w:tcPr>
                  <w:tcW w:w="503"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排放口编号</w:t>
                  </w:r>
                </w:p>
              </w:tc>
              <w:tc>
                <w:tcPr>
                  <w:tcW w:w="458"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产污环节</w:t>
                  </w:r>
                </w:p>
              </w:tc>
              <w:tc>
                <w:tcPr>
                  <w:tcW w:w="435"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污染物</w:t>
                  </w:r>
                </w:p>
              </w:tc>
              <w:tc>
                <w:tcPr>
                  <w:tcW w:w="735"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主要污染防治措施</w:t>
                  </w:r>
                </w:p>
              </w:tc>
              <w:tc>
                <w:tcPr>
                  <w:tcW w:w="1996" w:type="pct"/>
                  <w:gridSpan w:val="2"/>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国家或地方污染物排放标准</w:t>
                  </w:r>
                </w:p>
              </w:tc>
              <w:tc>
                <w:tcPr>
                  <w:tcW w:w="594"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503"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458"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435"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735"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120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标准名称</w:t>
                  </w:r>
                </w:p>
              </w:tc>
              <w:tc>
                <w:tcPr>
                  <w:tcW w:w="79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浓度限值/(mg/m</w:t>
                  </w:r>
                  <w:r>
                    <w:rPr>
                      <w:rFonts w:hint="default" w:ascii="Times New Roman" w:hAnsi="Times New Roman" w:eastAsia="宋体" w:cs="Times New Roman"/>
                      <w:snapToGrid w:val="0"/>
                      <w:color w:val="auto"/>
                      <w:kern w:val="21"/>
                      <w:szCs w:val="21"/>
                      <w:vertAlign w:val="superscript"/>
                      <w:lang w:val="en-US" w:eastAsia="zh-CN"/>
                    </w:rPr>
                    <w:t>3</w:t>
                  </w:r>
                  <w:r>
                    <w:rPr>
                      <w:rFonts w:hint="default" w:ascii="Times New Roman" w:hAnsi="Times New Roman" w:eastAsia="宋体" w:cs="Times New Roman"/>
                      <w:snapToGrid w:val="0"/>
                      <w:color w:val="auto"/>
                      <w:kern w:val="21"/>
                      <w:szCs w:val="21"/>
                      <w:lang w:val="en-US" w:eastAsia="zh-CN"/>
                    </w:rPr>
                    <w:t>)</w:t>
                  </w:r>
                </w:p>
              </w:tc>
              <w:tc>
                <w:tcPr>
                  <w:tcW w:w="594"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7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1</w:t>
                  </w:r>
                </w:p>
              </w:tc>
              <w:tc>
                <w:tcPr>
                  <w:tcW w:w="50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DA00</w:t>
                  </w:r>
                  <w:r>
                    <w:rPr>
                      <w:rFonts w:hint="eastAsia" w:eastAsia="宋体" w:cs="Times New Roman"/>
                      <w:snapToGrid w:val="0"/>
                      <w:color w:val="auto"/>
                      <w:kern w:val="21"/>
                      <w:szCs w:val="21"/>
                      <w:u w:val="single"/>
                      <w:lang w:val="en-US" w:eastAsia="zh-CN"/>
                    </w:rPr>
                    <w:t>1</w:t>
                  </w:r>
                </w:p>
              </w:tc>
              <w:tc>
                <w:tcPr>
                  <w:tcW w:w="45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产品生产</w:t>
                  </w:r>
                </w:p>
              </w:tc>
              <w:tc>
                <w:tcPr>
                  <w:tcW w:w="43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颗粒物</w:t>
                  </w:r>
                </w:p>
              </w:tc>
              <w:tc>
                <w:tcPr>
                  <w:tcW w:w="73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eastAsia" w:eastAsia="宋体" w:cs="Times New Roman"/>
                      <w:snapToGrid w:val="0"/>
                      <w:color w:val="auto"/>
                      <w:kern w:val="21"/>
                      <w:szCs w:val="21"/>
                      <w:u w:val="single"/>
                      <w:lang w:val="en-US" w:eastAsia="zh-CN"/>
                    </w:rPr>
                    <w:t>设备自带布袋除尘器+车间整体通风除尘系统</w:t>
                  </w:r>
                </w:p>
              </w:tc>
              <w:tc>
                <w:tcPr>
                  <w:tcW w:w="120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《大气污染物综合排放标准》（GB16297-1996）表2标准</w:t>
                  </w:r>
                </w:p>
              </w:tc>
              <w:tc>
                <w:tcPr>
                  <w:tcW w:w="79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1.0</w:t>
                  </w:r>
                </w:p>
              </w:tc>
              <w:tc>
                <w:tcPr>
                  <w:tcW w:w="59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eastAsia" w:eastAsia="宋体" w:cs="Times New Roman"/>
                      <w:snapToGrid w:val="0"/>
                      <w:color w:val="auto"/>
                      <w:kern w:val="21"/>
                      <w:szCs w:val="21"/>
                      <w:u w:val="single"/>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2</w:t>
                  </w:r>
                </w:p>
              </w:tc>
              <w:tc>
                <w:tcPr>
                  <w:tcW w:w="50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DA00</w:t>
                  </w:r>
                  <w:r>
                    <w:rPr>
                      <w:rFonts w:hint="eastAsia" w:eastAsia="宋体" w:cs="Times New Roman"/>
                      <w:snapToGrid w:val="0"/>
                      <w:color w:val="auto"/>
                      <w:kern w:val="21"/>
                      <w:szCs w:val="21"/>
                      <w:u w:val="single"/>
                      <w:lang w:val="en-US" w:eastAsia="zh-CN"/>
                    </w:rPr>
                    <w:t>2</w:t>
                  </w:r>
                </w:p>
              </w:tc>
              <w:tc>
                <w:tcPr>
                  <w:tcW w:w="45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质检</w:t>
                  </w:r>
                </w:p>
              </w:tc>
              <w:tc>
                <w:tcPr>
                  <w:tcW w:w="43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VOCs</w:t>
                  </w:r>
                </w:p>
              </w:tc>
              <w:tc>
                <w:tcPr>
                  <w:tcW w:w="73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过滤棉除湿+活性炭吸附装置</w:t>
                  </w:r>
                </w:p>
              </w:tc>
              <w:tc>
                <w:tcPr>
                  <w:tcW w:w="120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《大气污染物综合排放标准》（GB16297-1996）表2标准</w:t>
                  </w:r>
                </w:p>
              </w:tc>
              <w:tc>
                <w:tcPr>
                  <w:tcW w:w="79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default" w:ascii="Times New Roman" w:hAnsi="Times New Roman" w:eastAsia="宋体" w:cs="Times New Roman"/>
                      <w:snapToGrid w:val="0"/>
                      <w:color w:val="auto"/>
                      <w:kern w:val="21"/>
                      <w:szCs w:val="21"/>
                      <w:u w:val="single"/>
                      <w:lang w:val="en-US" w:eastAsia="zh-CN"/>
                    </w:rPr>
                    <w:t>4.0</w:t>
                  </w:r>
                </w:p>
              </w:tc>
              <w:tc>
                <w:tcPr>
                  <w:tcW w:w="59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u w:val="single"/>
                      <w:lang w:val="en-US" w:eastAsia="zh-CN"/>
                    </w:rPr>
                  </w:pPr>
                  <w:r>
                    <w:rPr>
                      <w:rFonts w:hint="eastAsia" w:eastAsia="宋体" w:cs="Times New Roman"/>
                      <w:snapToGrid w:val="0"/>
                      <w:color w:val="auto"/>
                      <w:kern w:val="21"/>
                      <w:szCs w:val="21"/>
                      <w:u w:val="single"/>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275"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w:t>
                  </w:r>
                </w:p>
              </w:tc>
              <w:tc>
                <w:tcPr>
                  <w:tcW w:w="503"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 xml:space="preserve">/ </w:t>
                  </w:r>
                </w:p>
              </w:tc>
              <w:tc>
                <w:tcPr>
                  <w:tcW w:w="458"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污水处理</w:t>
                  </w:r>
                </w:p>
              </w:tc>
              <w:tc>
                <w:tcPr>
                  <w:tcW w:w="43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氨气</w:t>
                  </w:r>
                </w:p>
              </w:tc>
              <w:tc>
                <w:tcPr>
                  <w:tcW w:w="735"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w:t>
                  </w:r>
                </w:p>
              </w:tc>
              <w:tc>
                <w:tcPr>
                  <w:tcW w:w="1206"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《恶臭污染物排放标准》（GB14554-93）</w:t>
                  </w:r>
                  <w:r>
                    <w:rPr>
                      <w:rFonts w:hint="eastAsia" w:eastAsia="宋体" w:cs="Times New Roman"/>
                      <w:snapToGrid w:val="0"/>
                      <w:color w:val="auto"/>
                      <w:kern w:val="21"/>
                      <w:szCs w:val="21"/>
                      <w:lang w:val="en-US" w:eastAsia="zh-CN"/>
                    </w:rPr>
                    <w:t>表1二级标准</w:t>
                  </w:r>
                </w:p>
              </w:tc>
              <w:tc>
                <w:tcPr>
                  <w:tcW w:w="790" w:type="pct"/>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w:t>
                  </w:r>
                </w:p>
              </w:tc>
              <w:tc>
                <w:tcPr>
                  <w:tcW w:w="59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5"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503"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458"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435"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硫化氢</w:t>
                  </w:r>
                </w:p>
              </w:tc>
              <w:tc>
                <w:tcPr>
                  <w:tcW w:w="735"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1206"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790" w:type="pct"/>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w:t>
                  </w:r>
                </w:p>
              </w:tc>
              <w:tc>
                <w:tcPr>
                  <w:tcW w:w="59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0.00012</w:t>
                  </w:r>
                </w:p>
              </w:tc>
            </w:tr>
          </w:tbl>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本项目大气污染物排放量汇总如下：</w:t>
            </w:r>
          </w:p>
          <w:p>
            <w:pPr>
              <w:pStyle w:val="27"/>
              <w:bidi w:val="0"/>
              <w:rPr>
                <w:rFonts w:hint="default" w:ascii="Times New Roman" w:hAnsi="Times New Roman" w:cs="Times New Roman"/>
                <w:lang w:val="en-US" w:eastAsia="zh-CN"/>
              </w:rPr>
            </w:pPr>
          </w:p>
          <w:p>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表4-5    大气污染物排放量核算表</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2719"/>
              <w:gridCol w:w="3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1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序号</w:t>
                  </w:r>
                </w:p>
              </w:tc>
              <w:tc>
                <w:tcPr>
                  <w:tcW w:w="174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污染物</w:t>
                  </w:r>
                </w:p>
              </w:tc>
              <w:tc>
                <w:tcPr>
                  <w:tcW w:w="2440"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74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颗粒物</w:t>
                  </w:r>
                </w:p>
              </w:tc>
              <w:tc>
                <w:tcPr>
                  <w:tcW w:w="244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174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VOCs</w:t>
                  </w:r>
                </w:p>
              </w:tc>
              <w:tc>
                <w:tcPr>
                  <w:tcW w:w="2440"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174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氨气</w:t>
                  </w:r>
                </w:p>
              </w:tc>
              <w:tc>
                <w:tcPr>
                  <w:tcW w:w="380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174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硫化氢</w:t>
                  </w:r>
                </w:p>
              </w:tc>
              <w:tc>
                <w:tcPr>
                  <w:tcW w:w="380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0.00012</w:t>
                  </w:r>
                </w:p>
              </w:tc>
            </w:tr>
          </w:tbl>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（二）废水</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w:t>
            </w:r>
            <w:r>
              <w:rPr>
                <w:rFonts w:hint="default" w:ascii="Times New Roman" w:hAnsi="Times New Roman" w:cs="Times New Roman"/>
                <w:lang w:val="en-US" w:eastAsia="zh-CN"/>
              </w:rPr>
              <w:t>废水源强核算</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（1）生产废水</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生产废水主要包括设备清洗废水、地面保洁废水、洗衣房废水</w:t>
            </w:r>
            <w:r>
              <w:rPr>
                <w:rFonts w:hint="eastAsia" w:cs="Times New Roman"/>
                <w:lang w:val="en-US" w:eastAsia="zh-CN"/>
              </w:rPr>
              <w:t>、纯水制备废水</w:t>
            </w:r>
            <w:r>
              <w:rPr>
                <w:rFonts w:hint="default" w:ascii="Times New Roman" w:hAnsi="Times New Roman" w:cs="Times New Roman"/>
                <w:lang w:val="en-US" w:eastAsia="zh-CN"/>
              </w:rPr>
              <w:t>。</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①清洗废水</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项目各生产及检测过程中，需要进行设备清洗。</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根据业主提供资料，本项目检测设备清洁度要求较高，每次使用完成后需进行四道清洗，前两道为自来水清洗，后两道为纯水清洗。生产设备第一道为自来水清洗，第二道为纯水清洗。清洗用自来水、纯水用量各12000t/a，损耗20%，则清洗废水产生量约19200t/a，类比</w:t>
            </w:r>
            <w:r>
              <w:rPr>
                <w:rFonts w:hint="eastAsia" w:cs="Times New Roman"/>
                <w:lang w:val="en-US" w:eastAsia="zh-CN"/>
              </w:rPr>
              <w:t>《</w:t>
            </w:r>
            <w:r>
              <w:rPr>
                <w:rFonts w:hint="default" w:ascii="Times New Roman" w:hAnsi="Times New Roman" w:cs="Times New Roman"/>
                <w:lang w:val="en-US" w:eastAsia="zh-CN"/>
              </w:rPr>
              <w:t>湖南佳和药业有限公司仿制药生产基地项目</w:t>
            </w:r>
            <w:r>
              <w:rPr>
                <w:rFonts w:hint="eastAsia" w:cs="Times New Roman"/>
                <w:lang w:val="en-US" w:eastAsia="zh-CN"/>
              </w:rPr>
              <w:t>》，该项目产品及生产工艺与本项目基本一致，类比上述项目</w:t>
            </w:r>
            <w:r>
              <w:rPr>
                <w:rFonts w:hint="default" w:ascii="Times New Roman" w:hAnsi="Times New Roman" w:cs="Times New Roman"/>
                <w:lang w:val="en-US" w:eastAsia="zh-CN"/>
              </w:rPr>
              <w:t>清洗废水源强，同时考虑检测废液的汇入，本评价考虑主要污染物及浓度COD为6000mg/L、SS为200mg/L、氨氮为30mg/L、总氮为60mg/L、TP为15mg/L。不在车间储存，产生后由管道接入废水站处理。</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②地面保洁废水</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项目生产车间清洁度要求高，需定期对地面进行保洁，保洁方式采用拖把及冲洗保洁方式。根据《建筑给水排水设计手册》（中国建筑工业出版社，作者：中国建筑设计研究院），场地清洗水用水量为1.0-2.0/L·m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次，本次评价保洁用水量按1L/m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计，需保洁建筑面积约为</w:t>
            </w:r>
            <w:r>
              <w:rPr>
                <w:rFonts w:hint="eastAsia" w:cs="Times New Roman"/>
                <w:lang w:val="en-US" w:eastAsia="zh-CN"/>
              </w:rPr>
              <w:t>24100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，一周保洁三次，则车间保洁用水量为</w:t>
            </w:r>
            <w:r>
              <w:rPr>
                <w:rFonts w:hint="eastAsia" w:cs="Times New Roman"/>
                <w:lang w:val="en-US" w:eastAsia="zh-CN"/>
              </w:rPr>
              <w:t>3760</w:t>
            </w:r>
            <w:r>
              <w:rPr>
                <w:rFonts w:hint="default" w:ascii="Times New Roman" w:hAnsi="Times New Roman" w:cs="Times New Roman"/>
                <w:lang w:val="en-US" w:eastAsia="zh-CN"/>
              </w:rPr>
              <w:t>t/a，产污系数按0.8计，则保洁废水产生量为</w:t>
            </w:r>
            <w:r>
              <w:rPr>
                <w:rFonts w:hint="eastAsia" w:cs="Times New Roman"/>
                <w:lang w:val="en-US" w:eastAsia="zh-CN"/>
              </w:rPr>
              <w:t>3008</w:t>
            </w:r>
            <w:r>
              <w:rPr>
                <w:rFonts w:hint="default" w:ascii="Times New Roman" w:hAnsi="Times New Roman" w:cs="Times New Roman"/>
                <w:lang w:val="en-US" w:eastAsia="zh-CN"/>
              </w:rPr>
              <w:t>t/a，类比制药公司实验及冲洗废水源强，废水中主要污染物及浓度COD为100mg/L、SS为200mg/L、氨氮为10mg/L、总氮为15mg/L、TP为5mg/L。直接进入厂内自建废水站处理。</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③洗衣房废水</w:t>
            </w:r>
          </w:p>
          <w:p>
            <w:pPr>
              <w:adjustRightInd w:val="0"/>
              <w:snapToGrid w:val="0"/>
              <w:spacing w:line="360" w:lineRule="auto"/>
              <w:ind w:firstLine="480" w:firstLineChars="200"/>
              <w:rPr>
                <w:rFonts w:hint="default" w:ascii="Times New Roman" w:hAnsi="Times New Roman" w:cs="Times New Roman"/>
                <w:color w:val="FF0000"/>
                <w:lang w:val="en-US" w:eastAsia="zh-CN"/>
              </w:rPr>
            </w:pPr>
            <w:r>
              <w:rPr>
                <w:rFonts w:hint="default" w:ascii="Times New Roman" w:hAnsi="Times New Roman" w:cs="Times New Roman"/>
                <w:lang w:val="en-US" w:eastAsia="zh-CN"/>
              </w:rPr>
              <w:t>工作人员工作服需用自来水清洗，其清洗用水量参照洗衣房的50L/kg干衣用水定额，工作人员共有员工约</w:t>
            </w:r>
            <w:r>
              <w:rPr>
                <w:rFonts w:hint="eastAsia" w:cs="Times New Roman"/>
                <w:lang w:val="en-US" w:eastAsia="zh-CN"/>
              </w:rPr>
              <w:t>100</w:t>
            </w:r>
            <w:r>
              <w:rPr>
                <w:rFonts w:hint="default" w:ascii="Times New Roman" w:hAnsi="Times New Roman" w:cs="Times New Roman"/>
                <w:lang w:val="en-US" w:eastAsia="zh-CN"/>
              </w:rPr>
              <w:t>人，工衣重量按</w:t>
            </w:r>
            <w:r>
              <w:rPr>
                <w:rFonts w:hint="eastAsia" w:cs="Times New Roman"/>
                <w:lang w:val="en-US" w:eastAsia="zh-CN"/>
              </w:rPr>
              <w:t>20</w:t>
            </w:r>
            <w:r>
              <w:rPr>
                <w:rFonts w:hint="default" w:ascii="Times New Roman" w:hAnsi="Times New Roman" w:cs="Times New Roman"/>
                <w:lang w:val="en-US" w:eastAsia="zh-CN"/>
              </w:rPr>
              <w:t>kg计，本项目使用不含氮磷洗涤剂，工作服清洗用水为</w:t>
            </w:r>
            <w:r>
              <w:rPr>
                <w:rFonts w:hint="eastAsia" w:cs="Times New Roman"/>
                <w:lang w:val="en-US" w:eastAsia="zh-CN"/>
              </w:rPr>
              <w:t>300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w:t>
            </w:r>
            <w:r>
              <w:rPr>
                <w:rFonts w:hint="default" w:ascii="Times New Roman" w:hAnsi="Times New Roman" w:cs="Times New Roman"/>
                <w:color w:val="auto"/>
                <w:lang w:val="en-US" w:eastAsia="zh-CN"/>
              </w:rPr>
              <w:t>洗衣废水以工作服清洗用水量的0.8计，则洗衣废水为</w:t>
            </w:r>
            <w:r>
              <w:rPr>
                <w:rFonts w:hint="eastAsia" w:cs="Times New Roman"/>
                <w:color w:val="auto"/>
                <w:lang w:val="en-US" w:eastAsia="zh-CN"/>
              </w:rPr>
              <w:t>240</w:t>
            </w:r>
            <w:r>
              <w:rPr>
                <w:rFonts w:hint="default" w:ascii="Times New Roman" w:hAnsi="Times New Roman" w:cs="Times New Roman"/>
                <w:color w:val="auto"/>
                <w:lang w:val="en-US" w:eastAsia="zh-CN"/>
              </w:rPr>
              <w:t>t/a。根据《洗衣废水处理工程的设计及运行》（环境保护，2005年第8期），其废水中主要污染物及浓度为COD：500mg/L、SS：400mg/L，氨氮为5mg/L</w:t>
            </w:r>
            <w:r>
              <w:rPr>
                <w:rFonts w:hint="eastAsia" w:cs="Times New Roman"/>
                <w:color w:val="auto"/>
                <w:lang w:val="en-US" w:eastAsia="zh-CN"/>
              </w:rPr>
              <w:t>，</w:t>
            </w:r>
            <w:r>
              <w:rPr>
                <w:rFonts w:hint="default" w:ascii="Times New Roman" w:hAnsi="Times New Roman" w:cs="Times New Roman"/>
                <w:color w:val="auto"/>
                <w:lang w:val="en-US" w:eastAsia="zh-CN"/>
              </w:rPr>
              <w:t>直接进入厂内自建废水站处理。</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④纯水制备废水</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项目配备1套纯水制备系统，根据企业提供的资料，纯水使用环节为</w:t>
            </w:r>
            <w:r>
              <w:rPr>
                <w:rFonts w:hint="eastAsia" w:cs="Times New Roman"/>
                <w:lang w:val="en-US" w:eastAsia="zh-CN"/>
              </w:rPr>
              <w:t>注射液</w:t>
            </w:r>
            <w:r>
              <w:rPr>
                <w:rFonts w:hint="default" w:ascii="Times New Roman" w:hAnsi="Times New Roman" w:cs="Times New Roman"/>
                <w:lang w:val="en-US" w:eastAsia="zh-CN"/>
              </w:rPr>
              <w:t>使用，使用量为1030t/a，同时，设备清洗也需纯水12000t/a。一般制备弃水产生量约为原水量的30%，则纯化水制备工艺用自来水16939t/a，制备弃水产生量约为3909t/a，其主要成分为自来水过滤、浓缩后的残留液，废水盐度较高，污染物浓度较低。一般CODcr≤50mg/l，SS≤100mg/l，经项目自建污水站处理后接管园区污水管道。</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cs="Times New Roman"/>
                <w:lang w:val="en-US" w:eastAsia="zh-CN"/>
              </w:rPr>
              <w:t>2</w:t>
            </w:r>
            <w:r>
              <w:rPr>
                <w:rFonts w:hint="default" w:ascii="Times New Roman" w:hAnsi="Times New Roman" w:cs="Times New Roman"/>
                <w:lang w:val="en-US" w:eastAsia="zh-CN"/>
              </w:rPr>
              <w:t>）生活污水</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本项目常驻员工</w:t>
            </w:r>
            <w:r>
              <w:rPr>
                <w:rFonts w:hint="eastAsia" w:cs="Times New Roman"/>
                <w:lang w:val="en-US" w:eastAsia="zh-CN"/>
              </w:rPr>
              <w:t>100</w:t>
            </w:r>
            <w:r>
              <w:rPr>
                <w:rFonts w:hint="default" w:ascii="Times New Roman" w:hAnsi="Times New Roman" w:cs="Times New Roman"/>
                <w:lang w:val="en-US" w:eastAsia="zh-CN"/>
              </w:rPr>
              <w:t>人，根据《湖南省用水定额》（DB43/T388-2020）中表29</w:t>
            </w:r>
            <w:r>
              <w:rPr>
                <w:rFonts w:hint="eastAsia" w:cs="Times New Roman"/>
                <w:lang w:val="en-US" w:eastAsia="zh-CN"/>
              </w:rPr>
              <w:t>中等城市</w:t>
            </w:r>
            <w:r>
              <w:rPr>
                <w:rFonts w:hint="default" w:ascii="Times New Roman" w:hAnsi="Times New Roman" w:cs="Times New Roman"/>
                <w:lang w:val="en-US" w:eastAsia="zh-CN"/>
              </w:rPr>
              <w:t>通用值系数—</w:t>
            </w:r>
            <w:r>
              <w:rPr>
                <w:rFonts w:hint="eastAsia" w:cs="Times New Roman"/>
                <w:lang w:val="en-US" w:eastAsia="zh-CN"/>
              </w:rPr>
              <w:t>0.15</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/人·d，项目员工生活用水量为</w:t>
            </w:r>
            <w:r>
              <w:rPr>
                <w:rFonts w:hint="eastAsia" w:cs="Times New Roman"/>
                <w:lang w:val="en-US" w:eastAsia="zh-CN"/>
              </w:rPr>
              <w:t>4500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w:t>
            </w:r>
            <w:r>
              <w:rPr>
                <w:rFonts w:hint="eastAsia" w:cs="Times New Roman"/>
                <w:lang w:val="en-US" w:eastAsia="zh-CN"/>
              </w:rPr>
              <w:t>15</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/d）。废水量以用水量的80%计，废水量为</w:t>
            </w:r>
            <w:r>
              <w:rPr>
                <w:rFonts w:hint="eastAsia" w:cs="Times New Roman"/>
                <w:lang w:val="en-US" w:eastAsia="zh-CN"/>
              </w:rPr>
              <w:t>12</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r>
              <w:rPr>
                <w:rFonts w:hint="eastAsia" w:cs="Times New Roman"/>
                <w:lang w:val="en-US" w:eastAsia="zh-CN"/>
              </w:rPr>
              <w:t>3600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/a。生活污水中主要含CODCr、BOD</w:t>
            </w:r>
            <w:r>
              <w:rPr>
                <w:rFonts w:hint="default" w:ascii="Times New Roman" w:hAnsi="Times New Roman" w:cs="Times New Roman"/>
                <w:vertAlign w:val="subscript"/>
                <w:lang w:val="en-US" w:eastAsia="zh-CN"/>
              </w:rPr>
              <w:t>5</w:t>
            </w:r>
            <w:r>
              <w:rPr>
                <w:rFonts w:hint="default" w:ascii="Times New Roman" w:hAnsi="Times New Roman" w:cs="Times New Roman"/>
                <w:lang w:val="en-US" w:eastAsia="zh-CN"/>
              </w:rPr>
              <w:t>、SS、氨氮等污染物，主要污染物产生浓度250mg/L、150mg/L、200mg/L、15mg/L、30mg/L，产生量</w:t>
            </w:r>
            <w:r>
              <w:rPr>
                <w:rFonts w:hint="eastAsia" w:cs="Times New Roman"/>
                <w:lang w:val="en-US" w:eastAsia="zh-CN"/>
              </w:rPr>
              <w:t>0.9</w:t>
            </w:r>
            <w:r>
              <w:rPr>
                <w:rFonts w:hint="default" w:ascii="Times New Roman" w:hAnsi="Times New Roman" w:cs="Times New Roman"/>
                <w:lang w:val="en-US" w:eastAsia="zh-CN"/>
              </w:rPr>
              <w:t>t/a、</w:t>
            </w:r>
            <w:r>
              <w:rPr>
                <w:rFonts w:hint="eastAsia" w:cs="Times New Roman"/>
                <w:lang w:val="en-US" w:eastAsia="zh-CN"/>
              </w:rPr>
              <w:t>0.54</w:t>
            </w:r>
            <w:r>
              <w:rPr>
                <w:rFonts w:hint="default" w:ascii="Times New Roman" w:hAnsi="Times New Roman" w:cs="Times New Roman"/>
                <w:lang w:val="en-US" w:eastAsia="zh-CN"/>
              </w:rPr>
              <w:t>t/a、</w:t>
            </w:r>
            <w:r>
              <w:rPr>
                <w:rFonts w:hint="eastAsia" w:cs="Times New Roman"/>
                <w:lang w:val="en-US" w:eastAsia="zh-CN"/>
              </w:rPr>
              <w:t>0.72</w:t>
            </w:r>
            <w:r>
              <w:rPr>
                <w:rFonts w:hint="default" w:ascii="Times New Roman" w:hAnsi="Times New Roman" w:cs="Times New Roman"/>
                <w:lang w:val="en-US" w:eastAsia="zh-CN"/>
              </w:rPr>
              <w:t>t/a、</w:t>
            </w:r>
            <w:r>
              <w:rPr>
                <w:rFonts w:hint="eastAsia" w:cs="Times New Roman"/>
                <w:lang w:val="en-US" w:eastAsia="zh-CN"/>
              </w:rPr>
              <w:t>0.05</w:t>
            </w:r>
            <w:r>
              <w:rPr>
                <w:rFonts w:hint="default" w:ascii="Times New Roman" w:hAnsi="Times New Roman" w:cs="Times New Roman"/>
                <w:lang w:val="en-US" w:eastAsia="zh-CN"/>
              </w:rPr>
              <w:t>t/a、</w:t>
            </w:r>
            <w:r>
              <w:rPr>
                <w:rFonts w:hint="eastAsia" w:cs="Times New Roman"/>
                <w:lang w:val="en-US" w:eastAsia="zh-CN"/>
              </w:rPr>
              <w:t>0.11</w:t>
            </w:r>
            <w:r>
              <w:rPr>
                <w:rFonts w:hint="default" w:ascii="Times New Roman" w:hAnsi="Times New Roman" w:cs="Times New Roman"/>
                <w:lang w:val="en-US" w:eastAsia="zh-CN"/>
              </w:rPr>
              <w:t>t/a。生活污水经自建污水站处理后，经市政污水管网，进入德山污水处理厂处理。</w:t>
            </w:r>
          </w:p>
          <w:p>
            <w:pPr>
              <w:pStyle w:val="6"/>
              <w:numPr>
                <w:ilvl w:val="0"/>
                <w:numId w:val="0"/>
              </w:numPr>
              <w:bidi w:val="0"/>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废水排放情况</w:t>
            </w:r>
          </w:p>
          <w:p>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表4-6污水产生情况一览表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851"/>
              <w:gridCol w:w="785"/>
              <w:gridCol w:w="779"/>
              <w:gridCol w:w="1232"/>
              <w:gridCol w:w="765"/>
              <w:gridCol w:w="658"/>
              <w:gridCol w:w="682"/>
              <w:gridCol w:w="682"/>
              <w:gridCol w:w="682"/>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32" w:type="dxa"/>
                  <w:gridSpan w:val="2"/>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类别</w:t>
                  </w:r>
                </w:p>
              </w:tc>
              <w:tc>
                <w:tcPr>
                  <w:tcW w:w="2399" w:type="dxa"/>
                  <w:gridSpan w:val="2"/>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废水量（t/a）</w:t>
                  </w:r>
                </w:p>
              </w:tc>
              <w:tc>
                <w:tcPr>
                  <w:tcW w:w="4840" w:type="dxa"/>
                  <w:gridSpan w:val="6"/>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32" w:type="dxa"/>
                  <w:gridSpan w:val="2"/>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2399" w:type="dxa"/>
                  <w:gridSpan w:val="2"/>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89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CODcr</w:t>
                  </w:r>
                </w:p>
              </w:tc>
              <w:tc>
                <w:tcPr>
                  <w:tcW w:w="76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BOD</w:t>
                  </w:r>
                  <w:r>
                    <w:rPr>
                      <w:rFonts w:hint="default" w:ascii="Times New Roman" w:hAnsi="Times New Roman" w:eastAsia="宋体" w:cs="Times New Roman"/>
                      <w:snapToGrid w:val="0"/>
                      <w:color w:val="auto"/>
                      <w:kern w:val="21"/>
                      <w:szCs w:val="21"/>
                      <w:vertAlign w:val="subscript"/>
                      <w:lang w:val="en-US" w:eastAsia="zh-CN"/>
                    </w:rPr>
                    <w:t>5</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SS</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氨氮</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总氮</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08"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生产废水</w:t>
                  </w:r>
                </w:p>
              </w:tc>
              <w:tc>
                <w:tcPr>
                  <w:tcW w:w="924"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清洗废水</w:t>
                  </w:r>
                </w:p>
              </w:tc>
              <w:tc>
                <w:tcPr>
                  <w:tcW w:w="916"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19200</w:t>
                  </w:r>
                </w:p>
              </w:tc>
              <w:tc>
                <w:tcPr>
                  <w:tcW w:w="148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浓度（mg/L）</w:t>
                  </w:r>
                </w:p>
              </w:tc>
              <w:tc>
                <w:tcPr>
                  <w:tcW w:w="89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2000</w:t>
                  </w:r>
                </w:p>
              </w:tc>
              <w:tc>
                <w:tcPr>
                  <w:tcW w:w="76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200</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30</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60</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08"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24"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16"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148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产生量（t/a）</w:t>
                  </w:r>
                </w:p>
              </w:tc>
              <w:tc>
                <w:tcPr>
                  <w:tcW w:w="89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38.4</w:t>
                  </w:r>
                </w:p>
              </w:tc>
              <w:tc>
                <w:tcPr>
                  <w:tcW w:w="76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3.84</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0.576</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1.152</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08"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24"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地面保洁废水</w:t>
                  </w:r>
                </w:p>
              </w:tc>
              <w:tc>
                <w:tcPr>
                  <w:tcW w:w="916"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3008</w:t>
                  </w:r>
                </w:p>
              </w:tc>
              <w:tc>
                <w:tcPr>
                  <w:tcW w:w="148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浓度（mg/L）</w:t>
                  </w:r>
                </w:p>
              </w:tc>
              <w:tc>
                <w:tcPr>
                  <w:tcW w:w="89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100</w:t>
                  </w:r>
                </w:p>
              </w:tc>
              <w:tc>
                <w:tcPr>
                  <w:tcW w:w="76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200</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10</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15</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08"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24"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16"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148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产生量（t/a）</w:t>
                  </w:r>
                </w:p>
              </w:tc>
              <w:tc>
                <w:tcPr>
                  <w:tcW w:w="89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0.30</w:t>
                  </w:r>
                </w:p>
              </w:tc>
              <w:tc>
                <w:tcPr>
                  <w:tcW w:w="76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0.60</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0.03</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0.05</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08"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24"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洗衣服废水</w:t>
                  </w:r>
                </w:p>
              </w:tc>
              <w:tc>
                <w:tcPr>
                  <w:tcW w:w="916"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240</w:t>
                  </w:r>
                </w:p>
              </w:tc>
              <w:tc>
                <w:tcPr>
                  <w:tcW w:w="148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浓度（mg/L）</w:t>
                  </w:r>
                </w:p>
              </w:tc>
              <w:tc>
                <w:tcPr>
                  <w:tcW w:w="89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500</w:t>
                  </w:r>
                </w:p>
              </w:tc>
              <w:tc>
                <w:tcPr>
                  <w:tcW w:w="76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400</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5</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8"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24"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16"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148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产生量（t/a）</w:t>
                  </w:r>
                </w:p>
              </w:tc>
              <w:tc>
                <w:tcPr>
                  <w:tcW w:w="89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0.12</w:t>
                  </w:r>
                </w:p>
              </w:tc>
              <w:tc>
                <w:tcPr>
                  <w:tcW w:w="76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0.09</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0.001</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08"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24"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纯水制备废水</w:t>
                  </w:r>
                </w:p>
              </w:tc>
              <w:tc>
                <w:tcPr>
                  <w:tcW w:w="916"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3909</w:t>
                  </w:r>
                </w:p>
              </w:tc>
              <w:tc>
                <w:tcPr>
                  <w:tcW w:w="148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浓度（mg/L）</w:t>
                  </w:r>
                </w:p>
              </w:tc>
              <w:tc>
                <w:tcPr>
                  <w:tcW w:w="89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50</w:t>
                  </w:r>
                </w:p>
              </w:tc>
              <w:tc>
                <w:tcPr>
                  <w:tcW w:w="76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100</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08"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24"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16"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148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产生量（t/a）</w:t>
                  </w:r>
                </w:p>
              </w:tc>
              <w:tc>
                <w:tcPr>
                  <w:tcW w:w="89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0.195</w:t>
                  </w:r>
                </w:p>
              </w:tc>
              <w:tc>
                <w:tcPr>
                  <w:tcW w:w="76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0.39</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32" w:type="dxa"/>
                  <w:gridSpan w:val="2"/>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生活废水</w:t>
                  </w:r>
                </w:p>
              </w:tc>
              <w:tc>
                <w:tcPr>
                  <w:tcW w:w="916"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3600</w:t>
                  </w:r>
                </w:p>
              </w:tc>
              <w:tc>
                <w:tcPr>
                  <w:tcW w:w="148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浓度（mg/L）</w:t>
                  </w:r>
                </w:p>
              </w:tc>
              <w:tc>
                <w:tcPr>
                  <w:tcW w:w="89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250</w:t>
                  </w:r>
                </w:p>
              </w:tc>
              <w:tc>
                <w:tcPr>
                  <w:tcW w:w="76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150</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200</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15</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32" w:type="dxa"/>
                  <w:gridSpan w:val="2"/>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16"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148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产生量（t/a）</w:t>
                  </w:r>
                </w:p>
              </w:tc>
              <w:tc>
                <w:tcPr>
                  <w:tcW w:w="89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0.9</w:t>
                  </w:r>
                </w:p>
              </w:tc>
              <w:tc>
                <w:tcPr>
                  <w:tcW w:w="76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0.54</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0.72</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0.05</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32" w:type="dxa"/>
                  <w:gridSpan w:val="2"/>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进入项目自建污水处理站合计</w:t>
                  </w:r>
                </w:p>
              </w:tc>
              <w:tc>
                <w:tcPr>
                  <w:tcW w:w="916"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29957</w:t>
                  </w:r>
                </w:p>
              </w:tc>
              <w:tc>
                <w:tcPr>
                  <w:tcW w:w="148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浓度（mg/L）</w:t>
                  </w:r>
                </w:p>
              </w:tc>
              <w:tc>
                <w:tcPr>
                  <w:tcW w:w="89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1226.85</w:t>
                  </w:r>
                </w:p>
              </w:tc>
              <w:tc>
                <w:tcPr>
                  <w:tcW w:w="76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32.96</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199.17</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20.98</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40.97</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32" w:type="dxa"/>
                  <w:gridSpan w:val="2"/>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16"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148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产生量（t/a）</w:t>
                  </w:r>
                </w:p>
              </w:tc>
              <w:tc>
                <w:tcPr>
                  <w:tcW w:w="89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36.75</w:t>
                  </w:r>
                </w:p>
              </w:tc>
              <w:tc>
                <w:tcPr>
                  <w:tcW w:w="76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0.99</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5.97</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0.63</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1.23</w:t>
                  </w:r>
                </w:p>
              </w:tc>
              <w:tc>
                <w:tcPr>
                  <w:tcW w:w="794"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0.40</w:t>
                  </w:r>
                </w:p>
              </w:tc>
            </w:tr>
          </w:tbl>
          <w:p>
            <w:pPr>
              <w:pStyle w:val="6"/>
              <w:numPr>
                <w:ilvl w:val="0"/>
                <w:numId w:val="0"/>
              </w:numPr>
              <w:bidi w:val="0"/>
              <w:rPr>
                <w:rFonts w:hint="default" w:ascii="Times New Roman" w:hAnsi="Times New Roman" w:cs="Times New Roman"/>
                <w:u w:val="single"/>
                <w:lang w:val="en-US" w:eastAsia="zh-CN"/>
              </w:rPr>
            </w:pPr>
            <w:r>
              <w:rPr>
                <w:rFonts w:hint="eastAsia" w:ascii="Times New Roman" w:hAnsi="Times New Roman" w:cs="Times New Roman"/>
                <w:u w:val="single"/>
                <w:lang w:val="en-US" w:eastAsia="zh-CN"/>
              </w:rPr>
              <w:t>3、</w:t>
            </w:r>
            <w:r>
              <w:rPr>
                <w:rFonts w:hint="default" w:ascii="Times New Roman" w:hAnsi="Times New Roman" w:cs="Times New Roman"/>
                <w:u w:val="single"/>
                <w:lang w:val="en-US" w:eastAsia="zh-CN"/>
              </w:rPr>
              <w:t>污水处理措施</w:t>
            </w:r>
          </w:p>
          <w:p>
            <w:pPr>
              <w:numPr>
                <w:ilvl w:val="0"/>
                <w:numId w:val="0"/>
              </w:numPr>
              <w:adjustRightInd w:val="0"/>
              <w:snapToGrid w:val="0"/>
              <w:spacing w:line="360" w:lineRule="auto"/>
              <w:ind w:leftChars="0" w:firstLine="480" w:firstLineChars="200"/>
              <w:jc w:val="left"/>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本项目污水处理站设计</w:t>
            </w:r>
            <w:r>
              <w:rPr>
                <w:rFonts w:hint="eastAsia" w:cs="Times New Roman"/>
                <w:u w:val="single"/>
                <w:lang w:val="en-US" w:eastAsia="zh-CN"/>
              </w:rPr>
              <w:t>处理</w:t>
            </w:r>
            <w:r>
              <w:rPr>
                <w:rFonts w:hint="default" w:ascii="Times New Roman" w:hAnsi="Times New Roman" w:cs="Times New Roman"/>
                <w:u w:val="single"/>
                <w:lang w:val="en-US" w:eastAsia="zh-CN"/>
              </w:rPr>
              <w:t>能力为</w:t>
            </w:r>
            <w:r>
              <w:rPr>
                <w:rFonts w:hint="eastAsia" w:cs="Times New Roman"/>
                <w:u w:val="single"/>
                <w:lang w:val="en-US" w:eastAsia="zh-CN"/>
              </w:rPr>
              <w:t>100</w:t>
            </w:r>
            <w:r>
              <w:rPr>
                <w:rFonts w:hint="default" w:ascii="Times New Roman" w:hAnsi="Times New Roman" w:cs="Times New Roman"/>
                <w:u w:val="single"/>
                <w:lang w:val="en-US" w:eastAsia="zh-CN"/>
              </w:rPr>
              <w:t>t/d，生产废水处理工艺如下：废水处理工艺介绍：高浓度的设备清洗废水、质检废水、实验废水经单独收集管道收集后进入浓水收集池，提升泵将高浓度废水定量打入综合调节池，以减少废水水质波动性。低浓度的洗衣废水、喷淋废水、地面清洗废水经收集管道收集后进入调节池，与定量提升的高浓度废水混合均质均量，等到达一定液位后启动本系统。使得各股废水能够在调节池中充分混合均匀，降低废水水质的波动性。调节池设浮球液位计及提升泵，液位满足条件后启动提升泵将废水提升至混凝沉淀池，混凝沉淀池中混凝区及絮凝区设置两台搅拌机，于混凝池内投加PAC、絮凝池内投加阴离子PAM，PAC主要通过压缩双层，吸附电中和、吸附架桥、沉淀物网捕等机理作用，使水中细微悬浮粒子和胶体离子脱稳，聚集、絮凝、混凝、沉淀，达到净化处理效果；PAM分子能与分散于溶液中的悬浮粒子架桥吸附，有着极强的絮凝作用；从而去除大部分悬浮物。沉淀池出水自流入厌氧水解池，厌氧水解池内设置搅拌机，使废水与厌氧污泥充分混合，通过厌氧细菌的反应后降低废水的COD以及将有机氮释放出来，形成氨氮。在厌氧水解池停留较长时间，一方面去除了污水中的污染物，另一方面也减轻了后续处理的负荷，提高了污水的可生化性，并提高了处理效率。厌氧水解池内设生物填料，截留大部分厌氧污泥，省去了水解池后的沉淀池。厌氧水解池出水自流入A/O池，在鼓风曝气提供充足氧源的情况下，好氧微生物通过吸收废水中的有机质实现自身的新陈代谢等生命活动，同时废水中的有机质和氨氮得到充分去除。O池设置混合液回流泵，硝化液回流至A池，反硝化去除TN；处理后排入市政污水管网。</w:t>
            </w:r>
          </w:p>
          <w:p>
            <w:pPr>
              <w:numPr>
                <w:ilvl w:val="0"/>
                <w:numId w:val="0"/>
              </w:numPr>
              <w:adjustRightInd w:val="0"/>
              <w:snapToGrid w:val="0"/>
              <w:spacing w:line="360" w:lineRule="auto"/>
              <w:ind w:leftChars="0" w:firstLine="480" w:firstLineChars="200"/>
              <w:jc w:val="left"/>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混凝沉淀池定期排泥至污泥浓缩池，然后由污泥泵打入污泥调理系统，投加阳离子PAM进行调理后再由污泥泵打入</w:t>
            </w:r>
            <w:r>
              <w:rPr>
                <w:rFonts w:hint="eastAsia" w:ascii="Times New Roman" w:hAnsi="Times New Roman" w:eastAsia="宋体" w:cs="Times New Roman"/>
                <w:u w:val="single"/>
                <w:lang w:val="en-US" w:eastAsia="zh-CN"/>
              </w:rPr>
              <w:t>板框</w:t>
            </w:r>
            <w:r>
              <w:rPr>
                <w:rFonts w:hint="default" w:ascii="Times New Roman" w:hAnsi="Times New Roman" w:eastAsia="宋体" w:cs="Times New Roman"/>
                <w:u w:val="single"/>
                <w:lang w:val="en-US" w:eastAsia="zh-CN"/>
              </w:rPr>
              <w:t>压滤机进行脱水处理</w:t>
            </w:r>
            <w:r>
              <w:rPr>
                <w:rFonts w:hint="eastAsia" w:ascii="Times New Roman" w:hAnsi="Times New Roman" w:eastAsia="宋体" w:cs="Times New Roman"/>
                <w:u w:val="single"/>
                <w:lang w:val="en-US" w:eastAsia="zh-CN"/>
              </w:rPr>
              <w:t>（含水率不超过60%）</w:t>
            </w:r>
            <w:r>
              <w:rPr>
                <w:rFonts w:hint="default" w:ascii="Times New Roman" w:hAnsi="Times New Roman" w:eastAsia="宋体" w:cs="Times New Roman"/>
                <w:u w:val="single"/>
                <w:lang w:val="en-US" w:eastAsia="zh-CN"/>
              </w:rPr>
              <w:t>，滤液回流到调节池内，泥饼委外处理。</w:t>
            </w:r>
          </w:p>
          <w:p>
            <w:pPr>
              <w:numPr>
                <w:ilvl w:val="0"/>
                <w:numId w:val="0"/>
              </w:numPr>
              <w:adjustRightInd w:val="0"/>
              <w:snapToGrid w:val="0"/>
              <w:spacing w:line="360" w:lineRule="auto"/>
              <w:ind w:leftChars="0" w:firstLine="480" w:firstLineChars="200"/>
              <w:jc w:val="left"/>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本次环评要求建设单位在污水处理站修建过程中应配套建设事故应急池（100m</w:t>
            </w:r>
            <w:r>
              <w:rPr>
                <w:rFonts w:hint="eastAsia" w:ascii="Times New Roman" w:hAnsi="Times New Roman" w:eastAsia="宋体" w:cs="Times New Roman"/>
                <w:u w:val="single"/>
                <w:vertAlign w:val="superscript"/>
                <w:lang w:val="en-US" w:eastAsia="zh-CN"/>
              </w:rPr>
              <w:t>3</w:t>
            </w:r>
            <w:r>
              <w:rPr>
                <w:rFonts w:hint="eastAsia" w:ascii="Times New Roman" w:hAnsi="Times New Roman" w:eastAsia="宋体" w:cs="Times New Roman"/>
                <w:u w:val="single"/>
                <w:lang w:val="en-US" w:eastAsia="zh-CN"/>
              </w:rPr>
              <w:t>），杜绝污水处理站在运行过程中发生故障情况下厂区生产及生活废水未经处理直接外排入市政污水管网，本项目日产生废水量为99t，事故应急池100m</w:t>
            </w:r>
            <w:r>
              <w:rPr>
                <w:rFonts w:hint="eastAsia" w:ascii="Times New Roman" w:hAnsi="Times New Roman" w:eastAsia="宋体" w:cs="Times New Roman"/>
                <w:u w:val="single"/>
                <w:vertAlign w:val="superscript"/>
                <w:lang w:val="en-US" w:eastAsia="zh-CN"/>
              </w:rPr>
              <w:t>3</w:t>
            </w:r>
            <w:r>
              <w:rPr>
                <w:rFonts w:hint="eastAsia" w:ascii="Times New Roman" w:hAnsi="Times New Roman" w:eastAsia="宋体" w:cs="Times New Roman"/>
                <w:u w:val="single"/>
                <w:lang w:val="en-US" w:eastAsia="zh-CN"/>
              </w:rPr>
              <w:t>可储存厂区24小时全部生产及生活废水，因此可满足应急要求。</w:t>
            </w:r>
          </w:p>
          <w:p>
            <w:pPr>
              <w:numPr>
                <w:ilvl w:val="0"/>
                <w:numId w:val="0"/>
              </w:numPr>
              <w:adjustRightInd w:val="0"/>
              <w:snapToGrid w:val="0"/>
              <w:spacing w:line="360" w:lineRule="auto"/>
              <w:ind w:leftChars="0"/>
              <w:jc w:val="left"/>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生产废水处理工艺可行性分析：</w:t>
            </w:r>
          </w:p>
          <w:p>
            <w:pPr>
              <w:bidi w:val="0"/>
              <w:rPr>
                <w:rFonts w:hint="default" w:ascii="Times New Roman" w:hAnsi="Times New Roman" w:cs="Times New Roman"/>
                <w:u w:val="single"/>
                <w:lang w:val="en-US" w:eastAsia="zh-CN"/>
              </w:rPr>
            </w:pPr>
            <w:r>
              <w:rPr>
                <w:rFonts w:hint="default" w:ascii="Times New Roman" w:hAnsi="Times New Roman" w:cs="Times New Roman"/>
                <w:u w:val="none"/>
                <w:lang w:val="en-US" w:eastAsia="zh-CN"/>
              </w:rPr>
              <w:t xml:space="preserve">    </w:t>
            </w:r>
            <w:r>
              <w:rPr>
                <w:rFonts w:hint="default" w:ascii="Times New Roman" w:hAnsi="Times New Roman" w:eastAsia="宋体" w:cs="Times New Roman"/>
                <w:u w:val="single"/>
                <w:lang w:val="en-US" w:eastAsia="zh-CN"/>
              </w:rPr>
              <w:t>根据《排污许可证申请与核发技术规范制药工业—化学药品制剂制造》</w:t>
            </w:r>
            <w:r>
              <w:rPr>
                <w:rFonts w:hint="default" w:ascii="Times New Roman" w:hAnsi="Times New Roman" w:cs="Times New Roman"/>
                <w:u w:val="single"/>
                <w:lang w:val="en-US" w:eastAsia="zh-CN"/>
              </w:rPr>
              <w:t>(</w:t>
            </w:r>
            <w:r>
              <w:rPr>
                <w:rFonts w:hint="default" w:ascii="Times New Roman" w:hAnsi="Times New Roman" w:eastAsia="宋体" w:cs="Times New Roman"/>
                <w:u w:val="single"/>
              </w:rPr>
              <w:t>HJ10</w:t>
            </w:r>
            <w:r>
              <w:rPr>
                <w:rFonts w:hint="default" w:ascii="Times New Roman" w:hAnsi="Times New Roman" w:eastAsia="宋体" w:cs="Times New Roman"/>
                <w:u w:val="single"/>
                <w:lang w:val="en-US" w:eastAsia="zh-CN"/>
              </w:rPr>
              <w:t>63</w:t>
            </w:r>
            <w:r>
              <w:rPr>
                <w:rFonts w:hint="default" w:ascii="Times New Roman" w:hAnsi="Times New Roman" w:eastAsia="宋体" w:cs="Times New Roman"/>
                <w:u w:val="single"/>
              </w:rPr>
              <w:t>-2019</w:t>
            </w:r>
            <w:r>
              <w:rPr>
                <w:rFonts w:hint="default" w:ascii="Times New Roman" w:hAnsi="Times New Roman" w:cs="Times New Roman"/>
                <w:u w:val="single"/>
                <w:lang w:eastAsia="zh-CN"/>
              </w:rPr>
              <w:t>）</w:t>
            </w:r>
            <w:r>
              <w:rPr>
                <w:rFonts w:hint="default" w:ascii="Times New Roman" w:hAnsi="Times New Roman" w:eastAsia="宋体" w:cs="Times New Roman"/>
                <w:u w:val="single"/>
                <w:lang w:val="en-US" w:eastAsia="zh-CN"/>
              </w:rPr>
              <w:t>中表A.2废水处理可行技术参考表，综合废水的可行性技术为预处理（灭活、格栅、混凝沉淀、气浮）+生化处理（水解酸化、好氧生物），本项目措施为“混凝沉淀+厌氧水解+A/O”，属于综合废水的可行性技术。</w:t>
            </w:r>
          </w:p>
          <w:p>
            <w:pPr>
              <w:jc w:val="left"/>
              <w:rPr>
                <w:rFonts w:hint="default" w:ascii="Times New Roman" w:hAnsi="Times New Roman" w:cs="Times New Roman"/>
                <w:lang w:eastAsia="zh-CN"/>
              </w:rPr>
            </w:pP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2513330</wp:posOffset>
                      </wp:positionH>
                      <wp:positionV relativeFrom="paragraph">
                        <wp:posOffset>2470150</wp:posOffset>
                      </wp:positionV>
                      <wp:extent cx="0" cy="419100"/>
                      <wp:effectExtent l="48895" t="0" r="65405" b="0"/>
                      <wp:wrapNone/>
                      <wp:docPr id="29" name="直接箭头连接符 29"/>
                      <wp:cNvGraphicFramePr/>
                      <a:graphic xmlns:a="http://schemas.openxmlformats.org/drawingml/2006/main">
                        <a:graphicData uri="http://schemas.microsoft.com/office/word/2010/wordprocessingShape">
                          <wps:wsp>
                            <wps:cNvCnPr/>
                            <wps:spPr>
                              <a:xfrm>
                                <a:off x="3913505" y="3384550"/>
                                <a:ext cx="0" cy="41910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97.9pt;margin-top:194.5pt;height:33pt;width:0pt;z-index:251663360;mso-width-relative:page;mso-height-relative:page;" filled="f" stroked="t" coordsize="21600,21600" o:gfxdata="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yHHY2AAAAAsBAAAPAAAAAAAAAAEAIAAAACIAAABkcnMvZG93bnJldi54bWxQSwEC&#10;FAAUAAAACACHTuJARSnZXC0CAAAtBAAADgAAAAAAAAABACAAAAAnAQAAZHJzL2Uyb0RvYy54bWxQ&#10;SwUGAAAAAAYABgBZAQAAxgUAAAAA&#10;">
                      <v:fill on="f" focussize="0,0"/>
                      <v:stroke color="#000000" joinstyle="round" endarrow="open"/>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2484755</wp:posOffset>
                      </wp:positionH>
                      <wp:positionV relativeFrom="paragraph">
                        <wp:posOffset>1774825</wp:posOffset>
                      </wp:positionV>
                      <wp:extent cx="0" cy="361950"/>
                      <wp:effectExtent l="48895" t="0" r="65405" b="0"/>
                      <wp:wrapNone/>
                      <wp:docPr id="28" name="直接箭头连接符 28"/>
                      <wp:cNvGraphicFramePr/>
                      <a:graphic xmlns:a="http://schemas.openxmlformats.org/drawingml/2006/main">
                        <a:graphicData uri="http://schemas.microsoft.com/office/word/2010/wordprocessingShape">
                          <wps:wsp>
                            <wps:cNvCnPr/>
                            <wps:spPr>
                              <a:xfrm>
                                <a:off x="3942080" y="2689225"/>
                                <a:ext cx="0" cy="3619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95.65pt;margin-top:139.75pt;height:28.5pt;width:0pt;z-index:251662336;mso-width-relative:page;mso-height-relative:page;" filled="f" stroked="t" coordsize="21600,21600" o:gfxdata="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EWTpe2AAAAAsBAAAPAAAAAAAAAAEAIAAAACIAAABkcnMvZG93bnJldi54bWxQSwEC&#10;FAAUAAAACACHTuJAkslVHC0CAAAtBAAADgAAAAAAAAABACAAAAAnAQAAZHJzL2Uyb0RvYy54bWxQ&#10;SwUGAAAAAAYABgBZAQAAxgUAAAAA&#10;">
                      <v:fill on="f" focussize="0,0"/>
                      <v:stroke color="#000000" joinstyle="round" endarrow="open"/>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2484755</wp:posOffset>
                      </wp:positionH>
                      <wp:positionV relativeFrom="paragraph">
                        <wp:posOffset>1117600</wp:posOffset>
                      </wp:positionV>
                      <wp:extent cx="9525" cy="352425"/>
                      <wp:effectExtent l="41910" t="0" r="62865" b="9525"/>
                      <wp:wrapNone/>
                      <wp:docPr id="27" name="直接箭头连接符 27"/>
                      <wp:cNvGraphicFramePr/>
                      <a:graphic xmlns:a="http://schemas.openxmlformats.org/drawingml/2006/main">
                        <a:graphicData uri="http://schemas.microsoft.com/office/word/2010/wordprocessingShape">
                          <wps:wsp>
                            <wps:cNvCnPr/>
                            <wps:spPr>
                              <a:xfrm>
                                <a:off x="3961130" y="2022475"/>
                                <a:ext cx="9525" cy="3524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95.65pt;margin-top:88pt;height:27.75pt;width:0.75pt;z-index:251661312;mso-width-relative:page;mso-height-relative:page;" filled="f" stroked="t" coordsize="21600,21600" o:gfxdata="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ukJZ9kAAAALAQAADwAAAAAAAAABACAAAAAiAAAAZHJzL2Rvd25yZXYueG1sUEsB&#10;AhQAFAAAAAgAh07iQN0NGm8tAgAAMAQAAA4AAAAAAAAAAQAgAAAAKAEAAGRycy9lMm9Eb2MueG1s&#10;UEsFBgAAAAAGAAYAWQEAAMcFAAAAAA==&#10;">
                      <v:fill on="f" focussize="0,0"/>
                      <v:stroke color="#000000" joinstyle="round" endarrow="open"/>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2456180</wp:posOffset>
                      </wp:positionH>
                      <wp:positionV relativeFrom="paragraph">
                        <wp:posOffset>488950</wp:posOffset>
                      </wp:positionV>
                      <wp:extent cx="9525" cy="304800"/>
                      <wp:effectExtent l="42545" t="0" r="62230" b="0"/>
                      <wp:wrapNone/>
                      <wp:docPr id="25" name="直接箭头连接符 25"/>
                      <wp:cNvGraphicFramePr/>
                      <a:graphic xmlns:a="http://schemas.openxmlformats.org/drawingml/2006/main">
                        <a:graphicData uri="http://schemas.microsoft.com/office/word/2010/wordprocessingShape">
                          <wps:wsp>
                            <wps:cNvCnPr/>
                            <wps:spPr>
                              <a:xfrm>
                                <a:off x="3923030" y="1384300"/>
                                <a:ext cx="9525" cy="30480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93.4pt;margin-top:38.5pt;height:24pt;width:0.75pt;z-index:251660288;mso-width-relative:page;mso-height-relative:page;" filled="f" stroked="t" coordsize="21600,21600" o:gfxdata="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pxZaTZAAAACgEAAA8AAAAAAAAAAQAgAAAAIgAAAGRycy9kb3ducmV2LnhtbFBLAQIU&#10;ABQAAAAIAIdO4kA0JreMKwIAADAEAAAOAAAAAAAAAAEAIAAAACgBAABkcnMvZTJvRG9jLnhtbFBL&#10;BQYAAAAABgAGAFkBAADFBQAAAAA=&#10;">
                      <v:fill on="f" focussize="0,0"/>
                      <v:stroke color="#000000" joinstyle="round" endarrow="open"/>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2560955</wp:posOffset>
                      </wp:positionH>
                      <wp:positionV relativeFrom="paragraph">
                        <wp:posOffset>4699000</wp:posOffset>
                      </wp:positionV>
                      <wp:extent cx="0" cy="400050"/>
                      <wp:effectExtent l="48895" t="0" r="65405" b="0"/>
                      <wp:wrapNone/>
                      <wp:docPr id="32" name="直接箭头连接符 32"/>
                      <wp:cNvGraphicFramePr/>
                      <a:graphic xmlns:a="http://schemas.openxmlformats.org/drawingml/2006/main">
                        <a:graphicData uri="http://schemas.microsoft.com/office/word/2010/wordprocessingShape">
                          <wps:wsp>
                            <wps:cNvCnPr/>
                            <wps:spPr>
                              <a:xfrm>
                                <a:off x="3903980" y="5603875"/>
                                <a:ext cx="0" cy="4000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201.65pt;margin-top:370pt;height:31.5pt;width:0pt;z-index:251666432;mso-width-relative:page;mso-height-relative:page;" filled="f" stroked="t" coordsize="21600,21600" o:gfxdata="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CHLh1wAAAAsBAAAPAAAAAAAAAAEAIAAAACIAAABkcnMvZG93bnJldi54bWxQSwEC&#10;FAAUAAAACACHTuJAgTlyUC4CAAAtBAAADgAAAAAAAAABACAAAAAmAQAAZHJzL2Uyb0RvYy54bWxQ&#10;SwUGAAAAAAYABgBZAQAAxgUAAAAA&#10;">
                      <v:fill on="f" focussize="0,0"/>
                      <v:stroke color="#000000" joinstyle="round" endarrow="open"/>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2551430</wp:posOffset>
                      </wp:positionH>
                      <wp:positionV relativeFrom="paragraph">
                        <wp:posOffset>4003675</wp:posOffset>
                      </wp:positionV>
                      <wp:extent cx="0" cy="323850"/>
                      <wp:effectExtent l="48895" t="0" r="65405" b="0"/>
                      <wp:wrapNone/>
                      <wp:docPr id="31" name="直接箭头连接符 31"/>
                      <wp:cNvGraphicFramePr/>
                      <a:graphic xmlns:a="http://schemas.openxmlformats.org/drawingml/2006/main">
                        <a:graphicData uri="http://schemas.microsoft.com/office/word/2010/wordprocessingShape">
                          <wps:wsp>
                            <wps:cNvCnPr/>
                            <wps:spPr>
                              <a:xfrm>
                                <a:off x="3923030" y="4918075"/>
                                <a:ext cx="0" cy="3238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200.9pt;margin-top:315.25pt;height:25.5pt;width:0pt;z-index:251665408;mso-width-relative:page;mso-height-relative:page;" filled="f" stroked="t" coordsize="21600,21600" o:gfxdata="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UVidb1wAAAAsBAAAPAAAAAAAAAAEAIAAAACIAAABkcnMvZG93bnJldi54bWxQSwEC&#10;FAAUAAAACACHTuJARg+dxy4CAAAtBAAADgAAAAAAAAABACAAAAAmAQAAZHJzL2Uyb0RvYy54bWxQ&#10;SwUGAAAAAAYABgBZAQAAxgUAAAAA&#10;">
                      <v:fill on="f" focussize="0,0"/>
                      <v:stroke color="#000000" joinstyle="round" endarrow="open"/>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2532380</wp:posOffset>
                      </wp:positionH>
                      <wp:positionV relativeFrom="paragraph">
                        <wp:posOffset>3232150</wp:posOffset>
                      </wp:positionV>
                      <wp:extent cx="9525" cy="400050"/>
                      <wp:effectExtent l="41910" t="0" r="62865" b="0"/>
                      <wp:wrapNone/>
                      <wp:docPr id="30" name="直接箭头连接符 30"/>
                      <wp:cNvGraphicFramePr/>
                      <a:graphic xmlns:a="http://schemas.openxmlformats.org/drawingml/2006/main">
                        <a:graphicData uri="http://schemas.microsoft.com/office/word/2010/wordprocessingShape">
                          <wps:wsp>
                            <wps:cNvCnPr/>
                            <wps:spPr>
                              <a:xfrm>
                                <a:off x="3913505" y="4156075"/>
                                <a:ext cx="9525" cy="4000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99.4pt;margin-top:254.5pt;height:31.5pt;width:0.75pt;z-index:251664384;mso-width-relative:page;mso-height-relative:page;" filled="f" stroked="t" coordsize="21600,21600" o:gfxdata="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95BHvZAAAACwEAAA8AAAAAAAAAAQAgAAAAIgAAAGRycy9kb3ducmV2LnhtbFBLAQIU&#10;ABQAAAAIAIdO4kBd8bqVKwIAADAEAAAOAAAAAAAAAAEAIAAAACgBAABkcnMvZTJvRG9jLnhtbFBL&#10;BQYAAAAABgAGAFkBAADFBQAAAAA=&#10;">
                      <v:fill on="f" focussize="0,0"/>
                      <v:stroke color="#000000" joinstyle="round" endarrow="open"/>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1351280</wp:posOffset>
                      </wp:positionH>
                      <wp:positionV relativeFrom="paragraph">
                        <wp:posOffset>4518025</wp:posOffset>
                      </wp:positionV>
                      <wp:extent cx="695325" cy="9525"/>
                      <wp:effectExtent l="0" t="48260" r="9525" b="56515"/>
                      <wp:wrapNone/>
                      <wp:docPr id="39" name="直接箭头连接符 39"/>
                      <wp:cNvGraphicFramePr/>
                      <a:graphic xmlns:a="http://schemas.openxmlformats.org/drawingml/2006/main">
                        <a:graphicData uri="http://schemas.microsoft.com/office/word/2010/wordprocessingShape">
                          <wps:wsp>
                            <wps:cNvCnPr/>
                            <wps:spPr>
                              <a:xfrm flipV="1">
                                <a:off x="2799080" y="5432425"/>
                                <a:ext cx="695325" cy="95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06.4pt;margin-top:355.75pt;height:0.75pt;width:54.75pt;z-index:251667456;mso-width-relative:page;mso-height-relative:page;" filled="f" stroked="t" coordsize="21600,21600" o:gfxdata="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BvJ0tgAAAALAQAADwAAAAAAAAABACAAAAAiAAAAZHJzL2Rvd25yZXYu&#10;eG1sUEsBAhQAFAAAAAgAh07iQHUMsYY0AgAAOgQAAA4AAAAAAAAAAQAgAAAAJwEAAGRycy9lMm9E&#10;b2MueG1sUEsFBgAAAAAGAAYAWQEAAM0FAAAAAA==&#10;">
                      <v:fill on="f" focussize="0,0"/>
                      <v:stroke color="#000000" joinstyle="round" endarrow="open"/>
                      <v:imagedata o:title=""/>
                      <o:lock v:ext="edit" aspectratio="f"/>
                    </v:shape>
                  </w:pict>
                </mc:Fallback>
              </mc:AlternateContent>
            </w:r>
            <w:r>
              <w:rPr>
                <w:rFonts w:hint="default" w:ascii="Times New Roman" w:hAnsi="Times New Roman" w:cs="Times New Roman"/>
              </w:rPr>
              <mc:AlternateContent>
                <mc:Choice Requires="wpc">
                  <w:drawing>
                    <wp:inline distT="0" distB="0" distL="114300" distR="114300">
                      <wp:extent cx="4860290" cy="5501640"/>
                      <wp:effectExtent l="4445" t="4445" r="335915" b="75565"/>
                      <wp:docPr id="14" name="画布 4"/>
                      <wp:cNvGraphicFramePr/>
                      <a:graphic xmlns:a="http://schemas.openxmlformats.org/drawingml/2006/main">
                        <a:graphicData uri="http://schemas.microsoft.com/office/word/2010/wordprocessingCanvas">
                          <wpc:wpc>
                            <wpc:bg>
                              <a:noFill/>
                            </wpc:bg>
                            <wpc:whole>
                              <a:ln w="9525" cap="flat" cmpd="sng">
                                <a:solidFill>
                                  <a:srgbClr val="000000"/>
                                </a:solidFill>
                                <a:prstDash val="solid"/>
                                <a:round/>
                                <a:headEnd type="none" w="med" len="med"/>
                                <a:tailEnd type="none" w="med" len="med"/>
                              </a:ln>
                            </wpc:whole>
                            <wps:wsp>
                              <wps:cNvPr id="5" name="文本框 5"/>
                              <wps:cNvSpPr txBox="1"/>
                              <wps:spPr>
                                <a:xfrm>
                                  <a:off x="1997710" y="702945"/>
                                  <a:ext cx="952500" cy="359410"/>
                                </a:xfrm>
                                <a:prstGeom prst="rect">
                                  <a:avLst/>
                                </a:prstGeom>
                                <a:solidFill>
                                  <a:srgbClr val="FFFFFF"/>
                                </a:solidFill>
                                <a:ln w="6350">
                                  <a:solidFill>
                                    <a:prstClr val="black"/>
                                  </a:solidFill>
                                </a:ln>
                                <a:effectLst/>
                              </wps:spPr>
                              <wps:txbx>
                                <w:txbxContent>
                                  <w:p>
                                    <w:pPr>
                                      <w:pStyle w:val="26"/>
                                      <w:bidi w:val="0"/>
                                      <w:jc w:val="center"/>
                                      <w:rPr>
                                        <w:rFonts w:hint="eastAsia"/>
                                        <w:lang w:eastAsia="zh-CN"/>
                                      </w:rPr>
                                    </w:pPr>
                                    <w:r>
                                      <w:rPr>
                                        <w:rFonts w:hint="eastAsia"/>
                                        <w:lang w:eastAsia="zh-CN"/>
                                      </w:rPr>
                                      <w:t>调节池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1991995" y="86995"/>
                                  <a:ext cx="952500" cy="359410"/>
                                </a:xfrm>
                                <a:prstGeom prst="rect">
                                  <a:avLst/>
                                </a:prstGeom>
                                <a:noFill/>
                                <a:ln w="6350">
                                  <a:noFill/>
                                </a:ln>
                                <a:effectLst/>
                              </wps:spPr>
                              <wps:txbx>
                                <w:txbxContent>
                                  <w:p>
                                    <w:pPr>
                                      <w:pStyle w:val="26"/>
                                      <w:bidi w:val="0"/>
                                      <w:jc w:val="center"/>
                                      <w:rPr>
                                        <w:rFonts w:hint="eastAsia"/>
                                        <w:lang w:eastAsia="zh-CN"/>
                                      </w:rPr>
                                    </w:pPr>
                                    <w:r>
                                      <w:rPr>
                                        <w:rFonts w:hint="eastAsia"/>
                                        <w:lang w:eastAsia="zh-CN"/>
                                      </w:rPr>
                                      <w:t>生产废水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7"/>
                              <wps:cNvSpPr txBox="1"/>
                              <wps:spPr>
                                <a:xfrm>
                                  <a:off x="1998980" y="1381760"/>
                                  <a:ext cx="952500" cy="359410"/>
                                </a:xfrm>
                                <a:prstGeom prst="rect">
                                  <a:avLst/>
                                </a:prstGeom>
                                <a:solidFill>
                                  <a:srgbClr val="FFFFFF"/>
                                </a:solidFill>
                                <a:ln w="6350">
                                  <a:solidFill>
                                    <a:prstClr val="black"/>
                                  </a:solidFill>
                                </a:ln>
                                <a:effectLst/>
                              </wps:spPr>
                              <wps:txbx>
                                <w:txbxContent>
                                  <w:p>
                                    <w:pPr>
                                      <w:pStyle w:val="26"/>
                                      <w:bidi w:val="0"/>
                                      <w:rPr>
                                        <w:rFonts w:hint="eastAsia"/>
                                        <w:lang w:eastAsia="zh-CN"/>
                                      </w:rPr>
                                    </w:pPr>
                                    <w:r>
                                      <w:rPr>
                                        <w:rFonts w:hint="eastAsia"/>
                                        <w:lang w:eastAsia="zh-CN"/>
                                      </w:rPr>
                                      <w:t>混凝沉淀池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8"/>
                              <wps:cNvSpPr txBox="1"/>
                              <wps:spPr>
                                <a:xfrm>
                                  <a:off x="2000250" y="2069465"/>
                                  <a:ext cx="952500" cy="359410"/>
                                </a:xfrm>
                                <a:prstGeom prst="rect">
                                  <a:avLst/>
                                </a:prstGeom>
                                <a:solidFill>
                                  <a:srgbClr val="FFFFFF"/>
                                </a:solidFill>
                                <a:ln w="6350">
                                  <a:solidFill>
                                    <a:prstClr val="black"/>
                                  </a:solidFill>
                                </a:ln>
                                <a:effectLst/>
                              </wps:spPr>
                              <wps:txbx>
                                <w:txbxContent>
                                  <w:p>
                                    <w:pPr>
                                      <w:pStyle w:val="26"/>
                                      <w:bidi w:val="0"/>
                                      <w:rPr>
                                        <w:rFonts w:hint="eastAsia" w:eastAsia="宋体"/>
                                        <w:lang w:eastAsia="zh-CN"/>
                                      </w:rPr>
                                    </w:pPr>
                                    <w:r>
                                      <w:rPr>
                                        <w:rFonts w:hint="eastAsia"/>
                                        <w:lang w:eastAsia="zh-CN"/>
                                      </w:rPr>
                                      <w:t>厌氧池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2004695" y="2835276"/>
                                  <a:ext cx="952500" cy="359410"/>
                                </a:xfrm>
                                <a:prstGeom prst="rect">
                                  <a:avLst/>
                                </a:prstGeom>
                                <a:solidFill>
                                  <a:srgbClr val="FFFFFF"/>
                                </a:solidFill>
                                <a:ln w="6350">
                                  <a:solidFill>
                                    <a:prstClr val="black"/>
                                  </a:solidFill>
                                </a:ln>
                                <a:effectLst/>
                              </wps:spPr>
                              <wps:txbx>
                                <w:txbxContent>
                                  <w:p>
                                    <w:pPr>
                                      <w:pStyle w:val="26"/>
                                      <w:bidi w:val="0"/>
                                      <w:rPr>
                                        <w:rFonts w:hint="eastAsia"/>
                                        <w:lang w:eastAsia="zh-CN"/>
                                      </w:rPr>
                                    </w:pPr>
                                    <w:r>
                                      <w:rPr>
                                        <w:rFonts w:hint="eastAsia"/>
                                        <w:lang w:eastAsia="zh-CN"/>
                                      </w:rPr>
                                      <w:t>一级缺氧池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2021840" y="3571241"/>
                                  <a:ext cx="952500" cy="359410"/>
                                </a:xfrm>
                                <a:prstGeom prst="rect">
                                  <a:avLst/>
                                </a:prstGeom>
                                <a:solidFill>
                                  <a:srgbClr val="FFFFFF"/>
                                </a:solidFill>
                                <a:ln w="6350">
                                  <a:solidFill>
                                    <a:prstClr val="black"/>
                                  </a:solidFill>
                                </a:ln>
                                <a:effectLst/>
                              </wps:spPr>
                              <wps:txbx>
                                <w:txbxContent>
                                  <w:p>
                                    <w:pPr>
                                      <w:pStyle w:val="26"/>
                                      <w:bidi w:val="0"/>
                                      <w:rPr>
                                        <w:rFonts w:hint="eastAsia"/>
                                        <w:lang w:eastAsia="zh-CN"/>
                                      </w:rPr>
                                    </w:pPr>
                                    <w:r>
                                      <w:rPr>
                                        <w:rFonts w:hint="eastAsia"/>
                                        <w:lang w:eastAsia="zh-CN"/>
                                      </w:rPr>
                                      <w:t>一级好氧池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2032000" y="4279901"/>
                                  <a:ext cx="952500" cy="359410"/>
                                </a:xfrm>
                                <a:prstGeom prst="rect">
                                  <a:avLst/>
                                </a:prstGeom>
                                <a:solidFill>
                                  <a:srgbClr val="FFFFFF"/>
                                </a:solidFill>
                                <a:ln w="6350">
                                  <a:solidFill>
                                    <a:prstClr val="black"/>
                                  </a:solidFill>
                                </a:ln>
                                <a:effectLst/>
                              </wps:spPr>
                              <wps:txbx>
                                <w:txbxContent>
                                  <w:p>
                                    <w:pPr>
                                      <w:pStyle w:val="26"/>
                                      <w:bidi w:val="0"/>
                                      <w:rPr>
                                        <w:rFonts w:hint="eastAsia"/>
                                        <w:lang w:eastAsia="zh-CN"/>
                                      </w:rPr>
                                    </w:pPr>
                                    <w:r>
                                      <w:rPr>
                                        <w:rFonts w:hint="eastAsia"/>
                                        <w:lang w:eastAsia="zh-CN"/>
                                      </w:rPr>
                                      <w:t>二级缺氧池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586105" y="2061210"/>
                                  <a:ext cx="755650" cy="359410"/>
                                </a:xfrm>
                                <a:prstGeom prst="rect">
                                  <a:avLst/>
                                </a:prstGeom>
                                <a:solidFill>
                                  <a:srgbClr val="FFFFFF"/>
                                </a:solidFill>
                                <a:ln w="6350">
                                  <a:solidFill>
                                    <a:prstClr val="black"/>
                                  </a:solidFill>
                                </a:ln>
                                <a:effectLst/>
                              </wps:spPr>
                              <wps:txbx>
                                <w:txbxContent>
                                  <w:p>
                                    <w:pPr>
                                      <w:pStyle w:val="26"/>
                                      <w:bidi w:val="0"/>
                                      <w:rPr>
                                        <w:rFonts w:hint="eastAsia"/>
                                        <w:lang w:eastAsia="zh-CN"/>
                                      </w:rPr>
                                    </w:pPr>
                                    <w:r>
                                      <w:rPr>
                                        <w:rFonts w:hint="eastAsia"/>
                                        <w:lang w:eastAsia="zh-CN"/>
                                      </w:rPr>
                                      <w:t>搅拌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598170" y="2828291"/>
                                  <a:ext cx="755650" cy="359410"/>
                                </a:xfrm>
                                <a:prstGeom prst="rect">
                                  <a:avLst/>
                                </a:prstGeom>
                                <a:solidFill>
                                  <a:srgbClr val="FFFFFF"/>
                                </a:solidFill>
                                <a:ln w="6350">
                                  <a:solidFill>
                                    <a:prstClr val="black"/>
                                  </a:solidFill>
                                </a:ln>
                                <a:effectLst/>
                              </wps:spPr>
                              <wps:txbx>
                                <w:txbxContent>
                                  <w:p>
                                    <w:pPr>
                                      <w:pStyle w:val="26"/>
                                      <w:bidi w:val="0"/>
                                      <w:rPr>
                                        <w:rFonts w:hint="eastAsia"/>
                                        <w:lang w:eastAsia="zh-CN"/>
                                      </w:rPr>
                                    </w:pPr>
                                    <w:r>
                                      <w:rPr>
                                        <w:rFonts w:hint="eastAsia"/>
                                        <w:lang w:eastAsia="zh-CN"/>
                                      </w:rPr>
                                      <w:t>搅拌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文本框 17"/>
                              <wps:cNvSpPr txBox="1"/>
                              <wps:spPr>
                                <a:xfrm>
                                  <a:off x="603250" y="3567431"/>
                                  <a:ext cx="755650" cy="359410"/>
                                </a:xfrm>
                                <a:prstGeom prst="rect">
                                  <a:avLst/>
                                </a:prstGeom>
                                <a:solidFill>
                                  <a:srgbClr val="FFFFFF"/>
                                </a:solidFill>
                                <a:ln w="6350">
                                  <a:solidFill>
                                    <a:prstClr val="black"/>
                                  </a:solidFill>
                                </a:ln>
                                <a:effectLst/>
                              </wps:spPr>
                              <wps:txbx>
                                <w:txbxContent>
                                  <w:p>
                                    <w:pPr>
                                      <w:pStyle w:val="26"/>
                                      <w:bidi w:val="0"/>
                                      <w:rPr>
                                        <w:rFonts w:hint="eastAsia"/>
                                        <w:lang w:eastAsia="zh-CN"/>
                                      </w:rPr>
                                    </w:pPr>
                                    <w:r>
                                      <w:rPr>
                                        <w:rFonts w:hint="eastAsia"/>
                                        <w:lang w:eastAsia="zh-CN"/>
                                      </w:rPr>
                                      <w:t>曝气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591820" y="4303396"/>
                                  <a:ext cx="755650" cy="359410"/>
                                </a:xfrm>
                                <a:prstGeom prst="rect">
                                  <a:avLst/>
                                </a:prstGeom>
                                <a:solidFill>
                                  <a:srgbClr val="FFFFFF"/>
                                </a:solidFill>
                                <a:ln w="6350">
                                  <a:solidFill>
                                    <a:prstClr val="black"/>
                                  </a:solidFill>
                                </a:ln>
                                <a:effectLst/>
                              </wps:spPr>
                              <wps:txbx>
                                <w:txbxContent>
                                  <w:p>
                                    <w:pPr>
                                      <w:pStyle w:val="26"/>
                                      <w:bidi w:val="0"/>
                                      <w:rPr>
                                        <w:rFonts w:hint="eastAsia"/>
                                        <w:lang w:eastAsia="zh-CN"/>
                                      </w:rPr>
                                    </w:pPr>
                                    <w:r>
                                      <w:rPr>
                                        <w:rFonts w:hint="eastAsia"/>
                                        <w:lang w:eastAsia="zh-CN"/>
                                      </w:rPr>
                                      <w:t>搅拌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3174365" y="3218181"/>
                                  <a:ext cx="952500" cy="359410"/>
                                </a:xfrm>
                                <a:prstGeom prst="rect">
                                  <a:avLst/>
                                </a:prstGeom>
                                <a:noFill/>
                                <a:ln w="6350">
                                  <a:noFill/>
                                </a:ln>
                                <a:effectLst/>
                              </wps:spPr>
                              <wps:txbx>
                                <w:txbxContent>
                                  <w:p>
                                    <w:pPr>
                                      <w:pStyle w:val="26"/>
                                      <w:bidi w:val="0"/>
                                      <w:rPr>
                                        <w:rFonts w:hint="eastAsia"/>
                                        <w:lang w:eastAsia="zh-CN"/>
                                      </w:rPr>
                                    </w:pPr>
                                    <w:r>
                                      <w:rPr>
                                        <w:rFonts w:hint="eastAsia"/>
                                        <w:lang w:eastAsia="zh-CN"/>
                                      </w:rPr>
                                      <w:t>混合液回流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文本框 3"/>
                              <wps:cNvSpPr txBox="1"/>
                              <wps:spPr>
                                <a:xfrm>
                                  <a:off x="1989455" y="5008881"/>
                                  <a:ext cx="952500" cy="359410"/>
                                </a:xfrm>
                                <a:prstGeom prst="rect">
                                  <a:avLst/>
                                </a:prstGeom>
                                <a:noFill/>
                                <a:ln w="6350">
                                  <a:noFill/>
                                </a:ln>
                                <a:effectLst/>
                              </wps:spPr>
                              <wps:txbx>
                                <w:txbxContent>
                                  <w:p>
                                    <w:pPr>
                                      <w:pStyle w:val="26"/>
                                      <w:bidi w:val="0"/>
                                      <w:jc w:val="center"/>
                                      <w:rPr>
                                        <w:rFonts w:hint="eastAsia"/>
                                        <w:lang w:eastAsia="zh-CN"/>
                                      </w:rPr>
                                    </w:pPr>
                                    <w:r>
                                      <w:rPr>
                                        <w:rFonts w:hint="eastAsia"/>
                                        <w:lang w:eastAsia="zh-CN"/>
                                      </w:rPr>
                                      <w:t>外排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4208780" y="3456306"/>
                                  <a:ext cx="952500" cy="359410"/>
                                </a:xfrm>
                                <a:prstGeom prst="rect">
                                  <a:avLst/>
                                </a:prstGeom>
                                <a:solidFill>
                                  <a:srgbClr val="FFFFFF"/>
                                </a:solidFill>
                                <a:ln w="6350">
                                  <a:solidFill>
                                    <a:prstClr val="black"/>
                                  </a:solidFill>
                                </a:ln>
                                <a:effectLst/>
                              </wps:spPr>
                              <wps:txbx>
                                <w:txbxContent>
                                  <w:p>
                                    <w:pPr>
                                      <w:pStyle w:val="26"/>
                                      <w:bidi w:val="0"/>
                                      <w:rPr>
                                        <w:rFonts w:hint="eastAsia"/>
                                        <w:lang w:eastAsia="zh-CN"/>
                                      </w:rPr>
                                    </w:pPr>
                                    <w:r>
                                      <w:rPr>
                                        <w:rFonts w:hint="eastAsia"/>
                                        <w:lang w:eastAsia="zh-CN"/>
                                      </w:rPr>
                                      <w:t>淤泥浓缩池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4218305" y="4465956"/>
                                  <a:ext cx="952500" cy="359410"/>
                                </a:xfrm>
                                <a:prstGeom prst="rect">
                                  <a:avLst/>
                                </a:prstGeom>
                                <a:solidFill>
                                  <a:srgbClr val="FFFFFF"/>
                                </a:solidFill>
                                <a:ln w="6350">
                                  <a:solidFill>
                                    <a:prstClr val="black"/>
                                  </a:solidFill>
                                </a:ln>
                                <a:effectLst/>
                              </wps:spPr>
                              <wps:txbx>
                                <w:txbxContent>
                                  <w:p>
                                    <w:pPr>
                                      <w:pStyle w:val="26"/>
                                      <w:bidi w:val="0"/>
                                      <w:rPr>
                                        <w:rFonts w:hint="default"/>
                                        <w:lang w:val="en-US" w:eastAsia="zh-CN"/>
                                      </w:rPr>
                                    </w:pPr>
                                    <w:r>
                                      <w:rPr>
                                        <w:rFonts w:hint="eastAsia"/>
                                        <w:lang w:val="en-US" w:eastAsia="zh-CN"/>
                                      </w:rPr>
                                      <w:t>板框压滤机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4227830" y="5313681"/>
                                  <a:ext cx="952500" cy="359410"/>
                                </a:xfrm>
                                <a:prstGeom prst="rect">
                                  <a:avLst/>
                                </a:prstGeom>
                                <a:noFill/>
                                <a:ln w="6350">
                                  <a:noFill/>
                                </a:ln>
                                <a:effectLst/>
                              </wps:spPr>
                              <wps:txbx>
                                <w:txbxContent>
                                  <w:p>
                                    <w:pPr>
                                      <w:pStyle w:val="26"/>
                                      <w:bidi w:val="0"/>
                                      <w:ind w:firstLine="210" w:firstLineChars="100"/>
                                      <w:rPr>
                                        <w:rFonts w:hint="eastAsia"/>
                                        <w:lang w:eastAsia="zh-CN"/>
                                      </w:rPr>
                                    </w:pPr>
                                    <w:r>
                                      <w:rPr>
                                        <w:rFonts w:hint="eastAsia"/>
                                        <w:lang w:val="en-US" w:eastAsia="zh-CN"/>
                                      </w:rPr>
                                      <w:t>污泥</w:t>
                                    </w:r>
                                    <w:r>
                                      <w:rPr>
                                        <w:rFonts w:hint="eastAsia"/>
                                        <w:lang w:eastAsia="zh-CN"/>
                                      </w:rPr>
                                      <w:t>外委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 name="直接箭头连接符 35"/>
                              <wps:cNvCnPr/>
                              <wps:spPr>
                                <a:xfrm>
                                  <a:off x="1465580" y="2259965"/>
                                  <a:ext cx="591820" cy="8255"/>
                                </a:xfrm>
                                <a:prstGeom prst="straightConnector1">
                                  <a:avLst/>
                                </a:prstGeom>
                                <a:ln w="9525" cap="flat" cmpd="sng">
                                  <a:solidFill>
                                    <a:srgbClr val="000000"/>
                                  </a:solidFill>
                                  <a:prstDash val="solid"/>
                                  <a:round/>
                                  <a:headEnd type="none" w="med" len="med"/>
                                  <a:tailEnd type="arrow" w="med" len="med"/>
                                </a:ln>
                              </wps:spPr>
                              <wps:bodyPr/>
                            </wps:wsp>
                            <wps:wsp>
                              <wps:cNvPr id="36" name="直接箭头连接符 36"/>
                              <wps:cNvCnPr/>
                              <wps:spPr>
                                <a:xfrm>
                                  <a:off x="1353820" y="3007996"/>
                                  <a:ext cx="650875" cy="6985"/>
                                </a:xfrm>
                                <a:prstGeom prst="straightConnector1">
                                  <a:avLst/>
                                </a:prstGeom>
                                <a:noFill/>
                                <a:ln w="9525" cap="flat" cmpd="sng" algn="ctr">
                                  <a:solidFill>
                                    <a:srgbClr val="000000">
                                      <a:shade val="95000"/>
                                      <a:satMod val="105000"/>
                                    </a:srgbClr>
                                  </a:solidFill>
                                  <a:prstDash val="solid"/>
                                  <a:tailEnd type="arrow" w="med" len="med"/>
                                </a:ln>
                                <a:effectLst/>
                              </wps:spPr>
                              <wps:bodyPr/>
                            </wps:wsp>
                            <wps:wsp>
                              <wps:cNvPr id="37" name="直接箭头连接符 37"/>
                              <wps:cNvCnPr/>
                              <wps:spPr>
                                <a:xfrm>
                                  <a:off x="1358900" y="3747136"/>
                                  <a:ext cx="662940" cy="3810"/>
                                </a:xfrm>
                                <a:prstGeom prst="straightConnector1">
                                  <a:avLst/>
                                </a:prstGeom>
                                <a:noFill/>
                                <a:ln w="9525" cap="flat" cmpd="sng" algn="ctr">
                                  <a:solidFill>
                                    <a:srgbClr val="000000">
                                      <a:shade val="95000"/>
                                      <a:satMod val="105000"/>
                                    </a:srgbClr>
                                  </a:solidFill>
                                  <a:prstDash val="solid"/>
                                  <a:tailEnd type="arrow" w="med" len="med"/>
                                </a:ln>
                                <a:effectLst/>
                              </wps:spPr>
                              <wps:bodyPr/>
                            </wps:wsp>
                            <wps:wsp>
                              <wps:cNvPr id="42" name="直接连接符 42"/>
                              <wps:cNvCnPr/>
                              <wps:spPr>
                                <a:xfrm flipV="1">
                                  <a:off x="2974340" y="3748406"/>
                                  <a:ext cx="462915" cy="2540"/>
                                </a:xfrm>
                                <a:prstGeom prst="line">
                                  <a:avLst/>
                                </a:prstGeom>
                                <a:noFill/>
                                <a:ln w="9525" cap="flat" cmpd="sng" algn="ctr">
                                  <a:solidFill>
                                    <a:srgbClr val="000000">
                                      <a:shade val="95000"/>
                                      <a:satMod val="105000"/>
                                    </a:srgbClr>
                                  </a:solidFill>
                                  <a:prstDash val="solid"/>
                                </a:ln>
                                <a:effectLst/>
                              </wps:spPr>
                              <wps:bodyPr/>
                            </wps:wsp>
                            <wps:wsp>
                              <wps:cNvPr id="43" name="直接连接符 43"/>
                              <wps:cNvCnPr/>
                              <wps:spPr>
                                <a:xfrm flipV="1">
                                  <a:off x="3437255" y="3027681"/>
                                  <a:ext cx="5080" cy="730250"/>
                                </a:xfrm>
                                <a:prstGeom prst="line">
                                  <a:avLst/>
                                </a:prstGeom>
                                <a:noFill/>
                                <a:ln w="9525" cap="flat" cmpd="sng" algn="ctr">
                                  <a:solidFill>
                                    <a:srgbClr val="000000">
                                      <a:shade val="95000"/>
                                      <a:satMod val="105000"/>
                                    </a:srgbClr>
                                  </a:solidFill>
                                  <a:prstDash val="solid"/>
                                </a:ln>
                                <a:effectLst/>
                              </wps:spPr>
                              <wps:bodyPr/>
                            </wps:wsp>
                            <wps:wsp>
                              <wps:cNvPr id="44" name="直接箭头连接符 44"/>
                              <wps:cNvCnPr/>
                              <wps:spPr>
                                <a:xfrm flipH="1">
                                  <a:off x="2966720" y="3014981"/>
                                  <a:ext cx="489585" cy="9525"/>
                                </a:xfrm>
                                <a:prstGeom prst="straightConnector1">
                                  <a:avLst/>
                                </a:prstGeom>
                                <a:noFill/>
                                <a:ln w="9525" cap="flat" cmpd="sng" algn="ctr">
                                  <a:solidFill>
                                    <a:srgbClr val="000000">
                                      <a:shade val="95000"/>
                                      <a:satMod val="105000"/>
                                    </a:srgbClr>
                                  </a:solidFill>
                                  <a:prstDash val="solid"/>
                                  <a:tailEnd type="arrow" w="med" len="med"/>
                                </a:ln>
                                <a:effectLst/>
                              </wps:spPr>
                              <wps:bodyPr/>
                            </wps:wsp>
                            <wps:wsp>
                              <wps:cNvPr id="2" name="肘形连接符 46"/>
                              <wps:cNvCnPr/>
                              <wps:spPr>
                                <a:xfrm flipV="1">
                                  <a:off x="2984500" y="1551940"/>
                                  <a:ext cx="5080" cy="2907666"/>
                                </a:xfrm>
                                <a:prstGeom prst="bentConnector3">
                                  <a:avLst>
                                    <a:gd name="adj1" fmla="val 4787500"/>
                                  </a:avLst>
                                </a:prstGeom>
                                <a:ln w="9525" cap="flat" cmpd="sng">
                                  <a:solidFill>
                                    <a:srgbClr val="000000"/>
                                  </a:solidFill>
                                  <a:prstDash val="solid"/>
                                  <a:round/>
                                  <a:headEnd type="none" w="med" len="med"/>
                                  <a:tailEnd type="none" w="med" len="med"/>
                                </a:ln>
                              </wps:spPr>
                              <wps:bodyPr/>
                            </wps:wsp>
                            <wps:wsp>
                              <wps:cNvPr id="4" name="直接箭头连接符 53"/>
                              <wps:cNvCnPr/>
                              <wps:spPr>
                                <a:xfrm>
                                  <a:off x="3227705" y="2672080"/>
                                  <a:ext cx="611505" cy="3175"/>
                                </a:xfrm>
                                <a:prstGeom prst="straightConnector1">
                                  <a:avLst/>
                                </a:prstGeom>
                                <a:ln w="9525" cap="flat" cmpd="sng">
                                  <a:solidFill>
                                    <a:srgbClr val="000000"/>
                                  </a:solidFill>
                                  <a:prstDash val="solid"/>
                                  <a:round/>
                                  <a:headEnd type="none" w="med" len="med"/>
                                  <a:tailEnd type="arrow" w="med" len="med"/>
                                </a:ln>
                              </wps:spPr>
                              <wps:bodyPr/>
                            </wps:wsp>
                            <wps:wsp>
                              <wps:cNvPr id="12" name="直接箭头连接符 54"/>
                              <wps:cNvCnPr/>
                              <wps:spPr>
                                <a:xfrm>
                                  <a:off x="4323080" y="2844166"/>
                                  <a:ext cx="9525" cy="783590"/>
                                </a:xfrm>
                                <a:prstGeom prst="straightConnector1">
                                  <a:avLst/>
                                </a:prstGeom>
                                <a:ln w="9525" cap="flat" cmpd="sng">
                                  <a:solidFill>
                                    <a:srgbClr val="000000"/>
                                  </a:solidFill>
                                  <a:prstDash val="solid"/>
                                  <a:round/>
                                  <a:headEnd type="none" w="med" len="med"/>
                                  <a:tailEnd type="arrow" w="med" len="med"/>
                                </a:ln>
                              </wps:spPr>
                              <wps:bodyPr/>
                            </wps:wsp>
                            <wps:wsp>
                              <wps:cNvPr id="13" name="直接箭头连接符 55"/>
                              <wps:cNvCnPr/>
                              <wps:spPr>
                                <a:xfrm>
                                  <a:off x="4338320" y="3992880"/>
                                  <a:ext cx="13335" cy="731520"/>
                                </a:xfrm>
                                <a:prstGeom prst="straightConnector1">
                                  <a:avLst/>
                                </a:prstGeom>
                                <a:ln w="9525" cap="flat" cmpd="sng">
                                  <a:solidFill>
                                    <a:srgbClr val="000000"/>
                                  </a:solidFill>
                                  <a:prstDash val="solid"/>
                                  <a:round/>
                                  <a:headEnd type="none" w="med" len="med"/>
                                  <a:tailEnd type="arrow" w="med" len="med"/>
                                </a:ln>
                              </wps:spPr>
                              <wps:bodyPr/>
                            </wps:wsp>
                          </wpc:wpc>
                        </a:graphicData>
                      </a:graphic>
                    </wp:inline>
                  </w:drawing>
                </mc:Choice>
                <mc:Fallback>
                  <w:pict>
                    <v:group id="画布 4" o:spid="_x0000_s1026" o:spt="203" style="height:433.2pt;width:382.7pt;" coordsize="4860290,5501640" editas="canvas" o:gfxdata="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">
                      <o:lock v:ext="edit" aspectratio="f"/>
                      <v:rect id="画布 4" o:spid="_x0000_s1026" o:spt="1" style="position:absolute;left:0;top:0;height:5501640;width:4860290;" filled="f" stroked="t" coordsize="21600,21600" o:gfxdata="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&#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">
                        <v:fill on="f" focussize="0,0"/>
                        <v:stroke color="#000000" joinstyle="round"/>
                        <v:imagedata o:title=""/>
                        <o:lock v:ext="edit" aspectratio="f"/>
                      </v:rect>
                      <v:shape id="_x0000_s1026" o:spid="_x0000_s1026" o:spt="202" type="#_x0000_t202" style="position:absolute;left:1997710;top:702945;height:359410;width:952500;" fillcolor="#FFFFFF" filled="t" stroked="t" coordsize="21600,21600" o:gfxdata="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k6BMNQAAAAFAQAADwAAAAAAAAABACAAAAAiAAAAZHJzL2Rvd25yZXYueG1sUEsBAhQA&#10;FAAAAAgAh07iQB9lRQFoAgAAzwQAAA4AAAAAAAAAAQAgAAAAIwEAAGRycy9lMm9Eb2MueG1sUEsF&#10;BgAAAAAGAAYAWQEAAP0FAAAAAA==&#10;">
                        <v:fill on="t" focussize="0,0"/>
                        <v:stroke weight="0.5pt" color="#000000" joinstyle="round"/>
                        <v:imagedata o:title=""/>
                        <o:lock v:ext="edit" aspectratio="f"/>
                        <v:textbox>
                          <w:txbxContent>
                            <w:p>
                              <w:pPr>
                                <w:pStyle w:val="26"/>
                                <w:bidi w:val="0"/>
                                <w:jc w:val="center"/>
                                <w:rPr>
                                  <w:rFonts w:hint="eastAsia"/>
                                  <w:lang w:eastAsia="zh-CN"/>
                                </w:rPr>
                              </w:pPr>
                              <w:r>
                                <w:rPr>
                                  <w:rFonts w:hint="eastAsia"/>
                                  <w:lang w:eastAsia="zh-CN"/>
                                </w:rPr>
                                <w:t>调节池</w:t>
                              </w:r>
                            </w:p>
                          </w:txbxContent>
                        </v:textbox>
                      </v:shape>
                      <v:shape id="_x0000_s1026" o:spid="_x0000_s1026" o:spt="202" type="#_x0000_t202" style="position:absolute;left:1991995;top:86995;height:359410;width:952500;" filled="f" stroked="f" coordsize="21600,21600" o:gfxdata="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1YaCbYAAAABQEAAA8AAAAAAAAA&#10;AQAgAAAAIgAAAGRycy9kb3ducmV2LnhtbFBLAQIUABQAAAAIAIdO4kAX6xNzSgIAAH0EAAAOAAAA&#10;AAAAAAEAIAAAACcBAABkcnMvZTJvRG9jLnhtbFBLBQYAAAAABgAGAFkBAADjBQAAAAA=&#10;">
                        <v:fill on="f" focussize="0,0"/>
                        <v:stroke on="f" weight="0.5pt"/>
                        <v:imagedata o:title=""/>
                        <o:lock v:ext="edit" aspectratio="f"/>
                        <v:textbox>
                          <w:txbxContent>
                            <w:p>
                              <w:pPr>
                                <w:pStyle w:val="26"/>
                                <w:bidi w:val="0"/>
                                <w:jc w:val="center"/>
                                <w:rPr>
                                  <w:rFonts w:hint="eastAsia"/>
                                  <w:lang w:eastAsia="zh-CN"/>
                                </w:rPr>
                              </w:pPr>
                              <w:r>
                                <w:rPr>
                                  <w:rFonts w:hint="eastAsia"/>
                                  <w:lang w:eastAsia="zh-CN"/>
                                </w:rPr>
                                <w:t>生产废水</w:t>
                              </w:r>
                            </w:p>
                          </w:txbxContent>
                        </v:textbox>
                      </v:shape>
                      <v:shape id="_x0000_s1026" o:spid="_x0000_s1026" o:spt="202" type="#_x0000_t202" style="position:absolute;left:1998980;top:1381760;height:359410;width:952500;" fillcolor="#FFFFFF" filled="t" stroked="t" coordsize="21600,21600" o:gfxdata="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eToEw1AAAAAUBAAAPAAAAAAAAAAEAIAAAACIAAABkcnMvZG93bnJldi54bWxQSwEC&#10;FAAUAAAACACHTuJAfb2fYGoCAADQBAAADgAAAAAAAAABACAAAAAjAQAAZHJzL2Uyb0RvYy54bWxQ&#10;SwUGAAAAAAYABgBZAQAA/wUAAAAA&#10;">
                        <v:fill on="t" focussize="0,0"/>
                        <v:stroke weight="0.5pt" color="#000000" joinstyle="round"/>
                        <v:imagedata o:title=""/>
                        <o:lock v:ext="edit" aspectratio="f"/>
                        <v:textbox>
                          <w:txbxContent>
                            <w:p>
                              <w:pPr>
                                <w:pStyle w:val="26"/>
                                <w:bidi w:val="0"/>
                                <w:rPr>
                                  <w:rFonts w:hint="eastAsia"/>
                                  <w:lang w:eastAsia="zh-CN"/>
                                </w:rPr>
                              </w:pPr>
                              <w:r>
                                <w:rPr>
                                  <w:rFonts w:hint="eastAsia"/>
                                  <w:lang w:eastAsia="zh-CN"/>
                                </w:rPr>
                                <w:t>混凝沉淀池</w:t>
                              </w:r>
                            </w:p>
                          </w:txbxContent>
                        </v:textbox>
                      </v:shape>
                      <v:shape id="_x0000_s1026" o:spid="_x0000_s1026" o:spt="202" type="#_x0000_t202" style="position:absolute;left:2000250;top:2069465;height:359410;width:952500;" fillcolor="#FFFFFF" filled="t" stroked="t" coordsize="21600,21600" o:gfxdata="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ToEw1AAAAAUBAAAPAAAAAAAAAAEAIAAAACIAAABkcnMvZG93bnJldi54bWxQSwECFAAU&#10;AAAACACHTuJA2Zc1lGcCAADQBAAADgAAAAAAAAABACAAAAAjAQAAZHJzL2Uyb0RvYy54bWxQSwUG&#10;AAAAAAYABgBZAQAA/AUAAAAA&#10;">
                        <v:fill on="t" focussize="0,0"/>
                        <v:stroke weight="0.5pt" color="#000000" joinstyle="round"/>
                        <v:imagedata o:title=""/>
                        <o:lock v:ext="edit" aspectratio="f"/>
                        <v:textbox>
                          <w:txbxContent>
                            <w:p>
                              <w:pPr>
                                <w:pStyle w:val="26"/>
                                <w:bidi w:val="0"/>
                                <w:rPr>
                                  <w:rFonts w:hint="eastAsia" w:eastAsia="宋体"/>
                                  <w:lang w:eastAsia="zh-CN"/>
                                </w:rPr>
                              </w:pPr>
                              <w:r>
                                <w:rPr>
                                  <w:rFonts w:hint="eastAsia"/>
                                  <w:lang w:eastAsia="zh-CN"/>
                                </w:rPr>
                                <w:t>厌氧池</w:t>
                              </w:r>
                            </w:p>
                          </w:txbxContent>
                        </v:textbox>
                      </v:shape>
                      <v:shape id="_x0000_s1026" o:spid="_x0000_s1026" o:spt="202" type="#_x0000_t202" style="position:absolute;left:2004695;top:2835275;height:359410;width:952500;" fillcolor="#FFFFFF" filled="t" stroked="t" coordsize="21600,21600" o:gfxdata="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k6BMNQAAAAFAQAADwAAAAAAAAABACAAAAAiAAAAZHJzL2Rvd25yZXYueG1sUEsB&#10;AhQAFAAAAAgAh07iQCbfKJlrAgAA0AQAAA4AAAAAAAAAAQAgAAAAIwEAAGRycy9lMm9Eb2MueG1s&#10;UEsFBgAAAAAGAAYAWQEAAAAGAAAAAA==&#10;">
                        <v:fill on="t" focussize="0,0"/>
                        <v:stroke weight="0.5pt" color="#000000" joinstyle="round"/>
                        <v:imagedata o:title=""/>
                        <o:lock v:ext="edit" aspectratio="f"/>
                        <v:textbox>
                          <w:txbxContent>
                            <w:p>
                              <w:pPr>
                                <w:pStyle w:val="26"/>
                                <w:bidi w:val="0"/>
                                <w:rPr>
                                  <w:rFonts w:hint="eastAsia"/>
                                  <w:lang w:eastAsia="zh-CN"/>
                                </w:rPr>
                              </w:pPr>
                              <w:r>
                                <w:rPr>
                                  <w:rFonts w:hint="eastAsia"/>
                                  <w:lang w:eastAsia="zh-CN"/>
                                </w:rPr>
                                <w:t>一级缺氧池</w:t>
                              </w:r>
                            </w:p>
                          </w:txbxContent>
                        </v:textbox>
                      </v:shape>
                      <v:shape id="_x0000_s1026" o:spid="_x0000_s1026" o:spt="202" type="#_x0000_t202" style="position:absolute;left:2021840;top:3571240;height:359410;width:952500;" fillcolor="#FFFFFF" filled="t" stroked="t" coordsize="21600,21600" o:gfxdata="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eToEw1AAAAAUBAAAPAAAAAAAAAAEAIAAAACIAAABkcnMvZG93bnJldi54bWxQSwEC&#10;FAAUAAAACACHTuJAoR4QjWoCAADSBAAADgAAAAAAAAABACAAAAAjAQAAZHJzL2Uyb0RvYy54bWxQ&#10;SwUGAAAAAAYABgBZAQAA/wUAAAAA&#10;">
                        <v:fill on="t" focussize="0,0"/>
                        <v:stroke weight="0.5pt" color="#000000" joinstyle="round"/>
                        <v:imagedata o:title=""/>
                        <o:lock v:ext="edit" aspectratio="f"/>
                        <v:textbox>
                          <w:txbxContent>
                            <w:p>
                              <w:pPr>
                                <w:pStyle w:val="26"/>
                                <w:bidi w:val="0"/>
                                <w:rPr>
                                  <w:rFonts w:hint="eastAsia"/>
                                  <w:lang w:eastAsia="zh-CN"/>
                                </w:rPr>
                              </w:pPr>
                              <w:r>
                                <w:rPr>
                                  <w:rFonts w:hint="eastAsia"/>
                                  <w:lang w:eastAsia="zh-CN"/>
                                </w:rPr>
                                <w:t>一级好氧池</w:t>
                              </w:r>
                            </w:p>
                          </w:txbxContent>
                        </v:textbox>
                      </v:shape>
                      <v:shape id="_x0000_s1026" o:spid="_x0000_s1026" o:spt="202" type="#_x0000_t202" style="position:absolute;left:2031999;top:4279900;height:359410;width:952500;" fillcolor="#FFFFFF" filled="t" stroked="t" coordsize="21600,21600" o:gfxdata="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5OgTDUAAAABQEAAA8AAAAAAAAAAQAgAAAAIgAAAGRycy9kb3ducmV2LnhtbFBL&#10;AQIUABQAAAAIAIdO4kAase6DbAIAANIEAAAOAAAAAAAAAAEAIAAAACMBAABkcnMvZTJvRG9jLnht&#10;bFBLBQYAAAAABgAGAFkBAAABBgAAAAA=&#10;">
                        <v:fill on="t" focussize="0,0"/>
                        <v:stroke weight="0.5pt" color="#000000" joinstyle="round"/>
                        <v:imagedata o:title=""/>
                        <o:lock v:ext="edit" aspectratio="f"/>
                        <v:textbox>
                          <w:txbxContent>
                            <w:p>
                              <w:pPr>
                                <w:pStyle w:val="26"/>
                                <w:bidi w:val="0"/>
                                <w:rPr>
                                  <w:rFonts w:hint="eastAsia"/>
                                  <w:lang w:eastAsia="zh-CN"/>
                                </w:rPr>
                              </w:pPr>
                              <w:r>
                                <w:rPr>
                                  <w:rFonts w:hint="eastAsia"/>
                                  <w:lang w:eastAsia="zh-CN"/>
                                </w:rPr>
                                <w:t>二级缺氧池</w:t>
                              </w:r>
                            </w:p>
                          </w:txbxContent>
                        </v:textbox>
                      </v:shape>
                      <v:shape id="_x0000_s1026" o:spid="_x0000_s1026" o:spt="202" type="#_x0000_t202" style="position:absolute;left:586105;top:2061210;height:359410;width:755650;" fillcolor="#FFFFFF" filled="t" stroked="t" coordsize="21600,21600" o:gfxdata="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eToEw1AAAAAUBAAAPAAAAAAAAAAEAIAAAACIAAABkcnMvZG93bnJldi54bWxQSwEC&#10;FAAUAAAACACHTuJAuhH9NWoCAADRBAAADgAAAAAAAAABACAAAAAjAQAAZHJzL2Uyb0RvYy54bWxQ&#10;SwUGAAAAAAYABgBZAQAA/wUAAAAA&#10;">
                        <v:fill on="t" focussize="0,0"/>
                        <v:stroke weight="0.5pt" color="#000000" joinstyle="round"/>
                        <v:imagedata o:title=""/>
                        <o:lock v:ext="edit" aspectratio="f"/>
                        <v:textbox>
                          <w:txbxContent>
                            <w:p>
                              <w:pPr>
                                <w:pStyle w:val="26"/>
                                <w:bidi w:val="0"/>
                                <w:rPr>
                                  <w:rFonts w:hint="eastAsia"/>
                                  <w:lang w:eastAsia="zh-CN"/>
                                </w:rPr>
                              </w:pPr>
                              <w:r>
                                <w:rPr>
                                  <w:rFonts w:hint="eastAsia"/>
                                  <w:lang w:eastAsia="zh-CN"/>
                                </w:rPr>
                                <w:t>搅拌</w:t>
                              </w:r>
                            </w:p>
                          </w:txbxContent>
                        </v:textbox>
                      </v:shape>
                      <v:shape id="_x0000_s1026" o:spid="_x0000_s1026" o:spt="202" type="#_x0000_t202" style="position:absolute;left:598170;top:2828290;height:359410;width:755650;" fillcolor="#FFFFFF" filled="t" stroked="t" coordsize="21600,21600" o:gfxdata="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5OgTDUAAAABQEAAA8AAAAAAAAAAQAgAAAAIgAAAGRycy9kb3ducmV2LnhtbFBL&#10;AQIUABQAAAAIAIdO4kD049UJbAIAANEEAAAOAAAAAAAAAAEAIAAAACMBAABkcnMvZTJvRG9jLnht&#10;bFBLBQYAAAAABgAGAFkBAAABBgAAAAA=&#10;">
                        <v:fill on="t" focussize="0,0"/>
                        <v:stroke weight="0.5pt" color="#000000" joinstyle="round"/>
                        <v:imagedata o:title=""/>
                        <o:lock v:ext="edit" aspectratio="f"/>
                        <v:textbox>
                          <w:txbxContent>
                            <w:p>
                              <w:pPr>
                                <w:pStyle w:val="26"/>
                                <w:bidi w:val="0"/>
                                <w:rPr>
                                  <w:rFonts w:hint="eastAsia"/>
                                  <w:lang w:eastAsia="zh-CN"/>
                                </w:rPr>
                              </w:pPr>
                              <w:r>
                                <w:rPr>
                                  <w:rFonts w:hint="eastAsia"/>
                                  <w:lang w:eastAsia="zh-CN"/>
                                </w:rPr>
                                <w:t>搅拌</w:t>
                              </w:r>
                            </w:p>
                          </w:txbxContent>
                        </v:textbox>
                      </v:shape>
                      <v:shape id="_x0000_s1026" o:spid="_x0000_s1026" o:spt="202" type="#_x0000_t202" style="position:absolute;left:603250;top:3567430;height:359410;width:755650;" fillcolor="#FFFFFF" filled="t" stroked="t" coordsize="21600,21600" o:gfxdata="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k6BMNQAAAAFAQAADwAAAAAAAAABACAAAAAiAAAAZHJzL2Rvd25yZXYueG1sUEsBAhQA&#10;FAAAAAgAh07iQLieCKJoAgAA0QQAAA4AAAAAAAAAAQAgAAAAIwEAAGRycy9lMm9Eb2MueG1sUEsF&#10;BgAAAAAGAAYAWQEAAP0FAAAAAA==&#10;">
                        <v:fill on="t" focussize="0,0"/>
                        <v:stroke weight="0.5pt" color="#000000" joinstyle="round"/>
                        <v:imagedata o:title=""/>
                        <o:lock v:ext="edit" aspectratio="f"/>
                        <v:textbox>
                          <w:txbxContent>
                            <w:p>
                              <w:pPr>
                                <w:pStyle w:val="26"/>
                                <w:bidi w:val="0"/>
                                <w:rPr>
                                  <w:rFonts w:hint="eastAsia"/>
                                  <w:lang w:eastAsia="zh-CN"/>
                                </w:rPr>
                              </w:pPr>
                              <w:r>
                                <w:rPr>
                                  <w:rFonts w:hint="eastAsia"/>
                                  <w:lang w:eastAsia="zh-CN"/>
                                </w:rPr>
                                <w:t>曝气</w:t>
                              </w:r>
                            </w:p>
                          </w:txbxContent>
                        </v:textbox>
                      </v:shape>
                      <v:shape id="_x0000_s1026" o:spid="_x0000_s1026" o:spt="202" type="#_x0000_t202" style="position:absolute;left:591820;top:4303395;height:359410;width:755650;" fillcolor="#FFFFFF" filled="t" stroked="t" coordsize="21600,21600" o:gfxdata="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k6BMNQAAAAFAQAADwAAAAAAAAABACAAAAAiAAAAZHJzL2Rvd25yZXYueG1sUEsB&#10;AhQAFAAAAAgAh07iQDgM1fRrAgAA0QQAAA4AAAAAAAAAAQAgAAAAIwEAAGRycy9lMm9Eb2MueG1s&#10;UEsFBgAAAAAGAAYAWQEAAAAGAAAAAA==&#10;">
                        <v:fill on="t" focussize="0,0"/>
                        <v:stroke weight="0.5pt" color="#000000" joinstyle="round"/>
                        <v:imagedata o:title=""/>
                        <o:lock v:ext="edit" aspectratio="f"/>
                        <v:textbox>
                          <w:txbxContent>
                            <w:p>
                              <w:pPr>
                                <w:pStyle w:val="26"/>
                                <w:bidi w:val="0"/>
                                <w:rPr>
                                  <w:rFonts w:hint="eastAsia"/>
                                  <w:lang w:eastAsia="zh-CN"/>
                                </w:rPr>
                              </w:pPr>
                              <w:r>
                                <w:rPr>
                                  <w:rFonts w:hint="eastAsia"/>
                                  <w:lang w:eastAsia="zh-CN"/>
                                </w:rPr>
                                <w:t>搅拌</w:t>
                              </w:r>
                            </w:p>
                          </w:txbxContent>
                        </v:textbox>
                      </v:shape>
                      <v:shape id="_x0000_s1026" o:spid="_x0000_s1026" o:spt="202" type="#_x0000_t202" style="position:absolute;left:3174365;top:3218180;height:359410;width:952500;" filled="f" stroked="f" coordsize="21600,21600" o:gfxdata="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NWGgm2AAAAAUBAAAPAAAA&#10;AAAAAAEAIAAAACIAAABkcnMvZG93bnJldi54bWxQSwECFAAUAAAACACHTuJAEduAfU4CAACBBAAA&#10;DgAAAAAAAAABACAAAAAnAQAAZHJzL2Uyb0RvYy54bWxQSwUGAAAAAAYABgBZAQAA5wUAAAAA&#10;">
                        <v:fill on="f" focussize="0,0"/>
                        <v:stroke on="f" weight="0.5pt"/>
                        <v:imagedata o:title=""/>
                        <o:lock v:ext="edit" aspectratio="f"/>
                        <v:textbox>
                          <w:txbxContent>
                            <w:p>
                              <w:pPr>
                                <w:pStyle w:val="26"/>
                                <w:bidi w:val="0"/>
                                <w:rPr>
                                  <w:rFonts w:hint="eastAsia"/>
                                  <w:lang w:eastAsia="zh-CN"/>
                                </w:rPr>
                              </w:pPr>
                              <w:r>
                                <w:rPr>
                                  <w:rFonts w:hint="eastAsia"/>
                                  <w:lang w:eastAsia="zh-CN"/>
                                </w:rPr>
                                <w:t>混合液回流</w:t>
                              </w:r>
                            </w:p>
                          </w:txbxContent>
                        </v:textbox>
                      </v:shape>
                      <v:shape id="_x0000_s1026" o:spid="_x0000_s1026" o:spt="202" type="#_x0000_t202" style="position:absolute;left:1989455;top:5008880;height:359410;width:952500;" filled="f" stroked="f" coordsize="21600,21600" o:gfxdata="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NWGgm2AAAAAUBAAAPAAAA&#10;AAAAAAEAIAAAACIAAABkcnMvZG93bnJldi54bWxQSwECFAAUAAAACACHTuJAx0PQ004CAAB/BAAA&#10;DgAAAAAAAAABACAAAAAnAQAAZHJzL2Uyb0RvYy54bWxQSwUGAAAAAAYABgBZAQAA5wUAAAAA&#10;">
                        <v:fill on="f" focussize="0,0"/>
                        <v:stroke on="f" weight="0.5pt"/>
                        <v:imagedata o:title=""/>
                        <o:lock v:ext="edit" aspectratio="f"/>
                        <v:textbox>
                          <w:txbxContent>
                            <w:p>
                              <w:pPr>
                                <w:pStyle w:val="26"/>
                                <w:bidi w:val="0"/>
                                <w:jc w:val="center"/>
                                <w:rPr>
                                  <w:rFonts w:hint="eastAsia"/>
                                  <w:lang w:eastAsia="zh-CN"/>
                                </w:rPr>
                              </w:pPr>
                              <w:r>
                                <w:rPr>
                                  <w:rFonts w:hint="eastAsia"/>
                                  <w:lang w:eastAsia="zh-CN"/>
                                </w:rPr>
                                <w:t>外排</w:t>
                              </w:r>
                            </w:p>
                          </w:txbxContent>
                        </v:textbox>
                      </v:shape>
                      <v:shape id="_x0000_s1026" o:spid="_x0000_s1026" o:spt="202" type="#_x0000_t202" style="position:absolute;left:4208780;top:3456305;height:359410;width:952500;" fillcolor="#FFFFFF" filled="t" stroked="t" coordsize="21600,21600" o:gfxdata="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5OgTDUAAAABQEAAA8AAAAAAAAAAQAgAAAAIgAAAGRycy9kb3ducmV2LnhtbFBL&#10;AQIUABQAAAAIAIdO4kCboHxlbAIAANIEAAAOAAAAAAAAAAEAIAAAACMBAABkcnMvZTJvRG9jLnht&#10;bFBLBQYAAAAABgAGAFkBAAABBgAAAAA=&#10;">
                        <v:fill on="t" focussize="0,0"/>
                        <v:stroke weight="0.5pt" color="#000000" joinstyle="round"/>
                        <v:imagedata o:title=""/>
                        <o:lock v:ext="edit" aspectratio="f"/>
                        <v:textbox>
                          <w:txbxContent>
                            <w:p>
                              <w:pPr>
                                <w:pStyle w:val="26"/>
                                <w:bidi w:val="0"/>
                                <w:rPr>
                                  <w:rFonts w:hint="eastAsia"/>
                                  <w:lang w:eastAsia="zh-CN"/>
                                </w:rPr>
                              </w:pPr>
                              <w:r>
                                <w:rPr>
                                  <w:rFonts w:hint="eastAsia"/>
                                  <w:lang w:eastAsia="zh-CN"/>
                                </w:rPr>
                                <w:t>淤泥浓缩池</w:t>
                              </w:r>
                            </w:p>
                          </w:txbxContent>
                        </v:textbox>
                      </v:shape>
                      <v:shape id="_x0000_s1026" o:spid="_x0000_s1026" o:spt="202" type="#_x0000_t202" style="position:absolute;left:4218305;top:4465955;height:359410;width:952500;" fillcolor="#FFFFFF" filled="t" stroked="t" coordsize="21600,21600" o:gfxdata="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k6BMNQAAAAFAQAADwAAAAAAAAABACAAAAAiAAAAZHJzL2Rvd25yZXYueG1s&#10;UEsBAhQAFAAAAAgAh07iQNnvafNuAgAA0gQAAA4AAAAAAAAAAQAgAAAAIwEAAGRycy9lMm9Eb2Mu&#10;eG1sUEsFBgAAAAAGAAYAWQEAAAMGAAAAAA==&#10;">
                        <v:fill on="t" focussize="0,0"/>
                        <v:stroke weight="0.5pt" color="#000000" joinstyle="round"/>
                        <v:imagedata o:title=""/>
                        <o:lock v:ext="edit" aspectratio="f"/>
                        <v:textbox>
                          <w:txbxContent>
                            <w:p>
                              <w:pPr>
                                <w:pStyle w:val="26"/>
                                <w:bidi w:val="0"/>
                                <w:rPr>
                                  <w:rFonts w:hint="default"/>
                                  <w:lang w:val="en-US" w:eastAsia="zh-CN"/>
                                </w:rPr>
                              </w:pPr>
                              <w:r>
                                <w:rPr>
                                  <w:rFonts w:hint="eastAsia"/>
                                  <w:lang w:val="en-US" w:eastAsia="zh-CN"/>
                                </w:rPr>
                                <w:t>板框压滤机</w:t>
                              </w:r>
                            </w:p>
                          </w:txbxContent>
                        </v:textbox>
                      </v:shape>
                      <v:shape id="_x0000_s1026" o:spid="_x0000_s1026" o:spt="202" type="#_x0000_t202" style="position:absolute;left:4227830;top:5313680;height:359410;width:952500;" filled="f" stroked="f" coordsize="21600,21600" o:gfxdata="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NWGgm2AAAAAUBAAAP&#10;AAAAAAAAAAEAIAAAACIAAABkcnMvZG93bnJldi54bWxQSwECFAAUAAAACACHTuJAg/gDQVECAACB&#10;BAAADgAAAAAAAAABACAAAAAnAQAAZHJzL2Uyb0RvYy54bWxQSwUGAAAAAAYABgBZAQAA6gUAAAAA&#10;">
                        <v:fill on="f" focussize="0,0"/>
                        <v:stroke on="f" weight="0.5pt"/>
                        <v:imagedata o:title=""/>
                        <o:lock v:ext="edit" aspectratio="f"/>
                        <v:textbox>
                          <w:txbxContent>
                            <w:p>
                              <w:pPr>
                                <w:pStyle w:val="26"/>
                                <w:bidi w:val="0"/>
                                <w:ind w:firstLine="210" w:firstLineChars="100"/>
                                <w:rPr>
                                  <w:rFonts w:hint="eastAsia"/>
                                  <w:lang w:eastAsia="zh-CN"/>
                                </w:rPr>
                              </w:pPr>
                              <w:r>
                                <w:rPr>
                                  <w:rFonts w:hint="eastAsia"/>
                                  <w:lang w:val="en-US" w:eastAsia="zh-CN"/>
                                </w:rPr>
                                <w:t>污泥</w:t>
                              </w:r>
                              <w:r>
                                <w:rPr>
                                  <w:rFonts w:hint="eastAsia"/>
                                  <w:lang w:eastAsia="zh-CN"/>
                                </w:rPr>
                                <w:t>外委</w:t>
                              </w:r>
                            </w:p>
                          </w:txbxContent>
                        </v:textbox>
                      </v:shape>
                      <v:shape id="直接箭头连接符 35" o:spid="_x0000_s1026" o:spt="32" type="#_x0000_t32" style="position:absolute;left:1465580;top:2259965;height:8255;width:591820;" filled="f" stroked="t" coordsize="21600,21600" o:gfxdata="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AI7j1QAAAAUBAAAPAAAA&#10;AAAAAAEAIAAAACIAAABkcnMvZG93bnJldi54bWxQSwECFAAUAAAACACHTuJAkUJcRhgCAAAGBAAA&#10;DgAAAAAAAAABACAAAAAkAQAAZHJzL2Uyb0RvYy54bWxQSwUGAAAAAAYABgBZAQAArgUAAAAA&#10;">
                        <v:fill on="f" focussize="0,0"/>
                        <v:stroke color="#000000" joinstyle="round" endarrow="open"/>
                        <v:imagedata o:title=""/>
                        <o:lock v:ext="edit" aspectratio="f"/>
                      </v:shape>
                      <v:shape id="_x0000_s1026" o:spid="_x0000_s1026" o:spt="32" type="#_x0000_t32" style="position:absolute;left:1353820;top:3007995;height:6985;width:650875;" filled="f" stroked="t" coordsize="21600,21600" o:gfxdata="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8AI7j1QAAAAUBAAAPAAAAAAAAAAEAIAAAACIAAABkcnMvZG93bnJldi54bWxQSwEC&#10;FAAUAAAACACHTuJAhn7RSjACAAAwBAAADgAAAAAAAAABACAAAAAkAQAAZHJzL2Uyb0RvYy54bWxQ&#10;SwUGAAAAAAYABgBZAQAAxgUAAAAA&#10;">
                        <v:fill on="f" focussize="0,0"/>
                        <v:stroke color="#000000" joinstyle="round" endarrow="open"/>
                        <v:imagedata o:title=""/>
                        <o:lock v:ext="edit" aspectratio="f"/>
                      </v:shape>
                      <v:shape id="_x0000_s1026" o:spid="_x0000_s1026" o:spt="32" type="#_x0000_t32" style="position:absolute;left:1358900;top:3747135;height:3810;width:662940;" filled="f" stroked="t" coordsize="21600,21600" o:gfxdata="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8AI7j1QAAAAUBAAAPAAAAAAAAAAEAIAAAACIAAABkcnMvZG93bnJldi54bWxQSwEC&#10;FAAUAAAACACHTuJATStoNDACAAAwBAAADgAAAAAAAAABACAAAAAkAQAAZHJzL2Uyb0RvYy54bWxQ&#10;SwUGAAAAAAYABgBZAQAAxgUAAAAA&#10;">
                        <v:fill on="f" focussize="0,0"/>
                        <v:stroke color="#000000" joinstyle="round" endarrow="open"/>
                        <v:imagedata o:title=""/>
                        <o:lock v:ext="edit" aspectratio="f"/>
                      </v:shape>
                      <v:line id="_x0000_s1026" o:spid="_x0000_s1026" o:spt="20" style="position:absolute;left:2974339;top:3748405;flip:y;height:2540;width:462915;" filled="f" stroked="t" coordsize="21600,21600" o:gfxdata="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YxJx51QAAAAUBAAAPAAAAAAAAAAEAIAAAACIA&#10;AABkcnMvZG93bnJldi54bWxQSwECFAAUAAAACACHTuJA10RbiQwCAAD7AwAADgAAAAAAAAABACAA&#10;AAAkAQAAZHJzL2Uyb0RvYy54bWxQSwUGAAAAAAYABgBZAQAAogUAAAAA&#10;">
                        <v:fill on="f" focussize="0,0"/>
                        <v:stroke color="#000000" joinstyle="round"/>
                        <v:imagedata o:title=""/>
                        <o:lock v:ext="edit" aspectratio="f"/>
                      </v:line>
                      <v:line id="_x0000_s1026" o:spid="_x0000_s1026" o:spt="20" style="position:absolute;left:3437255;top:3027680;flip:y;height:730250;width:5080;" filled="f" stroked="t" coordsize="21600,21600" o:gfxdata="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xJx51QAAAAUBAAAPAAAAAAAAAAEAIAAA&#10;ACIAAABkcnMvZG93bnJldi54bWxQSwECFAAUAAAACACHTuJAAuNScg8CAAD7AwAADgAAAAAAAAAB&#10;ACAAAAAkAQAAZHJzL2Uyb0RvYy54bWxQSwUGAAAAAAYABgBZAQAApQUAAAAA&#10;">
                        <v:fill on="f" focussize="0,0"/>
                        <v:stroke color="#000000" joinstyle="round"/>
                        <v:imagedata o:title=""/>
                        <o:lock v:ext="edit" aspectratio="f"/>
                      </v:line>
                      <v:shape id="_x0000_s1026" o:spid="_x0000_s1026" o:spt="32" type="#_x0000_t32" style="position:absolute;left:2966720;top:3014980;flip:x;height:9525;width:489585;" filled="f" stroked="t" coordsize="21600,21600" o:gfxdata="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F3FKNYAAAAFAQAADwAAAAAAAAABACAAAAAiAAAAZHJzL2Rvd25yZXYu&#10;eG1sUEsBAhQAFAAAAAgAh07iQJpsJB02AgAAOgQAAA4AAAAAAAAAAQAgAAAAJQEAAGRycy9lMm9E&#10;b2MueG1sUEsFBgAAAAAGAAYAWQEAAM0FAAAAAA==&#10;">
                        <v:fill on="f" focussize="0,0"/>
                        <v:stroke color="#000000" joinstyle="round" endarrow="open"/>
                        <v:imagedata o:title=""/>
                        <o:lock v:ext="edit" aspectratio="f"/>
                      </v:shape>
                      <v:shape id="肘形连接符 46" o:spid="_x0000_s1026" o:spt="34" type="#_x0000_t34" style="position:absolute;left:2984500;top:1551940;flip:y;height:2907665;width:5080;" filled="f" stroked="t" coordsize="21600,21600" o:gfxdata="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JlUj9YAAAAFAQAADwAAAAAAAAABACAAAAAiAAAAZHJzL2Rvd25yZXYueG1sUEsBAhQAFAAA&#10;AAgAh07iQE0dR68qAgAANQQAAA4AAAAAAAAAAQAgAAAAJQEAAGRycy9lMm9Eb2MueG1sUEsFBgAA&#10;AAAGAAYAWQEAAMEFAAAAAA==&#10;" adj="1034100">
                        <v:fill on="f" focussize="0,0"/>
                        <v:stroke color="#000000" joinstyle="round"/>
                        <v:imagedata o:title=""/>
                        <o:lock v:ext="edit" aspectratio="f"/>
                      </v:shape>
                      <v:shape id="直接箭头连接符 53" o:spid="_x0000_s1026" o:spt="32" type="#_x0000_t32" style="position:absolute;left:3227705;top:2672080;height:3175;width:611505;" filled="f" stroked="t" coordsize="21600,21600" o:gfxdata="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ACO49UAAAAFAQAADwAAAAAA&#10;AAABACAAAAAiAAAAZHJzL2Rvd25yZXYueG1sUEsBAhQAFAAAAAgAh07iQP4tl60WAgAABgQAAA4A&#10;AAAAAAAAAQAgAAAAJAEAAGRycy9lMm9Eb2MueG1sUEsFBgAAAAAGAAYAWQEAAKwFAAAAAA==&#10;">
                        <v:fill on="f" focussize="0,0"/>
                        <v:stroke color="#000000" joinstyle="round" endarrow="open"/>
                        <v:imagedata o:title=""/>
                        <o:lock v:ext="edit" aspectratio="f"/>
                      </v:shape>
                      <v:shape id="直接箭头连接符 54" o:spid="_x0000_s1026" o:spt="32" type="#_x0000_t32" style="position:absolute;left:4323080;top:2844165;height:783590;width:9525;" filled="f" stroked="t" coordsize="21600,21600" o:gfxdata="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AI7j1QAAAAUBAAAPAAAA&#10;AAAAAAEAIAAAACIAAABkcnMvZG93bnJldi54bWxQSwECFAAUAAAACACHTuJA1sTk8hgCAAAHBAAA&#10;DgAAAAAAAAABACAAAAAkAQAAZHJzL2Uyb0RvYy54bWxQSwUGAAAAAAYABgBZAQAArgUAAAAA&#10;">
                        <v:fill on="f" focussize="0,0"/>
                        <v:stroke color="#000000" joinstyle="round" endarrow="open"/>
                        <v:imagedata o:title=""/>
                        <o:lock v:ext="edit" aspectratio="f"/>
                      </v:shape>
                      <v:shape id="直接箭头连接符 55" o:spid="_x0000_s1026" o:spt="32" type="#_x0000_t32" style="position:absolute;left:4338320;top:3992879;height:731520;width:13335;" filled="f" stroked="t" coordsize="21600,21600" o:gfxdata="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wAjuPVAAAABQEAAA8AAAAA&#10;AAAAAQAgAAAAIgAAAGRycy9kb3ducmV2LnhtbFBLAQIUABQAAAAIAIdO4kAxXU/hFwIAAAgEAAAO&#10;AAAAAAAAAAEAIAAAACQBAABkcnMvZTJvRG9jLnhtbFBLBQYAAAAABgAGAFkBAACtBQAAAAA=&#10;">
                        <v:fill on="f" focussize="0,0"/>
                        <v:stroke color="#000000" joinstyle="round" endarrow="open"/>
                        <v:imagedata o:title=""/>
                        <o:lock v:ext="edit" aspectratio="f"/>
                      </v:shape>
                      <w10:wrap type="none"/>
                      <w10:anchorlock/>
                    </v:group>
                  </w:pict>
                </mc:Fallback>
              </mc:AlternateContent>
            </w:r>
          </w:p>
          <w:p>
            <w:pPr>
              <w:adjustRightInd w:val="0"/>
              <w:snapToGrid w:val="0"/>
              <w:spacing w:line="360" w:lineRule="auto"/>
              <w:ind w:firstLine="422" w:firstLineChars="20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图4-</w:t>
            </w:r>
            <w:r>
              <w:rPr>
                <w:rFonts w:hint="eastAsia" w:cs="Times New Roman"/>
                <w:b/>
                <w:bCs/>
                <w:color w:val="auto"/>
                <w:sz w:val="21"/>
                <w:szCs w:val="21"/>
                <w:u w:val="single"/>
                <w:lang w:val="en-US" w:eastAsia="zh-CN"/>
              </w:rPr>
              <w:t>3</w:t>
            </w:r>
            <w:r>
              <w:rPr>
                <w:rFonts w:hint="default" w:ascii="Times New Roman" w:hAnsi="Times New Roman" w:cs="Times New Roman"/>
                <w:b/>
                <w:bCs/>
                <w:color w:val="auto"/>
                <w:sz w:val="21"/>
                <w:szCs w:val="21"/>
                <w:u w:val="single"/>
                <w:lang w:val="en-US" w:eastAsia="zh-CN"/>
              </w:rPr>
              <w:t xml:space="preserve">   污水处理工艺示意图</w:t>
            </w:r>
          </w:p>
          <w:p>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表 4-7 生产废水处理效果分析</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06"/>
              <w:gridCol w:w="1113"/>
              <w:gridCol w:w="1113"/>
              <w:gridCol w:w="1113"/>
              <w:gridCol w:w="1113"/>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处理单元</w:t>
                  </w:r>
                </w:p>
              </w:tc>
              <w:tc>
                <w:tcPr>
                  <w:tcW w:w="4290" w:type="pct"/>
                  <w:gridSpan w:val="6"/>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去除率（%）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70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CODcr</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BOD</w:t>
                  </w:r>
                  <w:r>
                    <w:rPr>
                      <w:rFonts w:hint="default" w:ascii="Times New Roman" w:hAnsi="Times New Roman" w:eastAsia="宋体" w:cs="Times New Roman"/>
                      <w:snapToGrid w:val="0"/>
                      <w:color w:val="auto"/>
                      <w:kern w:val="21"/>
                      <w:szCs w:val="21"/>
                      <w:vertAlign w:val="subscript"/>
                      <w:lang w:val="en-US" w:eastAsia="zh-CN"/>
                    </w:rPr>
                    <w:t>5</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SS</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氨氮</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总氮</w:t>
                  </w:r>
                </w:p>
              </w:tc>
              <w:tc>
                <w:tcPr>
                  <w:tcW w:w="72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混凝沉淀</w:t>
                  </w:r>
                </w:p>
              </w:tc>
              <w:tc>
                <w:tcPr>
                  <w:tcW w:w="70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20</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10</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70</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72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厌氧水解</w:t>
                  </w:r>
                </w:p>
              </w:tc>
              <w:tc>
                <w:tcPr>
                  <w:tcW w:w="70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35</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25</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40</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35</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25</w:t>
                  </w:r>
                </w:p>
              </w:tc>
              <w:tc>
                <w:tcPr>
                  <w:tcW w:w="72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A/O</w:t>
                  </w:r>
                </w:p>
              </w:tc>
              <w:tc>
                <w:tcPr>
                  <w:tcW w:w="70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80</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85</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85</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80</w:t>
                  </w:r>
                </w:p>
              </w:tc>
              <w:tc>
                <w:tcPr>
                  <w:tcW w:w="714"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60</w:t>
                  </w:r>
                </w:p>
              </w:tc>
              <w:tc>
                <w:tcPr>
                  <w:tcW w:w="72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30</w:t>
                  </w:r>
                </w:p>
              </w:tc>
            </w:tr>
          </w:tbl>
          <w:p>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表 4-8 污水排放情况一览表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772"/>
              <w:gridCol w:w="1440"/>
              <w:gridCol w:w="900"/>
              <w:gridCol w:w="825"/>
              <w:gridCol w:w="750"/>
              <w:gridCol w:w="743"/>
              <w:gridCol w:w="932"/>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类别</w:t>
                  </w:r>
                </w:p>
              </w:tc>
              <w:tc>
                <w:tcPr>
                  <w:tcW w:w="1418" w:type="pct"/>
                  <w:gridSpan w:val="2"/>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废水量（t/a）</w:t>
                  </w:r>
                </w:p>
              </w:tc>
              <w:tc>
                <w:tcPr>
                  <w:tcW w:w="3118" w:type="pct"/>
                  <w:gridSpan w:val="6"/>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1418" w:type="pct"/>
                  <w:gridSpan w:val="2"/>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57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CODcr</w:t>
                  </w:r>
                </w:p>
              </w:tc>
              <w:tc>
                <w:tcPr>
                  <w:tcW w:w="52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BOD</w:t>
                  </w:r>
                  <w:r>
                    <w:rPr>
                      <w:rFonts w:hint="default" w:ascii="Times New Roman" w:hAnsi="Times New Roman" w:eastAsia="宋体" w:cs="Times New Roman"/>
                      <w:snapToGrid w:val="0"/>
                      <w:color w:val="auto"/>
                      <w:kern w:val="21"/>
                      <w:szCs w:val="21"/>
                      <w:vertAlign w:val="subscript"/>
                      <w:lang w:val="en-US" w:eastAsia="zh-CN"/>
                    </w:rPr>
                    <w:t>5</w:t>
                  </w:r>
                </w:p>
              </w:tc>
              <w:tc>
                <w:tcPr>
                  <w:tcW w:w="48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SS</w:t>
                  </w:r>
                </w:p>
              </w:tc>
              <w:tc>
                <w:tcPr>
                  <w:tcW w:w="47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氨氮</w:t>
                  </w:r>
                </w:p>
              </w:tc>
              <w:tc>
                <w:tcPr>
                  <w:tcW w:w="59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总氮</w:t>
                  </w:r>
                </w:p>
              </w:tc>
              <w:tc>
                <w:tcPr>
                  <w:tcW w:w="45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2"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废水</w:t>
                  </w:r>
                </w:p>
              </w:tc>
              <w:tc>
                <w:tcPr>
                  <w:tcW w:w="495"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29957</w:t>
                  </w:r>
                </w:p>
              </w:tc>
              <w:tc>
                <w:tcPr>
                  <w:tcW w:w="92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浓度（mg/L）</w:t>
                  </w:r>
                </w:p>
              </w:tc>
              <w:tc>
                <w:tcPr>
                  <w:tcW w:w="57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127.59</w:t>
                  </w:r>
                </w:p>
              </w:tc>
              <w:tc>
                <w:tcPr>
                  <w:tcW w:w="52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3.34</w:t>
                  </w:r>
                </w:p>
              </w:tc>
              <w:tc>
                <w:tcPr>
                  <w:tcW w:w="48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5.38</w:t>
                  </w:r>
                </w:p>
              </w:tc>
              <w:tc>
                <w:tcPr>
                  <w:tcW w:w="47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2.73</w:t>
                  </w:r>
                </w:p>
              </w:tc>
              <w:tc>
                <w:tcPr>
                  <w:tcW w:w="59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12.29</w:t>
                  </w:r>
                </w:p>
              </w:tc>
              <w:tc>
                <w:tcPr>
                  <w:tcW w:w="45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62"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495"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92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排放量（t/a）</w:t>
                  </w:r>
                </w:p>
              </w:tc>
              <w:tc>
                <w:tcPr>
                  <w:tcW w:w="57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3.82</w:t>
                  </w:r>
                </w:p>
              </w:tc>
              <w:tc>
                <w:tcPr>
                  <w:tcW w:w="52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0.11</w:t>
                  </w:r>
                </w:p>
              </w:tc>
              <w:tc>
                <w:tcPr>
                  <w:tcW w:w="48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0.1</w:t>
                  </w:r>
                  <w:r>
                    <w:rPr>
                      <w:rFonts w:hint="eastAsia" w:eastAsia="宋体" w:cs="Times New Roman"/>
                      <w:snapToGrid w:val="0"/>
                      <w:color w:val="auto"/>
                      <w:kern w:val="21"/>
                      <w:szCs w:val="21"/>
                      <w:lang w:val="en-US" w:eastAsia="zh-CN"/>
                    </w:rPr>
                    <w:t>6</w:t>
                  </w:r>
                </w:p>
              </w:tc>
              <w:tc>
                <w:tcPr>
                  <w:tcW w:w="47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0.082</w:t>
                  </w:r>
                </w:p>
              </w:tc>
              <w:tc>
                <w:tcPr>
                  <w:tcW w:w="59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0.37</w:t>
                  </w:r>
                </w:p>
              </w:tc>
              <w:tc>
                <w:tcPr>
                  <w:tcW w:w="45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0.1</w:t>
                  </w:r>
                  <w:r>
                    <w:rPr>
                      <w:rFonts w:hint="eastAsia" w:eastAsia="宋体" w:cs="Times New Roman"/>
                      <w:snapToGrid w:val="0"/>
                      <w:color w:val="auto"/>
                      <w:kern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881" w:type="pct"/>
                  <w:gridSpan w:val="3"/>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本项目出水执行标准</w:t>
                  </w:r>
                </w:p>
              </w:tc>
              <w:tc>
                <w:tcPr>
                  <w:tcW w:w="57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400</w:t>
                  </w:r>
                </w:p>
              </w:tc>
              <w:tc>
                <w:tcPr>
                  <w:tcW w:w="52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250</w:t>
                  </w:r>
                </w:p>
              </w:tc>
              <w:tc>
                <w:tcPr>
                  <w:tcW w:w="48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300</w:t>
                  </w:r>
                </w:p>
              </w:tc>
              <w:tc>
                <w:tcPr>
                  <w:tcW w:w="47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25</w:t>
                  </w:r>
                </w:p>
              </w:tc>
              <w:tc>
                <w:tcPr>
                  <w:tcW w:w="59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20</w:t>
                  </w:r>
                </w:p>
              </w:tc>
              <w:tc>
                <w:tcPr>
                  <w:tcW w:w="457"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0.5</w:t>
                  </w:r>
                </w:p>
              </w:tc>
            </w:tr>
          </w:tbl>
          <w:p>
            <w:pPr>
              <w:numPr>
                <w:ilvl w:val="0"/>
                <w:numId w:val="0"/>
              </w:numPr>
              <w:adjustRightInd w:val="0"/>
              <w:snapToGrid w:val="0"/>
              <w:spacing w:line="360" w:lineRule="auto"/>
              <w:ind w:leftChars="0" w:firstLine="48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依托集中污水处理厂的可行性：</w:t>
            </w:r>
          </w:p>
          <w:p>
            <w:pPr>
              <w:bidi w:val="0"/>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目前污水管网已覆盖至该项目所在地，项目污水可经规范化排污口排放至德山污水处理厂集中处理，本项目污水排放量为</w:t>
            </w:r>
            <w:r>
              <w:rPr>
                <w:rFonts w:hint="eastAsia" w:cs="Times New Roman"/>
                <w:lang w:val="en-US" w:eastAsia="zh-CN"/>
              </w:rPr>
              <w:t>99</w:t>
            </w:r>
            <w:r>
              <w:rPr>
                <w:rFonts w:hint="default" w:ascii="Times New Roman" w:hAnsi="Times New Roman" w:cs="Times New Roman"/>
                <w:lang w:val="en-US" w:eastAsia="zh-CN"/>
              </w:rPr>
              <w:t>t/d，德山污水处理厂处理规模为5万吨/t，现有日处理量达到了3.6万吨左右，本项目排水至污水处理厂不会对污水处理厂产生较大影响，因此水量上本项目废水排入德山污水处理厂是可行的；根据上表可知，本项目废水接管进入污水处理厂的水质满足德山污水处理厂进水水质标准，因此本项目废水排入德山污水处理厂是可行的。</w:t>
            </w:r>
          </w:p>
          <w:p>
            <w:pPr>
              <w:adjustRightInd w:val="0"/>
              <w:snapToGrid w:val="0"/>
              <w:spacing w:line="360" w:lineRule="auto"/>
              <w:jc w:val="center"/>
              <w:rPr>
                <w:rStyle w:val="28"/>
                <w:rFonts w:hint="default" w:ascii="Times New Roman" w:hAnsi="Times New Roman" w:cs="Times New Roman"/>
              </w:rPr>
            </w:pPr>
            <w:r>
              <w:rPr>
                <w:rFonts w:hint="default" w:ascii="Times New Roman" w:hAnsi="Times New Roman" w:cs="Times New Roman"/>
                <w:lang w:val="en-US" w:eastAsia="zh-CN"/>
              </w:rPr>
              <w:t xml:space="preserve">  </w:t>
            </w:r>
            <w:r>
              <w:rPr>
                <w:rStyle w:val="28"/>
                <w:rFonts w:hint="default" w:ascii="Times New Roman" w:hAnsi="Times New Roman" w:cs="Times New Roman"/>
                <w:lang w:val="en-US" w:eastAsia="zh-CN"/>
              </w:rPr>
              <w:t xml:space="preserve">   </w:t>
            </w:r>
            <w:r>
              <w:rPr>
                <w:rStyle w:val="28"/>
                <w:rFonts w:hint="default" w:ascii="Times New Roman" w:hAnsi="Times New Roman" w:cs="Times New Roman"/>
              </w:rPr>
              <w:t>表4-</w:t>
            </w:r>
            <w:r>
              <w:rPr>
                <w:rStyle w:val="28"/>
                <w:rFonts w:hint="default" w:ascii="Times New Roman" w:hAnsi="Times New Roman" w:cs="Times New Roman"/>
                <w:lang w:val="en-US" w:eastAsia="zh-CN"/>
              </w:rPr>
              <w:t>9</w:t>
            </w:r>
            <w:r>
              <w:rPr>
                <w:rStyle w:val="28"/>
                <w:rFonts w:hint="default" w:ascii="Times New Roman" w:hAnsi="Times New Roman" w:cs="Times New Roman"/>
              </w:rPr>
              <w:t xml:space="preserve"> 废水类别、污染物及污染治理设施信息一览表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826"/>
              <w:gridCol w:w="1016"/>
              <w:gridCol w:w="959"/>
              <w:gridCol w:w="718"/>
              <w:gridCol w:w="706"/>
              <w:gridCol w:w="598"/>
              <w:gridCol w:w="667"/>
              <w:gridCol w:w="539"/>
              <w:gridCol w:w="713"/>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序号</w:t>
                  </w:r>
                </w:p>
              </w:tc>
              <w:tc>
                <w:tcPr>
                  <w:tcW w:w="529"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废水类别</w:t>
                  </w:r>
                </w:p>
              </w:tc>
              <w:tc>
                <w:tcPr>
                  <w:tcW w:w="651" w:type="pct"/>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污染物种类</w:t>
                  </w:r>
                </w:p>
              </w:tc>
              <w:tc>
                <w:tcPr>
                  <w:tcW w:w="614" w:type="pct"/>
                  <w:vMerge w:val="restart"/>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排放去向</w:t>
                  </w:r>
                </w:p>
              </w:tc>
              <w:tc>
                <w:tcPr>
                  <w:tcW w:w="460" w:type="pct"/>
                  <w:vMerge w:val="restart"/>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排放规律</w:t>
                  </w:r>
                </w:p>
              </w:tc>
              <w:tc>
                <w:tcPr>
                  <w:tcW w:w="1263" w:type="pct"/>
                  <w:gridSpan w:val="3"/>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污染治理设施</w:t>
                  </w:r>
                </w:p>
              </w:tc>
              <w:tc>
                <w:tcPr>
                  <w:tcW w:w="345" w:type="pct"/>
                  <w:vMerge w:val="restart"/>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排放口编号</w:t>
                  </w:r>
                </w:p>
              </w:tc>
              <w:tc>
                <w:tcPr>
                  <w:tcW w:w="457" w:type="pct"/>
                  <w:vMerge w:val="restart"/>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排污口设置是否符合要求</w:t>
                  </w:r>
                </w:p>
              </w:tc>
              <w:tc>
                <w:tcPr>
                  <w:tcW w:w="388" w:type="pct"/>
                  <w:vMerge w:val="restart"/>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atLeast"/>
              </w:trPr>
              <w:tc>
                <w:tcPr>
                  <w:tcW w:w="288"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529"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651" w:type="pct"/>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614" w:type="pct"/>
                  <w:vMerge w:val="continue"/>
                  <w:noWrap w:val="0"/>
                  <w:vAlign w:val="center"/>
                </w:tcPr>
                <w:p>
                  <w:pPr>
                    <w:pStyle w:val="26"/>
                    <w:bidi w:val="0"/>
                    <w:jc w:val="center"/>
                    <w:rPr>
                      <w:rFonts w:hint="default" w:ascii="Times New Roman" w:hAnsi="Times New Roman" w:cs="Times New Roman"/>
                    </w:rPr>
                  </w:pPr>
                </w:p>
              </w:tc>
              <w:tc>
                <w:tcPr>
                  <w:tcW w:w="460" w:type="pct"/>
                  <w:vMerge w:val="continue"/>
                  <w:noWrap w:val="0"/>
                  <w:vAlign w:val="center"/>
                </w:tcPr>
                <w:p>
                  <w:pPr>
                    <w:pStyle w:val="26"/>
                    <w:bidi w:val="0"/>
                    <w:jc w:val="center"/>
                    <w:rPr>
                      <w:rFonts w:hint="default" w:ascii="Times New Roman" w:hAnsi="Times New Roman" w:cs="Times New Roman"/>
                    </w:rPr>
                  </w:pPr>
                </w:p>
              </w:tc>
              <w:tc>
                <w:tcPr>
                  <w:tcW w:w="452" w:type="pct"/>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污染治理设施编号</w:t>
                  </w:r>
                </w:p>
              </w:tc>
              <w:tc>
                <w:tcPr>
                  <w:tcW w:w="383" w:type="pct"/>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污染治理设施名称</w:t>
                  </w:r>
                </w:p>
              </w:tc>
              <w:tc>
                <w:tcPr>
                  <w:tcW w:w="427" w:type="pct"/>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污染治理设施工艺</w:t>
                  </w:r>
                </w:p>
              </w:tc>
              <w:tc>
                <w:tcPr>
                  <w:tcW w:w="345" w:type="pct"/>
                  <w:vMerge w:val="continue"/>
                  <w:noWrap w:val="0"/>
                  <w:vAlign w:val="center"/>
                </w:tcPr>
                <w:p>
                  <w:pPr>
                    <w:pStyle w:val="26"/>
                    <w:bidi w:val="0"/>
                    <w:jc w:val="center"/>
                    <w:rPr>
                      <w:rFonts w:hint="default" w:ascii="Times New Roman" w:hAnsi="Times New Roman" w:cs="Times New Roman"/>
                    </w:rPr>
                  </w:pPr>
                </w:p>
              </w:tc>
              <w:tc>
                <w:tcPr>
                  <w:tcW w:w="457" w:type="pct"/>
                  <w:vMerge w:val="continue"/>
                  <w:noWrap w:val="0"/>
                  <w:vAlign w:val="center"/>
                </w:tcPr>
                <w:p>
                  <w:pPr>
                    <w:pStyle w:val="26"/>
                    <w:bidi w:val="0"/>
                    <w:jc w:val="center"/>
                    <w:rPr>
                      <w:rFonts w:hint="default" w:ascii="Times New Roman" w:hAnsi="Times New Roman" w:cs="Times New Roman"/>
                    </w:rPr>
                  </w:pPr>
                </w:p>
              </w:tc>
              <w:tc>
                <w:tcPr>
                  <w:tcW w:w="388" w:type="pct"/>
                  <w:vMerge w:val="continue"/>
                  <w:noWrap w:val="0"/>
                  <w:vAlign w:val="center"/>
                </w:tcPr>
                <w:p>
                  <w:pPr>
                    <w:pStyle w:val="26"/>
                    <w:bidi w:val="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8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W1</w:t>
                  </w:r>
                </w:p>
              </w:tc>
              <w:tc>
                <w:tcPr>
                  <w:tcW w:w="52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清洗废水</w:t>
                  </w:r>
                </w:p>
              </w:tc>
              <w:tc>
                <w:tcPr>
                  <w:tcW w:w="65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COD、SS、氨氮、总氮、TP</w:t>
                  </w:r>
                </w:p>
              </w:tc>
              <w:tc>
                <w:tcPr>
                  <w:tcW w:w="614" w:type="pct"/>
                  <w:vMerge w:val="restart"/>
                  <w:noWrap w:val="0"/>
                  <w:vAlign w:val="center"/>
                </w:tcPr>
                <w:p>
                  <w:pPr>
                    <w:pStyle w:val="26"/>
                    <w:bidi w:val="0"/>
                    <w:jc w:val="center"/>
                    <w:rPr>
                      <w:rFonts w:hint="default" w:ascii="Times New Roman" w:hAnsi="Times New Roman" w:cs="Times New Roman"/>
                      <w:lang w:val="en-US"/>
                    </w:rPr>
                  </w:pPr>
                  <w:r>
                    <w:rPr>
                      <w:rFonts w:hint="default" w:ascii="Times New Roman" w:hAnsi="Times New Roman" w:cs="Times New Roman"/>
                      <w:lang w:val="en-US" w:eastAsia="zh-CN"/>
                    </w:rPr>
                    <w:t>自建污水处理站－城市下水道－城市污水处理厂－江河</w:t>
                  </w:r>
                </w:p>
              </w:tc>
              <w:tc>
                <w:tcPr>
                  <w:tcW w:w="460" w:type="pct"/>
                  <w:vMerge w:val="restart"/>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lang w:val="en-US" w:eastAsia="zh-CN"/>
                    </w:rPr>
                    <w:t>连续排放，流量稳定</w:t>
                  </w:r>
                </w:p>
              </w:tc>
              <w:tc>
                <w:tcPr>
                  <w:tcW w:w="452" w:type="pct"/>
                  <w:vMerge w:val="restart"/>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TW001</w:t>
                  </w:r>
                </w:p>
              </w:tc>
              <w:tc>
                <w:tcPr>
                  <w:tcW w:w="383" w:type="pct"/>
                  <w:vMerge w:val="restart"/>
                  <w:noWrap w:val="0"/>
                  <w:vAlign w:val="center"/>
                </w:tcPr>
                <w:p>
                  <w:pPr>
                    <w:pStyle w:val="26"/>
                    <w:bidi w:val="0"/>
                    <w:jc w:val="center"/>
                    <w:rPr>
                      <w:rFonts w:hint="default" w:ascii="Times New Roman" w:hAnsi="Times New Roman" w:cs="Times New Roman"/>
                      <w:lang w:eastAsia="zh-CN"/>
                    </w:rPr>
                  </w:pPr>
                  <w:r>
                    <w:rPr>
                      <w:rFonts w:hint="default" w:ascii="Times New Roman" w:hAnsi="Times New Roman" w:cs="Times New Roman"/>
                      <w:lang w:eastAsia="zh-CN"/>
                    </w:rPr>
                    <w:t>企业自建污水处理站</w:t>
                  </w:r>
                </w:p>
              </w:tc>
              <w:tc>
                <w:tcPr>
                  <w:tcW w:w="427" w:type="pct"/>
                  <w:vMerge w:val="restart"/>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lang w:val="en-US" w:eastAsia="zh-CN"/>
                    </w:rPr>
                    <w:t>混凝沉淀+厌氧水解+A/O</w:t>
                  </w:r>
                </w:p>
              </w:tc>
              <w:tc>
                <w:tcPr>
                  <w:tcW w:w="345" w:type="pct"/>
                  <w:vMerge w:val="restar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DW001</w:t>
                  </w:r>
                </w:p>
              </w:tc>
              <w:tc>
                <w:tcPr>
                  <w:tcW w:w="457" w:type="pct"/>
                  <w:vMerge w:val="restar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sym w:font="Wingdings 2" w:char="0052"/>
                  </w:r>
                  <w:r>
                    <w:rPr>
                      <w:rFonts w:hint="default" w:ascii="Times New Roman" w:hAnsi="Times New Roman" w:cs="Times New Roman"/>
                      <w:lang w:val="en-US" w:eastAsia="zh-CN"/>
                    </w:rPr>
                    <w:t>是</w:t>
                  </w:r>
                </w:p>
                <w:p>
                  <w:pPr>
                    <w:pStyle w:val="26"/>
                    <w:bidi w:val="0"/>
                    <w:jc w:val="center"/>
                    <w:rPr>
                      <w:rFonts w:hint="default" w:ascii="Times New Roman" w:hAnsi="Times New Roman" w:cs="Times New Roman"/>
                    </w:rPr>
                  </w:pPr>
                  <w:r>
                    <w:rPr>
                      <w:rFonts w:hint="default" w:ascii="Times New Roman" w:hAnsi="Times New Roman" w:cs="Times New Roman"/>
                      <w:lang w:val="en-US" w:eastAsia="zh-CN"/>
                    </w:rPr>
                    <w:t>□否</w:t>
                  </w:r>
                </w:p>
              </w:tc>
              <w:tc>
                <w:tcPr>
                  <w:tcW w:w="388" w:type="pct"/>
                  <w:vMerge w:val="restar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sym w:font="Wingdings 2" w:char="0052"/>
                  </w:r>
                  <w:r>
                    <w:rPr>
                      <w:rFonts w:hint="default" w:ascii="Times New Roman" w:hAnsi="Times New Roman" w:cs="Times New Roman"/>
                      <w:lang w:val="en-US" w:eastAsia="zh-CN"/>
                    </w:rPr>
                    <w:t>企业总排</w:t>
                  </w:r>
                </w:p>
                <w:p>
                  <w:pPr>
                    <w:pStyle w:val="26"/>
                    <w:bidi w:val="0"/>
                    <w:jc w:val="center"/>
                    <w:rPr>
                      <w:rFonts w:hint="default" w:ascii="Times New Roman" w:hAnsi="Times New Roman" w:cs="Times New Roman"/>
                    </w:rPr>
                  </w:pPr>
                  <w:r>
                    <w:rPr>
                      <w:rFonts w:hint="default" w:ascii="Times New Roman" w:hAnsi="Times New Roman" w:cs="Times New Roman"/>
                      <w:lang w:val="en-US" w:eastAsia="zh-CN"/>
                    </w:rPr>
                    <w:sym w:font="Wingdings 2" w:char="0052"/>
                  </w:r>
                  <w:r>
                    <w:rPr>
                      <w:rFonts w:hint="default" w:ascii="Times New Roman" w:hAnsi="Times New Roman" w:cs="Times New Roman"/>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8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W2</w:t>
                  </w:r>
                </w:p>
              </w:tc>
              <w:tc>
                <w:tcPr>
                  <w:tcW w:w="52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地面保洁废水</w:t>
                  </w:r>
                </w:p>
              </w:tc>
              <w:tc>
                <w:tcPr>
                  <w:tcW w:w="65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COD、SS、氨氮、总氮、TP</w:t>
                  </w:r>
                </w:p>
              </w:tc>
              <w:tc>
                <w:tcPr>
                  <w:tcW w:w="614" w:type="pct"/>
                  <w:vMerge w:val="continue"/>
                  <w:noWrap w:val="0"/>
                  <w:vAlign w:val="center"/>
                </w:tcPr>
                <w:p>
                  <w:pPr>
                    <w:pStyle w:val="26"/>
                    <w:bidi w:val="0"/>
                    <w:jc w:val="center"/>
                    <w:rPr>
                      <w:rFonts w:hint="default" w:ascii="Times New Roman" w:hAnsi="Times New Roman" w:cs="Times New Roman"/>
                    </w:rPr>
                  </w:pPr>
                </w:p>
              </w:tc>
              <w:tc>
                <w:tcPr>
                  <w:tcW w:w="460" w:type="pct"/>
                  <w:vMerge w:val="continue"/>
                  <w:noWrap w:val="0"/>
                  <w:vAlign w:val="center"/>
                </w:tcPr>
                <w:p>
                  <w:pPr>
                    <w:pStyle w:val="26"/>
                    <w:bidi w:val="0"/>
                    <w:jc w:val="center"/>
                    <w:rPr>
                      <w:rFonts w:hint="default" w:ascii="Times New Roman" w:hAnsi="Times New Roman" w:cs="Times New Roman"/>
                    </w:rPr>
                  </w:pPr>
                </w:p>
              </w:tc>
              <w:tc>
                <w:tcPr>
                  <w:tcW w:w="452" w:type="pct"/>
                  <w:vMerge w:val="continue"/>
                  <w:noWrap w:val="0"/>
                  <w:vAlign w:val="center"/>
                </w:tcPr>
                <w:p>
                  <w:pPr>
                    <w:pStyle w:val="26"/>
                    <w:bidi w:val="0"/>
                    <w:jc w:val="center"/>
                    <w:rPr>
                      <w:rFonts w:hint="default" w:ascii="Times New Roman" w:hAnsi="Times New Roman" w:cs="Times New Roman"/>
                    </w:rPr>
                  </w:pPr>
                </w:p>
              </w:tc>
              <w:tc>
                <w:tcPr>
                  <w:tcW w:w="383" w:type="pct"/>
                  <w:vMerge w:val="continue"/>
                  <w:noWrap w:val="0"/>
                  <w:vAlign w:val="center"/>
                </w:tcPr>
                <w:p>
                  <w:pPr>
                    <w:pStyle w:val="26"/>
                    <w:bidi w:val="0"/>
                    <w:jc w:val="center"/>
                    <w:rPr>
                      <w:rFonts w:hint="default" w:ascii="Times New Roman" w:hAnsi="Times New Roman" w:cs="Times New Roman"/>
                    </w:rPr>
                  </w:pPr>
                </w:p>
              </w:tc>
              <w:tc>
                <w:tcPr>
                  <w:tcW w:w="427" w:type="pct"/>
                  <w:vMerge w:val="continue"/>
                  <w:noWrap w:val="0"/>
                  <w:vAlign w:val="center"/>
                </w:tcPr>
                <w:p>
                  <w:pPr>
                    <w:pStyle w:val="26"/>
                    <w:bidi w:val="0"/>
                    <w:jc w:val="center"/>
                    <w:rPr>
                      <w:rFonts w:hint="default" w:ascii="Times New Roman" w:hAnsi="Times New Roman" w:cs="Times New Roman"/>
                    </w:rPr>
                  </w:pPr>
                </w:p>
              </w:tc>
              <w:tc>
                <w:tcPr>
                  <w:tcW w:w="345" w:type="pct"/>
                  <w:vMerge w:val="continue"/>
                  <w:noWrap w:val="0"/>
                  <w:vAlign w:val="center"/>
                </w:tcPr>
                <w:p>
                  <w:pPr>
                    <w:pStyle w:val="26"/>
                    <w:bidi w:val="0"/>
                    <w:jc w:val="center"/>
                    <w:rPr>
                      <w:rFonts w:hint="default" w:ascii="Times New Roman" w:hAnsi="Times New Roman" w:cs="Times New Roman"/>
                    </w:rPr>
                  </w:pPr>
                </w:p>
              </w:tc>
              <w:tc>
                <w:tcPr>
                  <w:tcW w:w="457" w:type="pct"/>
                  <w:vMerge w:val="continue"/>
                  <w:noWrap w:val="0"/>
                  <w:vAlign w:val="center"/>
                </w:tcPr>
                <w:p>
                  <w:pPr>
                    <w:pStyle w:val="26"/>
                    <w:bidi w:val="0"/>
                    <w:jc w:val="center"/>
                    <w:rPr>
                      <w:rFonts w:hint="default" w:ascii="Times New Roman" w:hAnsi="Times New Roman" w:cs="Times New Roman"/>
                    </w:rPr>
                  </w:pPr>
                </w:p>
              </w:tc>
              <w:tc>
                <w:tcPr>
                  <w:tcW w:w="388" w:type="pct"/>
                  <w:vMerge w:val="continue"/>
                  <w:noWrap w:val="0"/>
                  <w:vAlign w:val="center"/>
                </w:tcPr>
                <w:p>
                  <w:pPr>
                    <w:pStyle w:val="26"/>
                    <w:bidi w:val="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8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W3</w:t>
                  </w:r>
                </w:p>
              </w:tc>
              <w:tc>
                <w:tcPr>
                  <w:tcW w:w="52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洗衣房废水</w:t>
                  </w:r>
                </w:p>
              </w:tc>
              <w:tc>
                <w:tcPr>
                  <w:tcW w:w="65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COD、SS、氨氮、总氮、TP</w:t>
                  </w:r>
                </w:p>
              </w:tc>
              <w:tc>
                <w:tcPr>
                  <w:tcW w:w="614" w:type="pct"/>
                  <w:vMerge w:val="continue"/>
                  <w:noWrap w:val="0"/>
                  <w:vAlign w:val="center"/>
                </w:tcPr>
                <w:p>
                  <w:pPr>
                    <w:pStyle w:val="26"/>
                    <w:bidi w:val="0"/>
                    <w:jc w:val="center"/>
                    <w:rPr>
                      <w:rFonts w:hint="default" w:ascii="Times New Roman" w:hAnsi="Times New Roman" w:cs="Times New Roman"/>
                    </w:rPr>
                  </w:pPr>
                </w:p>
              </w:tc>
              <w:tc>
                <w:tcPr>
                  <w:tcW w:w="460" w:type="pct"/>
                  <w:vMerge w:val="continue"/>
                  <w:noWrap w:val="0"/>
                  <w:vAlign w:val="center"/>
                </w:tcPr>
                <w:p>
                  <w:pPr>
                    <w:pStyle w:val="26"/>
                    <w:bidi w:val="0"/>
                    <w:jc w:val="center"/>
                    <w:rPr>
                      <w:rFonts w:hint="default" w:ascii="Times New Roman" w:hAnsi="Times New Roman" w:cs="Times New Roman"/>
                    </w:rPr>
                  </w:pPr>
                </w:p>
              </w:tc>
              <w:tc>
                <w:tcPr>
                  <w:tcW w:w="452" w:type="pct"/>
                  <w:vMerge w:val="continue"/>
                  <w:noWrap w:val="0"/>
                  <w:vAlign w:val="center"/>
                </w:tcPr>
                <w:p>
                  <w:pPr>
                    <w:pStyle w:val="26"/>
                    <w:bidi w:val="0"/>
                    <w:jc w:val="center"/>
                    <w:rPr>
                      <w:rFonts w:hint="default" w:ascii="Times New Roman" w:hAnsi="Times New Roman" w:cs="Times New Roman"/>
                    </w:rPr>
                  </w:pPr>
                </w:p>
              </w:tc>
              <w:tc>
                <w:tcPr>
                  <w:tcW w:w="383" w:type="pct"/>
                  <w:vMerge w:val="continue"/>
                  <w:noWrap w:val="0"/>
                  <w:vAlign w:val="center"/>
                </w:tcPr>
                <w:p>
                  <w:pPr>
                    <w:pStyle w:val="26"/>
                    <w:bidi w:val="0"/>
                    <w:jc w:val="center"/>
                    <w:rPr>
                      <w:rFonts w:hint="default" w:ascii="Times New Roman" w:hAnsi="Times New Roman" w:cs="Times New Roman"/>
                    </w:rPr>
                  </w:pPr>
                </w:p>
              </w:tc>
              <w:tc>
                <w:tcPr>
                  <w:tcW w:w="427" w:type="pct"/>
                  <w:vMerge w:val="continue"/>
                  <w:noWrap w:val="0"/>
                  <w:vAlign w:val="center"/>
                </w:tcPr>
                <w:p>
                  <w:pPr>
                    <w:pStyle w:val="26"/>
                    <w:bidi w:val="0"/>
                    <w:jc w:val="center"/>
                    <w:rPr>
                      <w:rFonts w:hint="default" w:ascii="Times New Roman" w:hAnsi="Times New Roman" w:cs="Times New Roman"/>
                    </w:rPr>
                  </w:pPr>
                </w:p>
              </w:tc>
              <w:tc>
                <w:tcPr>
                  <w:tcW w:w="345" w:type="pct"/>
                  <w:vMerge w:val="continue"/>
                  <w:noWrap w:val="0"/>
                  <w:vAlign w:val="center"/>
                </w:tcPr>
                <w:p>
                  <w:pPr>
                    <w:pStyle w:val="26"/>
                    <w:bidi w:val="0"/>
                    <w:jc w:val="center"/>
                    <w:rPr>
                      <w:rFonts w:hint="default" w:ascii="Times New Roman" w:hAnsi="Times New Roman" w:cs="Times New Roman"/>
                    </w:rPr>
                  </w:pPr>
                </w:p>
              </w:tc>
              <w:tc>
                <w:tcPr>
                  <w:tcW w:w="457" w:type="pct"/>
                  <w:vMerge w:val="continue"/>
                  <w:noWrap w:val="0"/>
                  <w:vAlign w:val="center"/>
                </w:tcPr>
                <w:p>
                  <w:pPr>
                    <w:pStyle w:val="26"/>
                    <w:bidi w:val="0"/>
                    <w:jc w:val="center"/>
                    <w:rPr>
                      <w:rFonts w:hint="default" w:ascii="Times New Roman" w:hAnsi="Times New Roman" w:cs="Times New Roman"/>
                    </w:rPr>
                  </w:pPr>
                </w:p>
              </w:tc>
              <w:tc>
                <w:tcPr>
                  <w:tcW w:w="388" w:type="pct"/>
                  <w:vMerge w:val="continue"/>
                  <w:noWrap w:val="0"/>
                  <w:vAlign w:val="center"/>
                </w:tcPr>
                <w:p>
                  <w:pPr>
                    <w:pStyle w:val="26"/>
                    <w:bidi w:val="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8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W4</w:t>
                  </w:r>
                </w:p>
              </w:tc>
              <w:tc>
                <w:tcPr>
                  <w:tcW w:w="52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纯水制备废水</w:t>
                  </w:r>
                </w:p>
              </w:tc>
              <w:tc>
                <w:tcPr>
                  <w:tcW w:w="65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COD、SS</w:t>
                  </w:r>
                </w:p>
              </w:tc>
              <w:tc>
                <w:tcPr>
                  <w:tcW w:w="614" w:type="pct"/>
                  <w:vMerge w:val="continue"/>
                  <w:noWrap w:val="0"/>
                  <w:vAlign w:val="center"/>
                </w:tcPr>
                <w:p>
                  <w:pPr>
                    <w:pStyle w:val="26"/>
                    <w:bidi w:val="0"/>
                    <w:jc w:val="center"/>
                    <w:rPr>
                      <w:rFonts w:hint="default" w:ascii="Times New Roman" w:hAnsi="Times New Roman" w:cs="Times New Roman"/>
                      <w:lang w:eastAsia="zh-CN"/>
                    </w:rPr>
                  </w:pPr>
                </w:p>
              </w:tc>
              <w:tc>
                <w:tcPr>
                  <w:tcW w:w="460" w:type="pct"/>
                  <w:vMerge w:val="continue"/>
                  <w:noWrap w:val="0"/>
                  <w:vAlign w:val="center"/>
                </w:tcPr>
                <w:p>
                  <w:pPr>
                    <w:pStyle w:val="26"/>
                    <w:bidi w:val="0"/>
                    <w:jc w:val="center"/>
                    <w:rPr>
                      <w:rFonts w:hint="default" w:ascii="Times New Roman" w:hAnsi="Times New Roman" w:cs="Times New Roman"/>
                      <w:lang w:eastAsia="zh-CN"/>
                    </w:rPr>
                  </w:pPr>
                </w:p>
              </w:tc>
              <w:tc>
                <w:tcPr>
                  <w:tcW w:w="452" w:type="pct"/>
                  <w:vMerge w:val="continue"/>
                  <w:noWrap w:val="0"/>
                  <w:vAlign w:val="center"/>
                </w:tcPr>
                <w:p>
                  <w:pPr>
                    <w:pStyle w:val="26"/>
                    <w:bidi w:val="0"/>
                    <w:jc w:val="center"/>
                    <w:rPr>
                      <w:rFonts w:hint="default" w:ascii="Times New Roman" w:hAnsi="Times New Roman" w:cs="Times New Roman"/>
                      <w:lang w:val="en-US" w:eastAsia="zh-CN"/>
                    </w:rPr>
                  </w:pPr>
                </w:p>
              </w:tc>
              <w:tc>
                <w:tcPr>
                  <w:tcW w:w="383" w:type="pct"/>
                  <w:vMerge w:val="continue"/>
                  <w:noWrap w:val="0"/>
                  <w:vAlign w:val="center"/>
                </w:tcPr>
                <w:p>
                  <w:pPr>
                    <w:pStyle w:val="26"/>
                    <w:bidi w:val="0"/>
                    <w:jc w:val="center"/>
                    <w:rPr>
                      <w:rFonts w:hint="default" w:ascii="Times New Roman" w:hAnsi="Times New Roman" w:cs="Times New Roman"/>
                      <w:lang w:val="en-US" w:eastAsia="zh-CN"/>
                    </w:rPr>
                  </w:pPr>
                </w:p>
              </w:tc>
              <w:tc>
                <w:tcPr>
                  <w:tcW w:w="427" w:type="pct"/>
                  <w:vMerge w:val="continue"/>
                  <w:noWrap w:val="0"/>
                  <w:vAlign w:val="center"/>
                </w:tcPr>
                <w:p>
                  <w:pPr>
                    <w:pStyle w:val="26"/>
                    <w:bidi w:val="0"/>
                    <w:jc w:val="center"/>
                    <w:rPr>
                      <w:rFonts w:hint="default" w:ascii="Times New Roman" w:hAnsi="Times New Roman" w:cs="Times New Roman"/>
                      <w:lang w:val="en-US" w:eastAsia="zh-CN"/>
                    </w:rPr>
                  </w:pPr>
                </w:p>
              </w:tc>
              <w:tc>
                <w:tcPr>
                  <w:tcW w:w="345" w:type="pct"/>
                  <w:vMerge w:val="continue"/>
                  <w:noWrap w:val="0"/>
                  <w:vAlign w:val="center"/>
                </w:tcPr>
                <w:p>
                  <w:pPr>
                    <w:pStyle w:val="26"/>
                    <w:bidi w:val="0"/>
                    <w:jc w:val="center"/>
                    <w:rPr>
                      <w:rFonts w:hint="default" w:ascii="Times New Roman" w:hAnsi="Times New Roman" w:cs="Times New Roman"/>
                      <w:lang w:val="en-US" w:eastAsia="zh-CN"/>
                    </w:rPr>
                  </w:pPr>
                </w:p>
              </w:tc>
              <w:tc>
                <w:tcPr>
                  <w:tcW w:w="457" w:type="pct"/>
                  <w:vMerge w:val="continue"/>
                  <w:noWrap w:val="0"/>
                  <w:vAlign w:val="center"/>
                </w:tcPr>
                <w:p>
                  <w:pPr>
                    <w:pStyle w:val="26"/>
                    <w:bidi w:val="0"/>
                    <w:jc w:val="center"/>
                    <w:rPr>
                      <w:rFonts w:hint="default" w:ascii="Times New Roman" w:hAnsi="Times New Roman" w:cs="Times New Roman"/>
                    </w:rPr>
                  </w:pPr>
                </w:p>
              </w:tc>
              <w:tc>
                <w:tcPr>
                  <w:tcW w:w="388" w:type="pct"/>
                  <w:vMerge w:val="continue"/>
                  <w:noWrap w:val="0"/>
                  <w:vAlign w:val="center"/>
                </w:tcPr>
                <w:p>
                  <w:pPr>
                    <w:pStyle w:val="26"/>
                    <w:bidi w:val="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28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W5</w:t>
                  </w:r>
                </w:p>
              </w:tc>
              <w:tc>
                <w:tcPr>
                  <w:tcW w:w="52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生活污水</w:t>
                  </w:r>
                </w:p>
              </w:tc>
              <w:tc>
                <w:tcPr>
                  <w:tcW w:w="65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CODCr、BOD</w:t>
                  </w:r>
                  <w:r>
                    <w:rPr>
                      <w:rFonts w:hint="default" w:ascii="Times New Roman" w:hAnsi="Times New Roman" w:eastAsia="宋体" w:cs="Times New Roman"/>
                      <w:snapToGrid w:val="0"/>
                      <w:color w:val="auto"/>
                      <w:kern w:val="21"/>
                      <w:szCs w:val="21"/>
                      <w:vertAlign w:val="subscript"/>
                      <w:lang w:val="en-US" w:eastAsia="zh-CN"/>
                    </w:rPr>
                    <w:t>5</w:t>
                  </w:r>
                  <w:r>
                    <w:rPr>
                      <w:rFonts w:hint="default" w:ascii="Times New Roman" w:hAnsi="Times New Roman" w:eastAsia="宋体" w:cs="Times New Roman"/>
                      <w:snapToGrid w:val="0"/>
                      <w:color w:val="auto"/>
                      <w:kern w:val="21"/>
                      <w:szCs w:val="21"/>
                      <w:lang w:val="en-US" w:eastAsia="zh-CN"/>
                    </w:rPr>
                    <w:t>、SS、氨氮</w:t>
                  </w:r>
                </w:p>
              </w:tc>
              <w:tc>
                <w:tcPr>
                  <w:tcW w:w="614" w:type="pct"/>
                  <w:vMerge w:val="continue"/>
                  <w:noWrap w:val="0"/>
                  <w:vAlign w:val="center"/>
                </w:tcPr>
                <w:p>
                  <w:pPr>
                    <w:pStyle w:val="26"/>
                    <w:bidi w:val="0"/>
                    <w:jc w:val="center"/>
                    <w:rPr>
                      <w:rFonts w:hint="default" w:ascii="Times New Roman" w:hAnsi="Times New Roman" w:cs="Times New Roman"/>
                      <w:lang w:eastAsia="zh-CN"/>
                    </w:rPr>
                  </w:pPr>
                </w:p>
              </w:tc>
              <w:tc>
                <w:tcPr>
                  <w:tcW w:w="460" w:type="pct"/>
                  <w:vMerge w:val="continue"/>
                  <w:noWrap w:val="0"/>
                  <w:vAlign w:val="center"/>
                </w:tcPr>
                <w:p>
                  <w:pPr>
                    <w:pStyle w:val="26"/>
                    <w:bidi w:val="0"/>
                    <w:jc w:val="center"/>
                    <w:rPr>
                      <w:rFonts w:hint="default" w:ascii="Times New Roman" w:hAnsi="Times New Roman" w:cs="Times New Roman"/>
                    </w:rPr>
                  </w:pPr>
                </w:p>
              </w:tc>
              <w:tc>
                <w:tcPr>
                  <w:tcW w:w="452" w:type="pct"/>
                  <w:vMerge w:val="continue"/>
                  <w:noWrap w:val="0"/>
                  <w:vAlign w:val="center"/>
                </w:tcPr>
                <w:p>
                  <w:pPr>
                    <w:pStyle w:val="26"/>
                    <w:bidi w:val="0"/>
                    <w:jc w:val="center"/>
                    <w:rPr>
                      <w:rFonts w:hint="default" w:ascii="Times New Roman" w:hAnsi="Times New Roman" w:cs="Times New Roman"/>
                      <w:lang w:val="en-US" w:eastAsia="zh-CN"/>
                    </w:rPr>
                  </w:pPr>
                </w:p>
              </w:tc>
              <w:tc>
                <w:tcPr>
                  <w:tcW w:w="383" w:type="pct"/>
                  <w:vMerge w:val="continue"/>
                  <w:noWrap w:val="0"/>
                  <w:vAlign w:val="center"/>
                </w:tcPr>
                <w:p>
                  <w:pPr>
                    <w:pStyle w:val="26"/>
                    <w:bidi w:val="0"/>
                    <w:jc w:val="center"/>
                    <w:rPr>
                      <w:rFonts w:hint="default" w:ascii="Times New Roman" w:hAnsi="Times New Roman" w:cs="Times New Roman"/>
                      <w:lang w:val="en-US" w:eastAsia="zh-CN"/>
                    </w:rPr>
                  </w:pPr>
                </w:p>
              </w:tc>
              <w:tc>
                <w:tcPr>
                  <w:tcW w:w="427" w:type="pct"/>
                  <w:vMerge w:val="continue"/>
                  <w:noWrap w:val="0"/>
                  <w:vAlign w:val="center"/>
                </w:tcPr>
                <w:p>
                  <w:pPr>
                    <w:pStyle w:val="26"/>
                    <w:bidi w:val="0"/>
                    <w:jc w:val="center"/>
                    <w:rPr>
                      <w:rFonts w:hint="default" w:ascii="Times New Roman" w:hAnsi="Times New Roman" w:cs="Times New Roman"/>
                    </w:rPr>
                  </w:pPr>
                </w:p>
              </w:tc>
              <w:tc>
                <w:tcPr>
                  <w:tcW w:w="345" w:type="pct"/>
                  <w:vMerge w:val="continue"/>
                  <w:noWrap w:val="0"/>
                  <w:vAlign w:val="center"/>
                </w:tcPr>
                <w:p>
                  <w:pPr>
                    <w:pStyle w:val="26"/>
                    <w:bidi w:val="0"/>
                    <w:jc w:val="center"/>
                    <w:rPr>
                      <w:rFonts w:hint="default" w:ascii="Times New Roman" w:hAnsi="Times New Roman" w:cs="Times New Roman"/>
                    </w:rPr>
                  </w:pPr>
                </w:p>
              </w:tc>
              <w:tc>
                <w:tcPr>
                  <w:tcW w:w="457" w:type="pct"/>
                  <w:vMerge w:val="continue"/>
                  <w:noWrap w:val="0"/>
                  <w:vAlign w:val="center"/>
                </w:tcPr>
                <w:p>
                  <w:pPr>
                    <w:pStyle w:val="26"/>
                    <w:bidi w:val="0"/>
                    <w:jc w:val="center"/>
                    <w:rPr>
                      <w:rFonts w:hint="default" w:ascii="Times New Roman" w:hAnsi="Times New Roman" w:cs="Times New Roman"/>
                    </w:rPr>
                  </w:pPr>
                </w:p>
              </w:tc>
              <w:tc>
                <w:tcPr>
                  <w:tcW w:w="388" w:type="pct"/>
                  <w:vMerge w:val="continue"/>
                  <w:noWrap w:val="0"/>
                  <w:vAlign w:val="center"/>
                </w:tcPr>
                <w:p>
                  <w:pPr>
                    <w:pStyle w:val="26"/>
                    <w:bidi w:val="0"/>
                    <w:jc w:val="center"/>
                    <w:rPr>
                      <w:rFonts w:hint="default" w:ascii="Times New Roman" w:hAnsi="Times New Roman" w:cs="Times New Roman"/>
                    </w:rPr>
                  </w:pPr>
                </w:p>
              </w:tc>
            </w:tr>
          </w:tbl>
          <w:p>
            <w:pPr>
              <w:pStyle w:val="6"/>
              <w:bidi w:val="0"/>
              <w:rPr>
                <w:rFonts w:hint="default" w:ascii="Times New Roman" w:hAnsi="Times New Roman" w:cs="Times New Roman"/>
                <w:lang w:eastAsia="zh-CN"/>
              </w:rPr>
            </w:pPr>
            <w:r>
              <w:rPr>
                <w:rFonts w:hint="default" w:ascii="Times New Roman" w:hAnsi="Times New Roman" w:cs="Times New Roman"/>
              </w:rPr>
              <w:t>4、排污口基本情况</w:t>
            </w:r>
            <w:r>
              <w:rPr>
                <w:rFonts w:hint="default" w:ascii="Times New Roman" w:hAnsi="Times New Roman" w:cs="Times New Roman"/>
                <w:lang w:eastAsia="zh-CN"/>
              </w:rPr>
              <w:t>及监测计划</w:t>
            </w:r>
          </w:p>
          <w:p>
            <w:pPr>
              <w:bidi w:val="0"/>
              <w:ind w:firstLine="480" w:firstLineChars="200"/>
              <w:rPr>
                <w:rFonts w:hint="default" w:ascii="Times New Roman" w:hAnsi="Times New Roman" w:cs="Times New Roman"/>
                <w:lang w:val="en-US" w:eastAsia="zh-CN"/>
              </w:rPr>
            </w:pPr>
            <w:r>
              <w:rPr>
                <w:rFonts w:hint="default" w:ascii="Times New Roman" w:hAnsi="Times New Roman" w:cs="Times New Roman"/>
                <w:lang w:eastAsia="zh-CN"/>
              </w:rPr>
              <w:t>本项目排污口与城市污水管网相连，未直接排放进入水体，</w:t>
            </w:r>
            <w:r>
              <w:rPr>
                <w:rFonts w:hint="default" w:ascii="Times New Roman" w:hAnsi="Times New Roman" w:cs="Times New Roman"/>
                <w:lang w:val="en-US" w:eastAsia="zh-CN"/>
              </w:rPr>
              <w:t>本项目排污口设置不存在明显环境制约因素，排污口设置环境合理，本项目废水排污口为一般排放口。</w:t>
            </w:r>
          </w:p>
          <w:p>
            <w:pPr>
              <w:ind w:firstLine="480" w:firstLineChars="200"/>
              <w:rPr>
                <w:rFonts w:hint="default" w:ascii="Times New Roman" w:hAnsi="Times New Roman" w:cs="Times New Roman"/>
              </w:rPr>
            </w:pPr>
            <w:r>
              <w:rPr>
                <w:rFonts w:hint="default" w:ascii="Times New Roman" w:hAnsi="Times New Roman" w:cs="Times New Roman"/>
              </w:rPr>
              <w:t>参考</w:t>
            </w:r>
            <w:r>
              <w:rPr>
                <w:rFonts w:hint="default" w:ascii="Times New Roman" w:hAnsi="Times New Roman" w:cs="Times New Roman"/>
                <w:lang w:val="en-US" w:eastAsia="zh-CN"/>
              </w:rPr>
              <w:t>《排污许可证申请与核发技术规范制药工业—化学药品制剂制造》(</w:t>
            </w:r>
            <w:r>
              <w:rPr>
                <w:rFonts w:hint="default" w:ascii="Times New Roman" w:hAnsi="Times New Roman" w:cs="Times New Roman"/>
              </w:rPr>
              <w:t>HJ10</w:t>
            </w:r>
            <w:r>
              <w:rPr>
                <w:rFonts w:hint="default" w:ascii="Times New Roman" w:hAnsi="Times New Roman" w:cs="Times New Roman"/>
                <w:lang w:val="en-US" w:eastAsia="zh-CN"/>
              </w:rPr>
              <w:t>63</w:t>
            </w:r>
            <w:r>
              <w:rPr>
                <w:rFonts w:hint="default" w:ascii="Times New Roman" w:hAnsi="Times New Roman" w:cs="Times New Roman"/>
              </w:rPr>
              <w:t>-2019)，项目营运期废</w:t>
            </w:r>
            <w:r>
              <w:rPr>
                <w:rFonts w:hint="default" w:ascii="Times New Roman" w:hAnsi="Times New Roman" w:cs="Times New Roman"/>
                <w:lang w:eastAsia="zh-CN"/>
              </w:rPr>
              <w:t>水</w:t>
            </w:r>
            <w:r>
              <w:rPr>
                <w:rFonts w:hint="default" w:ascii="Times New Roman" w:hAnsi="Times New Roman" w:cs="Times New Roman"/>
              </w:rPr>
              <w:t>监测计划如下：</w:t>
            </w:r>
          </w:p>
          <w:p>
            <w:pPr>
              <w:pStyle w:val="27"/>
              <w:bidi w:val="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10</w:t>
            </w:r>
            <w:r>
              <w:rPr>
                <w:rFonts w:hint="default" w:ascii="Times New Roman" w:hAnsi="Times New Roman" w:cs="Times New Roman"/>
              </w:rPr>
              <w:t xml:space="preserve"> </w:t>
            </w:r>
            <w:r>
              <w:rPr>
                <w:rFonts w:hint="eastAsia" w:cs="Times New Roman"/>
                <w:lang w:val="en-US" w:eastAsia="zh-CN"/>
              </w:rPr>
              <w:t xml:space="preserve"> </w:t>
            </w:r>
            <w:r>
              <w:rPr>
                <w:rFonts w:hint="default" w:ascii="Times New Roman" w:hAnsi="Times New Roman" w:cs="Times New Roman"/>
              </w:rPr>
              <w:t>项目运营期</w:t>
            </w:r>
            <w:r>
              <w:rPr>
                <w:rFonts w:hint="default" w:ascii="Times New Roman" w:hAnsi="Times New Roman" w:cs="Times New Roman"/>
                <w:lang w:eastAsia="zh-CN"/>
              </w:rPr>
              <w:t>废水</w:t>
            </w:r>
            <w:r>
              <w:rPr>
                <w:rFonts w:hint="default" w:ascii="Times New Roman" w:hAnsi="Times New Roman" w:cs="Times New Roman"/>
              </w:rPr>
              <w:t>污染源自行监测计划</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147"/>
              <w:gridCol w:w="3045"/>
              <w:gridCol w:w="1073"/>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项目</w:t>
                  </w:r>
                </w:p>
              </w:tc>
              <w:tc>
                <w:tcPr>
                  <w:tcW w:w="114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监测点位</w:t>
                  </w:r>
                </w:p>
              </w:tc>
              <w:tc>
                <w:tcPr>
                  <w:tcW w:w="304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监测因子</w:t>
                  </w:r>
                </w:p>
              </w:tc>
              <w:tc>
                <w:tcPr>
                  <w:tcW w:w="1073"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监测频率</w:t>
                  </w:r>
                </w:p>
              </w:tc>
              <w:tc>
                <w:tcPr>
                  <w:tcW w:w="187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6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废水</w:t>
                  </w:r>
                </w:p>
              </w:tc>
              <w:tc>
                <w:tcPr>
                  <w:tcW w:w="114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废水总排口</w:t>
                  </w:r>
                </w:p>
              </w:tc>
              <w:tc>
                <w:tcPr>
                  <w:tcW w:w="3045" w:type="dxa"/>
                  <w:noWrap w:val="0"/>
                  <w:vAlign w:val="center"/>
                </w:tcPr>
                <w:p>
                  <w:pPr>
                    <w:pStyle w:val="26"/>
                    <w:spacing w:beforeLines="0" w:afterLines="0" w:line="240" w:lineRule="auto"/>
                    <w:jc w:val="center"/>
                    <w:rPr>
                      <w:rFonts w:hint="default" w:ascii="Times New Roman" w:hAnsi="Times New Roman" w:cs="Times New Roman"/>
                    </w:rPr>
                  </w:pPr>
                  <w:r>
                    <w:rPr>
                      <w:rFonts w:hint="default" w:ascii="Times New Roman" w:hAnsi="Times New Roman" w:eastAsia="宋体" w:cs="Times New Roman"/>
                      <w:snapToGrid w:val="0"/>
                      <w:color w:val="auto"/>
                      <w:kern w:val="21"/>
                      <w:szCs w:val="21"/>
                      <w:lang w:val="en-US" w:eastAsia="zh-CN"/>
                    </w:rPr>
                    <w:t>流量、pH值、化学需氧量、氨氮</w:t>
                  </w:r>
                  <w:r>
                    <w:rPr>
                      <w:rFonts w:hint="eastAsia" w:eastAsia="宋体" w:cs="Times New Roman"/>
                      <w:snapToGrid w:val="0"/>
                      <w:color w:val="auto"/>
                      <w:kern w:val="21"/>
                      <w:szCs w:val="21"/>
                      <w:lang w:val="en-US" w:eastAsia="zh-CN"/>
                    </w:rPr>
                    <w:t>、</w:t>
                  </w:r>
                  <w:r>
                    <w:rPr>
                      <w:rFonts w:hint="default" w:ascii="Times New Roman" w:hAnsi="Times New Roman" w:cs="Times New Roman"/>
                      <w:lang w:val="en-US" w:eastAsia="zh-CN"/>
                    </w:rPr>
                    <w:t>总磷、总氮、悬浮物、五日生化需氧量</w:t>
                  </w:r>
                </w:p>
              </w:tc>
              <w:tc>
                <w:tcPr>
                  <w:tcW w:w="1073" w:type="dxa"/>
                  <w:noWrap w:val="0"/>
                  <w:vAlign w:val="center"/>
                </w:tcPr>
                <w:p>
                  <w:pPr>
                    <w:pStyle w:val="26"/>
                    <w:spacing w:beforeLines="0" w:afterLines="0" w:line="240" w:lineRule="auto"/>
                    <w:jc w:val="center"/>
                    <w:rPr>
                      <w:rFonts w:hint="default" w:ascii="Times New Roman" w:hAnsi="Times New Roman" w:cs="Times New Roman"/>
                      <w:lang w:eastAsia="zh-CN"/>
                    </w:rPr>
                  </w:pPr>
                  <w:r>
                    <w:rPr>
                      <w:rFonts w:hint="eastAsia" w:eastAsia="宋体" w:cs="Times New Roman"/>
                      <w:snapToGrid w:val="0"/>
                      <w:color w:val="auto"/>
                      <w:kern w:val="21"/>
                      <w:szCs w:val="21"/>
                      <w:lang w:val="en-US" w:eastAsia="zh-CN"/>
                    </w:rPr>
                    <w:t>1次/</w:t>
                  </w:r>
                  <w:r>
                    <w:rPr>
                      <w:rFonts w:hint="default" w:ascii="Times New Roman" w:hAnsi="Times New Roman" w:eastAsia="宋体" w:cs="Times New Roman"/>
                      <w:snapToGrid w:val="0"/>
                      <w:color w:val="auto"/>
                      <w:kern w:val="21"/>
                      <w:szCs w:val="21"/>
                      <w:lang w:val="en-US" w:eastAsia="zh-CN"/>
                    </w:rPr>
                    <w:t>季度</w:t>
                  </w:r>
                </w:p>
              </w:tc>
              <w:tc>
                <w:tcPr>
                  <w:tcW w:w="187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德山污水处理厂进水水质标准</w:t>
                  </w:r>
                </w:p>
              </w:tc>
            </w:tr>
          </w:tbl>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（三）噪声</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1、噪声源强</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本工程主要噪声源主要为各生产线设备运行时产生的噪声，噪声源强见下表。</w:t>
            </w:r>
          </w:p>
          <w:p>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表4-11  噪声源强一览表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857"/>
              <w:gridCol w:w="1394"/>
              <w:gridCol w:w="1055"/>
              <w:gridCol w:w="924"/>
              <w:gridCol w:w="1128"/>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噪声源</w:t>
                  </w:r>
                </w:p>
              </w:tc>
              <w:tc>
                <w:tcPr>
                  <w:tcW w:w="549"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数量（台）</w:t>
                  </w:r>
                </w:p>
              </w:tc>
              <w:tc>
                <w:tcPr>
                  <w:tcW w:w="89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声源类型（频发、偶发等）</w:t>
                  </w:r>
                </w:p>
              </w:tc>
              <w:tc>
                <w:tcPr>
                  <w:tcW w:w="67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产生强度dB(A)</w:t>
                  </w:r>
                </w:p>
              </w:tc>
              <w:tc>
                <w:tcPr>
                  <w:tcW w:w="592"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降噪措施</w:t>
                  </w:r>
                </w:p>
              </w:tc>
              <w:tc>
                <w:tcPr>
                  <w:tcW w:w="723"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排放强度dB(A)</w:t>
                  </w:r>
                </w:p>
              </w:tc>
              <w:tc>
                <w:tcPr>
                  <w:tcW w:w="52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持续时间h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制粒机</w:t>
                  </w:r>
                </w:p>
              </w:tc>
              <w:tc>
                <w:tcPr>
                  <w:tcW w:w="549"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w:t>
                  </w:r>
                </w:p>
              </w:tc>
              <w:tc>
                <w:tcPr>
                  <w:tcW w:w="89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偶发</w:t>
                  </w:r>
                </w:p>
              </w:tc>
              <w:tc>
                <w:tcPr>
                  <w:tcW w:w="67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80</w:t>
                  </w:r>
                </w:p>
              </w:tc>
              <w:tc>
                <w:tcPr>
                  <w:tcW w:w="592" w:type="pct"/>
                  <w:vMerge w:val="restart"/>
                  <w:noWrap w:val="0"/>
                  <w:vAlign w:val="center"/>
                </w:tcPr>
                <w:p>
                  <w:pPr>
                    <w:pStyle w:val="26"/>
                    <w:bidi w:val="0"/>
                    <w:jc w:val="center"/>
                    <w:rPr>
                      <w:rFonts w:hint="default" w:ascii="Times New Roman" w:hAnsi="Times New Roman" w:cs="Times New Roman"/>
                      <w:lang w:val="en-US" w:eastAsia="zh-CN"/>
                    </w:rPr>
                  </w:pPr>
                </w:p>
              </w:tc>
              <w:tc>
                <w:tcPr>
                  <w:tcW w:w="723"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70</w:t>
                  </w:r>
                </w:p>
              </w:tc>
              <w:tc>
                <w:tcPr>
                  <w:tcW w:w="52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混合机</w:t>
                  </w:r>
                </w:p>
              </w:tc>
              <w:tc>
                <w:tcPr>
                  <w:tcW w:w="549"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89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偶发</w:t>
                  </w:r>
                </w:p>
              </w:tc>
              <w:tc>
                <w:tcPr>
                  <w:tcW w:w="67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80</w:t>
                  </w:r>
                </w:p>
              </w:tc>
              <w:tc>
                <w:tcPr>
                  <w:tcW w:w="592" w:type="pct"/>
                  <w:vMerge w:val="continue"/>
                  <w:noWrap w:val="0"/>
                  <w:vAlign w:val="center"/>
                </w:tcPr>
                <w:p>
                  <w:pPr>
                    <w:pStyle w:val="26"/>
                    <w:bidi w:val="0"/>
                    <w:jc w:val="center"/>
                    <w:rPr>
                      <w:rFonts w:hint="default" w:ascii="Times New Roman" w:hAnsi="Times New Roman" w:cs="Times New Roman"/>
                      <w:lang w:val="en-US" w:eastAsia="zh-CN"/>
                    </w:rPr>
                  </w:pPr>
                </w:p>
              </w:tc>
              <w:tc>
                <w:tcPr>
                  <w:tcW w:w="723"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70</w:t>
                  </w:r>
                </w:p>
              </w:tc>
              <w:tc>
                <w:tcPr>
                  <w:tcW w:w="52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包衣机</w:t>
                  </w:r>
                </w:p>
              </w:tc>
              <w:tc>
                <w:tcPr>
                  <w:tcW w:w="549"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89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偶发</w:t>
                  </w:r>
                </w:p>
              </w:tc>
              <w:tc>
                <w:tcPr>
                  <w:tcW w:w="67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70</w:t>
                  </w:r>
                </w:p>
              </w:tc>
              <w:tc>
                <w:tcPr>
                  <w:tcW w:w="592" w:type="pct"/>
                  <w:vMerge w:val="continue"/>
                  <w:noWrap w:val="0"/>
                  <w:vAlign w:val="center"/>
                </w:tcPr>
                <w:p>
                  <w:pPr>
                    <w:pStyle w:val="26"/>
                    <w:bidi w:val="0"/>
                    <w:jc w:val="center"/>
                    <w:rPr>
                      <w:rFonts w:hint="default" w:ascii="Times New Roman" w:hAnsi="Times New Roman" w:cs="Times New Roman"/>
                      <w:lang w:val="en-US" w:eastAsia="zh-CN"/>
                    </w:rPr>
                  </w:pPr>
                </w:p>
              </w:tc>
              <w:tc>
                <w:tcPr>
                  <w:tcW w:w="723"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60</w:t>
                  </w:r>
                </w:p>
              </w:tc>
              <w:tc>
                <w:tcPr>
                  <w:tcW w:w="52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包装机</w:t>
                  </w:r>
                </w:p>
              </w:tc>
              <w:tc>
                <w:tcPr>
                  <w:tcW w:w="549"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89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偶发</w:t>
                  </w:r>
                </w:p>
              </w:tc>
              <w:tc>
                <w:tcPr>
                  <w:tcW w:w="67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70</w:t>
                  </w:r>
                </w:p>
              </w:tc>
              <w:tc>
                <w:tcPr>
                  <w:tcW w:w="592" w:type="pct"/>
                  <w:vMerge w:val="continue"/>
                  <w:noWrap w:val="0"/>
                  <w:vAlign w:val="center"/>
                </w:tcPr>
                <w:p>
                  <w:pPr>
                    <w:pStyle w:val="26"/>
                    <w:bidi w:val="0"/>
                    <w:jc w:val="center"/>
                    <w:rPr>
                      <w:rFonts w:hint="default" w:ascii="Times New Roman" w:hAnsi="Times New Roman" w:cs="Times New Roman"/>
                      <w:lang w:val="en-US" w:eastAsia="zh-CN"/>
                    </w:rPr>
                  </w:pPr>
                </w:p>
              </w:tc>
              <w:tc>
                <w:tcPr>
                  <w:tcW w:w="723"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60</w:t>
                  </w:r>
                </w:p>
              </w:tc>
              <w:tc>
                <w:tcPr>
                  <w:tcW w:w="52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3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空气压缩机</w:t>
                  </w:r>
                </w:p>
              </w:tc>
              <w:tc>
                <w:tcPr>
                  <w:tcW w:w="549"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89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偶发</w:t>
                  </w:r>
                </w:p>
              </w:tc>
              <w:tc>
                <w:tcPr>
                  <w:tcW w:w="67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85</w:t>
                  </w:r>
                </w:p>
              </w:tc>
              <w:tc>
                <w:tcPr>
                  <w:tcW w:w="592" w:type="pct"/>
                  <w:vMerge w:val="continue"/>
                  <w:noWrap w:val="0"/>
                  <w:vAlign w:val="center"/>
                </w:tcPr>
                <w:p>
                  <w:pPr>
                    <w:pStyle w:val="26"/>
                    <w:bidi w:val="0"/>
                    <w:jc w:val="center"/>
                    <w:rPr>
                      <w:rFonts w:hint="default" w:ascii="Times New Roman" w:hAnsi="Times New Roman" w:cs="Times New Roman"/>
                      <w:lang w:val="en-US" w:eastAsia="zh-CN"/>
                    </w:rPr>
                  </w:pPr>
                </w:p>
              </w:tc>
              <w:tc>
                <w:tcPr>
                  <w:tcW w:w="723"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75</w:t>
                  </w:r>
                </w:p>
              </w:tc>
              <w:tc>
                <w:tcPr>
                  <w:tcW w:w="52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纯水机</w:t>
                  </w:r>
                </w:p>
              </w:tc>
              <w:tc>
                <w:tcPr>
                  <w:tcW w:w="549"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89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偶发</w:t>
                  </w:r>
                </w:p>
              </w:tc>
              <w:tc>
                <w:tcPr>
                  <w:tcW w:w="67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65</w:t>
                  </w:r>
                </w:p>
              </w:tc>
              <w:tc>
                <w:tcPr>
                  <w:tcW w:w="592" w:type="pct"/>
                  <w:vMerge w:val="continue"/>
                  <w:noWrap w:val="0"/>
                  <w:vAlign w:val="center"/>
                </w:tcPr>
                <w:p>
                  <w:pPr>
                    <w:pStyle w:val="26"/>
                    <w:bidi w:val="0"/>
                    <w:jc w:val="center"/>
                    <w:rPr>
                      <w:rFonts w:hint="default" w:ascii="Times New Roman" w:hAnsi="Times New Roman" w:cs="Times New Roman"/>
                      <w:lang w:val="en-US" w:eastAsia="zh-CN"/>
                    </w:rPr>
                  </w:pPr>
                </w:p>
              </w:tc>
              <w:tc>
                <w:tcPr>
                  <w:tcW w:w="723"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55</w:t>
                  </w:r>
                </w:p>
              </w:tc>
              <w:tc>
                <w:tcPr>
                  <w:tcW w:w="52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空调机组</w:t>
                  </w:r>
                </w:p>
              </w:tc>
              <w:tc>
                <w:tcPr>
                  <w:tcW w:w="549"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7</w:t>
                  </w:r>
                </w:p>
              </w:tc>
              <w:tc>
                <w:tcPr>
                  <w:tcW w:w="894"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偶发</w:t>
                  </w:r>
                </w:p>
              </w:tc>
              <w:tc>
                <w:tcPr>
                  <w:tcW w:w="67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75</w:t>
                  </w:r>
                </w:p>
              </w:tc>
              <w:tc>
                <w:tcPr>
                  <w:tcW w:w="592" w:type="pct"/>
                  <w:vMerge w:val="continue"/>
                  <w:noWrap w:val="0"/>
                  <w:vAlign w:val="center"/>
                </w:tcPr>
                <w:p>
                  <w:pPr>
                    <w:pStyle w:val="26"/>
                    <w:bidi w:val="0"/>
                    <w:jc w:val="center"/>
                    <w:rPr>
                      <w:rFonts w:hint="default" w:ascii="Times New Roman" w:hAnsi="Times New Roman" w:cs="Times New Roman"/>
                      <w:lang w:val="en-US" w:eastAsia="zh-CN"/>
                    </w:rPr>
                  </w:pPr>
                </w:p>
              </w:tc>
              <w:tc>
                <w:tcPr>
                  <w:tcW w:w="723"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65</w:t>
                  </w:r>
                </w:p>
              </w:tc>
              <w:tc>
                <w:tcPr>
                  <w:tcW w:w="526" w:type="pct"/>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w:t>
                  </w:r>
                </w:p>
              </w:tc>
            </w:tr>
          </w:tbl>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由上表可知，本项目设备噪声源强一般，建设单位拟采取以下降噪措施：</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（1）合理布局：所有产噪设备均布置在厂房车间内或密闭房间内，利用墙体进行隔声。</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（2）选用低噪设备：充分选用先进的低噪设备，以从声源上降低设备本身噪声。</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（3）纯水系统、净化空调系统布置在一独立房间内，房间密闭，设备基础设减振垫以减振降噪。</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4）净化空调系统电动机轴和叶轮紧密配合，所有叶轮均经过平衡校正，运转平衡，配有特殊的消声器使运转噪声低；风机和电动机安装在防震的弹簧减震器上，且风机和出风口因软性联结，使产生震动的电动机、风机与空气箱其它部分完全隔绝，有效消除震动。</w:t>
            </w:r>
          </w:p>
          <w:p>
            <w:pPr>
              <w:keepNext w:val="0"/>
              <w:keepLines w:val="0"/>
              <w:widowControl/>
              <w:suppressLineNumbers w:val="0"/>
              <w:spacing w:line="360" w:lineRule="auto"/>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5）加强维护：对运行设备做到勤检修、多维护，保持设备在最佳工况下运行。通过上述的治理措施后可有效降低噪声值15~20dB(A)，再加上厂界距离衰减隔声，则本项目运营过程中产生的噪声能够满足《工业企业厂界环境噪声排放标准》（GB12348-2008）3类标准，能够做到达标排放。</w:t>
            </w:r>
          </w:p>
          <w:p>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在选用低噪声设备，对主要产噪设备采取必要的减震、消声、建筑隔声、优化厂区平面布置等综合降噪措施后，厂界四周噪声可满足《工业企业厂界环境噪声排放标准》（GB12348-2008）3类标准。</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（四）固体废物</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本项目主要产生的固废包括（1）一般固废：生活垃圾、废包装材料、纯水系统废滤料（废砂、废活性炭、废反渗透膜等），（2）危险废物：生产过程除尘系统收集的粉尘、生产过程中产生的废药品、检验不合格产品（包括过期药品）、实验固废、实验废液、废气净化装置更换下来的废过滤棉和废活性炭、机修含油废手套等。</w:t>
            </w:r>
          </w:p>
          <w:p>
            <w:pPr>
              <w:pStyle w:val="6"/>
              <w:bidi w:val="0"/>
              <w:rPr>
                <w:rFonts w:hint="default" w:ascii="Times New Roman" w:hAnsi="Times New Roman" w:cs="Times New Roman"/>
              </w:rPr>
            </w:pPr>
            <w:r>
              <w:rPr>
                <w:rFonts w:hint="default" w:ascii="Times New Roman" w:hAnsi="Times New Roman" w:cs="Times New Roman"/>
                <w:lang w:val="en-US" w:eastAsia="zh-CN"/>
              </w:rPr>
              <w:t>1、一般固废</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（1）生活垃圾</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本项目劳动定员</w:t>
            </w:r>
            <w:r>
              <w:rPr>
                <w:rFonts w:hint="eastAsia" w:cs="Times New Roman"/>
                <w:lang w:val="en-US" w:eastAsia="zh-CN"/>
              </w:rPr>
              <w:t>100</w:t>
            </w:r>
            <w:r>
              <w:rPr>
                <w:rFonts w:hint="default" w:ascii="Times New Roman" w:hAnsi="Times New Roman" w:cs="Times New Roman"/>
                <w:lang w:val="en-US" w:eastAsia="zh-CN"/>
              </w:rPr>
              <w:t>人，生活垃圾人均产生量按0.5kg/d计，则垃圾产生量为100kg/d，合计年产生量为30t/a。办公生活垃圾定点堆放，由环卫部门统一收集后送垃圾焚烧场处理。</w:t>
            </w:r>
          </w:p>
          <w:p>
            <w:pPr>
              <w:keepNext w:val="0"/>
              <w:keepLines w:val="0"/>
              <w:widowControl/>
              <w:suppressLineNumbers w:val="0"/>
              <w:jc w:val="left"/>
              <w:rPr>
                <w:rFonts w:hint="default" w:ascii="Times New Roman" w:hAnsi="Times New Roman" w:cs="Times New Roman"/>
              </w:rPr>
            </w:pPr>
            <w:r>
              <w:rPr>
                <w:rFonts w:hint="default" w:ascii="Times New Roman" w:hAnsi="Times New Roman" w:cs="Times New Roman"/>
                <w:lang w:val="en-US" w:eastAsia="zh-CN"/>
              </w:rPr>
              <w:t xml:space="preserve">   （2）普通废包装材料</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根据建设单位提供资料，原料拆包和产品包装产生的废外包装材料约2t/a，外售废品收购站处理。</w:t>
            </w:r>
          </w:p>
          <w:p>
            <w:pPr>
              <w:keepNext w:val="0"/>
              <w:keepLines w:val="0"/>
              <w:widowControl/>
              <w:suppressLineNumbers w:val="0"/>
              <w:jc w:val="left"/>
              <w:rPr>
                <w:rFonts w:hint="default" w:ascii="Times New Roman" w:hAnsi="Times New Roman" w:cs="Times New Roman"/>
              </w:rPr>
            </w:pPr>
            <w:r>
              <w:rPr>
                <w:rFonts w:hint="default" w:ascii="Times New Roman" w:hAnsi="Times New Roman" w:cs="Times New Roman"/>
                <w:lang w:val="en-US" w:eastAsia="zh-CN"/>
              </w:rPr>
              <w:t xml:space="preserve">   （3）纯水系统废滤料（废砂、废活性炭、废反渗透膜等） </w:t>
            </w:r>
          </w:p>
          <w:p>
            <w:pPr>
              <w:keepNext w:val="0"/>
              <w:keepLines w:val="0"/>
              <w:widowControl/>
              <w:suppressLineNumbers w:val="0"/>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纯水站反渗透装置石英砂、活性炭、反渗透膜等滤料需定期更换，一般1年更换一次，废滤料上主要为水中悬浮物。更换下来的废砂、废活性炭、废反渗透膜等约0.5t/a，由环卫部门统一收集后送垃圾填埋场处理。</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（4）污泥</w:t>
            </w:r>
          </w:p>
          <w:p>
            <w:pPr>
              <w:spacing w:line="360" w:lineRule="auto"/>
              <w:ind w:firstLine="480" w:firstLineChars="200"/>
              <w:rPr>
                <w:rFonts w:hint="default" w:ascii="Times New Roman" w:hAnsi="Times New Roman" w:cs="Times New Roman"/>
              </w:rPr>
            </w:pPr>
            <w:r>
              <w:rPr>
                <w:rFonts w:hint="default" w:ascii="Times New Roman" w:hAnsi="Times New Roman" w:cs="Times New Roman"/>
                <w:lang w:val="en-US" w:eastAsia="zh-CN"/>
              </w:rPr>
              <w:t>污泥：厂区内污水处理站处理废水会产生污泥。根据工程设计单位提供资料，污水站产生的污泥约为10t/a，委托相关单位定期清运。</w:t>
            </w:r>
          </w:p>
          <w:p>
            <w:pPr>
              <w:pStyle w:val="6"/>
              <w:bidi w:val="0"/>
              <w:rPr>
                <w:rFonts w:hint="default" w:ascii="Times New Roman" w:hAnsi="Times New Roman" w:cs="Times New Roman"/>
              </w:rPr>
            </w:pPr>
            <w:r>
              <w:rPr>
                <w:rFonts w:hint="default" w:ascii="Times New Roman" w:hAnsi="Times New Roman" w:cs="Times New Roman"/>
                <w:lang w:val="en-US" w:eastAsia="zh-CN"/>
              </w:rPr>
              <w:t xml:space="preserve">2、危险废物 </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（1）生产过程除尘系统收集的粉尘</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根据物料平衡，生产过程除尘系统收集的粉尘产生量约</w:t>
            </w:r>
            <w:r>
              <w:rPr>
                <w:rFonts w:hint="eastAsia" w:cs="Times New Roman"/>
                <w:lang w:val="en-US" w:eastAsia="zh-CN"/>
              </w:rPr>
              <w:t>0.005</w:t>
            </w:r>
            <w:r>
              <w:rPr>
                <w:rFonts w:hint="default" w:ascii="Times New Roman" w:hAnsi="Times New Roman" w:cs="Times New Roman"/>
                <w:lang w:val="en-US" w:eastAsia="zh-CN"/>
              </w:rPr>
              <w:t>t/a，属于危险废物，交由有资质单位处置。</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 xml:space="preserve">（2）生产过程中产生的废药品和检验不合格产品（包括过期药品） </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根据物料平衡，生产过程中产生的废药品和检验不合格产品（包括过期药品）产生量约0.21t/a，属于危险废物，交由有资质单位处置。</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（3）实验固废</w:t>
            </w:r>
          </w:p>
          <w:p>
            <w:pPr>
              <w:keepNext w:val="0"/>
              <w:keepLines w:val="0"/>
              <w:widowControl/>
              <w:suppressLineNumbers w:val="0"/>
              <w:ind w:firstLine="480"/>
              <w:jc w:val="left"/>
              <w:rPr>
                <w:rFonts w:hint="default" w:ascii="Times New Roman" w:hAnsi="Times New Roman" w:cs="Times New Roman"/>
                <w:lang w:val="en-US" w:eastAsia="zh-CN"/>
              </w:rPr>
            </w:pPr>
            <w:r>
              <w:rPr>
                <w:rFonts w:hint="default" w:ascii="Times New Roman" w:hAnsi="Times New Roman" w:cs="Times New Roman"/>
                <w:lang w:val="en-US" w:eastAsia="zh-CN"/>
              </w:rPr>
              <w:t>实验室实验过程中产生实验固废主要包括试剂废包装（如直接接触有机溶剂、化学试剂的试剂瓶）、分析产品时消耗或破碎的实验室用品如滤纸、滤头、破碎的玻璃器皿等。根据建设单位提供数据，本项目实验固废产生量约为0.1t/a。上述实验固废按材质分类存放于纸箱或污物袋，可能导致伤害的废弃物如针头、破损玻璃器具应使用废纸包裹后存放。纸箱或污物袋采用标签管理方式，需要注明为固体废弃物。上述实验室固废多为有毒有害或强腐蚀性的危险固废，分类收集后暂存于危废暂存间，定期交由有资质单位处置。</w:t>
            </w:r>
          </w:p>
          <w:p>
            <w:pPr>
              <w:keepNext w:val="0"/>
              <w:keepLines w:val="0"/>
              <w:widowControl/>
              <w:suppressLineNumbers w:val="0"/>
              <w:ind w:firstLine="480"/>
              <w:jc w:val="left"/>
              <w:rPr>
                <w:rFonts w:hint="default" w:ascii="Times New Roman" w:hAnsi="Times New Roman" w:cs="Times New Roman"/>
                <w:lang w:val="en-US" w:eastAsia="zh-CN"/>
              </w:rPr>
            </w:pPr>
            <w:r>
              <w:rPr>
                <w:rFonts w:hint="default" w:ascii="Times New Roman" w:hAnsi="Times New Roman" w:cs="Times New Roman"/>
                <w:lang w:val="en-US" w:eastAsia="zh-CN"/>
              </w:rPr>
              <w:t>（4）实验废液</w:t>
            </w:r>
          </w:p>
          <w:p>
            <w:pPr>
              <w:keepNext w:val="0"/>
              <w:keepLines w:val="0"/>
              <w:widowControl/>
              <w:suppressLineNumbers w:val="0"/>
              <w:jc w:val="left"/>
              <w:rPr>
                <w:rFonts w:hint="default" w:ascii="Times New Roman" w:hAnsi="Times New Roman" w:cs="Times New Roman"/>
              </w:rPr>
            </w:pPr>
            <w:r>
              <w:rPr>
                <w:rFonts w:hint="default" w:ascii="Times New Roman" w:hAnsi="Times New Roman" w:cs="Times New Roman"/>
                <w:lang w:val="en-US" w:eastAsia="zh-CN"/>
              </w:rPr>
              <w:t xml:space="preserve">    实验室实验过程中产生的实验废液包括：实验过程中配制的试液、实验分析检测废液、液相色谱实验过程中产生的含有机溶剂废液以及前3次的实验器皿清洗废水等。结合项目试剂用量及质检用水量，估算得实验废液产生量约6t/a。以上实验废液均属于危险废物，实验过程中，同步采用专门的废液缸收集产生的废液，实验完成后，将废液按酸/碱/有机/其他分类，转移至相应的废液收集桶。废液收集桶采用标签管理方式，每个桶上均注明废液的类型。每桶装废液量不宜过满。上述实验废液多为有毒有害或强腐蚀性的危险固废，采用废液收集桶分类收集后，暂存于危废暂存间，定期交由有资质单位处置。</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（5）废过滤棉和废活性炭</w:t>
            </w:r>
          </w:p>
          <w:p>
            <w:pPr>
              <w:keepNext w:val="0"/>
              <w:keepLines w:val="0"/>
              <w:widowControl/>
              <w:suppressLineNumbers w:val="0"/>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项目废气净化装置更换下来的废过滤棉和废活性炭约</w:t>
            </w:r>
            <w:r>
              <w:rPr>
                <w:rFonts w:hint="eastAsia" w:cs="Times New Roman"/>
                <w:lang w:val="en-US" w:eastAsia="zh-CN"/>
              </w:rPr>
              <w:t>0.02</w:t>
            </w:r>
            <w:r>
              <w:rPr>
                <w:rFonts w:hint="default" w:ascii="Times New Roman" w:hAnsi="Times New Roman" w:cs="Times New Roman"/>
                <w:lang w:val="en-US" w:eastAsia="zh-CN"/>
              </w:rPr>
              <w:t>t/a（含有机废气），属于危险废物，交由有资质单位处置。</w:t>
            </w:r>
          </w:p>
          <w:p>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（6）沾染化学品的包装材料</w:t>
            </w:r>
          </w:p>
          <w:p>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根据建设方提供资料，本项目化学品供应过程产生的危废废包装材料约为0.5t/a，作为危废委托资质单位处置。</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针对上述危险废物，项目设置危废暂存间1个，用于生产和实验过程中产生的各类危险废物的暂存。项目危险废物应采用密封桶（污物袋）收集暂存后，定期交由有资质单位处置并签订危废处置协议。同时，危废暂存间及危废处置还应做好以下几点：</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同时，危废暂存点及危废处置应做好以下几点：</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 xml:space="preserve">①危废暂存间应严格按照《危险废物贮存污染控制标准》（GB18597-2001）中规定的要求，采取“四防”（防风、防雨、防晒、防渗漏）。 </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 xml:space="preserve">②危险废物贮存设施应按环境保护图形标志《固体废物贮存（处置）场》（GB15562.2-1995）的规定设置警示标志。 </w:t>
            </w:r>
          </w:p>
          <w:p>
            <w:pPr>
              <w:keepNext w:val="0"/>
              <w:keepLines w:val="0"/>
              <w:widowControl/>
              <w:suppressLineNumbers w:val="0"/>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③危废暂存间要求地面与裙脚要做防渗处理，且必须安装泄漏液体收集装置；保持通风，杜绝火源，并匹配适宜的消防设施；注意检查废液桶的密闭性，对满桶废液每日应进行放气操作，并每日巡检有无渗漏情况。</w:t>
            </w:r>
          </w:p>
          <w:p>
            <w:pPr>
              <w:keepNext w:val="0"/>
              <w:keepLines w:val="0"/>
              <w:widowControl/>
              <w:suppressLineNumbers w:val="0"/>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④建设单位必须将上述危险废物交由有相应处理资质的单位处理，并签订协议。</w:t>
            </w:r>
          </w:p>
          <w:p>
            <w:pPr>
              <w:keepNext w:val="0"/>
              <w:keepLines w:val="0"/>
              <w:widowControl/>
              <w:suppressLineNumbers w:val="0"/>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⑤危险废物转移应按照《危险废物转移联单管理办法》的有关要求规定填写五联单。</w:t>
            </w:r>
          </w:p>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⑥建设单位应加强危险废物的管理，严禁随意露天堆放、随意倾倒和将危险固废混入一般固废中，以避免污染周边环境和防止发生泄漏污染地下水。</w:t>
            </w:r>
          </w:p>
          <w:p>
            <w:pPr>
              <w:adjustRightInd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综上，本项目固废产、排情况如下表所示：</w:t>
            </w:r>
          </w:p>
          <w:p>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表4-12   一般固废产排情况一览表</w:t>
            </w:r>
          </w:p>
          <w:tbl>
            <w:tblPr>
              <w:tblStyle w:val="1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742"/>
              <w:gridCol w:w="750"/>
              <w:gridCol w:w="870"/>
              <w:gridCol w:w="653"/>
              <w:gridCol w:w="1267"/>
              <w:gridCol w:w="1043"/>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固废</w:t>
                  </w:r>
                </w:p>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名称</w:t>
                  </w:r>
                </w:p>
              </w:tc>
              <w:tc>
                <w:tcPr>
                  <w:tcW w:w="47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产污环节</w:t>
                  </w:r>
                </w:p>
              </w:tc>
              <w:tc>
                <w:tcPr>
                  <w:tcW w:w="48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性质</w:t>
                  </w:r>
                </w:p>
              </w:tc>
              <w:tc>
                <w:tcPr>
                  <w:tcW w:w="55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产生量（t/a)</w:t>
                  </w:r>
                </w:p>
              </w:tc>
              <w:tc>
                <w:tcPr>
                  <w:tcW w:w="41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形态</w:t>
                  </w:r>
                </w:p>
              </w:tc>
              <w:tc>
                <w:tcPr>
                  <w:tcW w:w="81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主要成分</w:t>
                  </w:r>
                </w:p>
              </w:tc>
              <w:tc>
                <w:tcPr>
                  <w:tcW w:w="66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暂存场所</w:t>
                  </w:r>
                </w:p>
              </w:tc>
              <w:tc>
                <w:tcPr>
                  <w:tcW w:w="87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治理</w:t>
                  </w:r>
                </w:p>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生活垃圾</w:t>
                  </w:r>
                </w:p>
              </w:tc>
              <w:tc>
                <w:tcPr>
                  <w:tcW w:w="47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日常办公</w:t>
                  </w:r>
                </w:p>
              </w:tc>
              <w:tc>
                <w:tcPr>
                  <w:tcW w:w="48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一般固废</w:t>
                  </w:r>
                </w:p>
              </w:tc>
              <w:tc>
                <w:tcPr>
                  <w:tcW w:w="55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30</w:t>
                  </w:r>
                </w:p>
              </w:tc>
              <w:tc>
                <w:tcPr>
                  <w:tcW w:w="41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固态</w:t>
                  </w:r>
                </w:p>
              </w:tc>
              <w:tc>
                <w:tcPr>
                  <w:tcW w:w="81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废纸等</w:t>
                  </w:r>
                </w:p>
              </w:tc>
              <w:tc>
                <w:tcPr>
                  <w:tcW w:w="66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办公区域</w:t>
                  </w:r>
                </w:p>
              </w:tc>
              <w:tc>
                <w:tcPr>
                  <w:tcW w:w="87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环卫部门统一收集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普通废包装材料</w:t>
                  </w:r>
                </w:p>
              </w:tc>
              <w:tc>
                <w:tcPr>
                  <w:tcW w:w="47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生产</w:t>
                  </w:r>
                </w:p>
              </w:tc>
              <w:tc>
                <w:tcPr>
                  <w:tcW w:w="48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一般固废</w:t>
                  </w:r>
                </w:p>
              </w:tc>
              <w:tc>
                <w:tcPr>
                  <w:tcW w:w="55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w:t>
                  </w:r>
                </w:p>
              </w:tc>
              <w:tc>
                <w:tcPr>
                  <w:tcW w:w="41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固态</w:t>
                  </w:r>
                </w:p>
              </w:tc>
              <w:tc>
                <w:tcPr>
                  <w:tcW w:w="81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聚丙烯、纸箱等</w:t>
                  </w:r>
                </w:p>
              </w:tc>
              <w:tc>
                <w:tcPr>
                  <w:tcW w:w="66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生产车间</w:t>
                  </w:r>
                </w:p>
              </w:tc>
              <w:tc>
                <w:tcPr>
                  <w:tcW w:w="87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集中外卖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纯水系统废滤料</w:t>
                  </w:r>
                </w:p>
              </w:tc>
              <w:tc>
                <w:tcPr>
                  <w:tcW w:w="47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纯水制备</w:t>
                  </w:r>
                </w:p>
              </w:tc>
              <w:tc>
                <w:tcPr>
                  <w:tcW w:w="48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一般固废</w:t>
                  </w:r>
                </w:p>
              </w:tc>
              <w:tc>
                <w:tcPr>
                  <w:tcW w:w="55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0.5</w:t>
                  </w:r>
                </w:p>
              </w:tc>
              <w:tc>
                <w:tcPr>
                  <w:tcW w:w="41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固态</w:t>
                  </w:r>
                </w:p>
              </w:tc>
              <w:tc>
                <w:tcPr>
                  <w:tcW w:w="81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废砂、废活性炭、废反渗透膜等</w:t>
                  </w:r>
                </w:p>
              </w:tc>
              <w:tc>
                <w:tcPr>
                  <w:tcW w:w="66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生产车间</w:t>
                  </w:r>
                </w:p>
              </w:tc>
              <w:tc>
                <w:tcPr>
                  <w:tcW w:w="87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一般固废收集单位进行收集处理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淤泥</w:t>
                  </w:r>
                </w:p>
              </w:tc>
              <w:tc>
                <w:tcPr>
                  <w:tcW w:w="476"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污水处理</w:t>
                  </w:r>
                </w:p>
              </w:tc>
              <w:tc>
                <w:tcPr>
                  <w:tcW w:w="481"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一般固废</w:t>
                  </w:r>
                </w:p>
              </w:tc>
              <w:tc>
                <w:tcPr>
                  <w:tcW w:w="55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10</w:t>
                  </w:r>
                </w:p>
              </w:tc>
              <w:tc>
                <w:tcPr>
                  <w:tcW w:w="41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固态</w:t>
                  </w:r>
                </w:p>
              </w:tc>
              <w:tc>
                <w:tcPr>
                  <w:tcW w:w="813"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淤泥</w:t>
                  </w:r>
                </w:p>
              </w:tc>
              <w:tc>
                <w:tcPr>
                  <w:tcW w:w="669"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污水处理站</w:t>
                  </w:r>
                </w:p>
              </w:tc>
              <w:tc>
                <w:tcPr>
                  <w:tcW w:w="878" w:type="pc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委托相关单位定期清运。</w:t>
                  </w:r>
                </w:p>
              </w:tc>
            </w:tr>
          </w:tbl>
          <w:p>
            <w:pPr>
              <w:pStyle w:val="27"/>
              <w:bidi w:val="0"/>
              <w:rPr>
                <w:rFonts w:hint="default" w:ascii="Times New Roman" w:hAnsi="Times New Roman" w:cs="Times New Roman"/>
                <w:lang w:val="en-US" w:eastAsia="zh-CN"/>
              </w:rPr>
            </w:pPr>
            <w:r>
              <w:rPr>
                <w:rFonts w:hint="default" w:ascii="Times New Roman" w:hAnsi="Times New Roman" w:cs="Times New Roman"/>
                <w:lang w:val="en-US" w:eastAsia="zh-CN"/>
              </w:rPr>
              <w:t>表4-13  危废产排</w:t>
            </w:r>
            <w:r>
              <w:rPr>
                <w:rFonts w:hint="eastAsia" w:cs="Times New Roman"/>
                <w:lang w:val="en-US" w:eastAsia="zh-CN"/>
              </w:rPr>
              <w:t>及</w:t>
            </w:r>
            <w:r>
              <w:rPr>
                <w:rFonts w:hint="default" w:ascii="Times New Roman" w:hAnsi="Times New Roman" w:cs="Times New Roman"/>
                <w:lang w:val="en-US" w:eastAsia="zh-CN"/>
              </w:rPr>
              <w:t>属性情况一览表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415"/>
              <w:gridCol w:w="846"/>
              <w:gridCol w:w="510"/>
              <w:gridCol w:w="712"/>
              <w:gridCol w:w="668"/>
              <w:gridCol w:w="855"/>
              <w:gridCol w:w="645"/>
              <w:gridCol w:w="677"/>
              <w:gridCol w:w="671"/>
              <w:gridCol w:w="917"/>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序号</w:t>
                  </w:r>
                </w:p>
              </w:tc>
              <w:tc>
                <w:tcPr>
                  <w:tcW w:w="84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名称</w:t>
                  </w:r>
                </w:p>
              </w:tc>
              <w:tc>
                <w:tcPr>
                  <w:tcW w:w="510"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属性</w:t>
                  </w:r>
                </w:p>
              </w:tc>
              <w:tc>
                <w:tcPr>
                  <w:tcW w:w="71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产生工序</w:t>
                  </w:r>
                </w:p>
              </w:tc>
              <w:tc>
                <w:tcPr>
                  <w:tcW w:w="668"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形态</w:t>
                  </w:r>
                </w:p>
              </w:tc>
              <w:tc>
                <w:tcPr>
                  <w:tcW w:w="85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主要成分</w:t>
                  </w:r>
                </w:p>
              </w:tc>
              <w:tc>
                <w:tcPr>
                  <w:tcW w:w="64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鉴别方法</w:t>
                  </w:r>
                </w:p>
              </w:tc>
              <w:tc>
                <w:tcPr>
                  <w:tcW w:w="67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危险特性</w:t>
                  </w:r>
                </w:p>
              </w:tc>
              <w:tc>
                <w:tcPr>
                  <w:tcW w:w="67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废物类别</w:t>
                  </w:r>
                </w:p>
              </w:tc>
              <w:tc>
                <w:tcPr>
                  <w:tcW w:w="91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废物代码</w:t>
                  </w:r>
                </w:p>
              </w:tc>
              <w:tc>
                <w:tcPr>
                  <w:tcW w:w="88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预测产生量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1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w:t>
                  </w:r>
                </w:p>
              </w:tc>
              <w:tc>
                <w:tcPr>
                  <w:tcW w:w="84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粉尘</w:t>
                  </w:r>
                </w:p>
              </w:tc>
              <w:tc>
                <w:tcPr>
                  <w:tcW w:w="510"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危废</w:t>
                  </w:r>
                </w:p>
              </w:tc>
              <w:tc>
                <w:tcPr>
                  <w:tcW w:w="71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废气处理</w:t>
                  </w:r>
                </w:p>
              </w:tc>
              <w:tc>
                <w:tcPr>
                  <w:tcW w:w="668"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固态</w:t>
                  </w:r>
                </w:p>
              </w:tc>
              <w:tc>
                <w:tcPr>
                  <w:tcW w:w="85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药粉</w:t>
                  </w:r>
                </w:p>
              </w:tc>
              <w:tc>
                <w:tcPr>
                  <w:tcW w:w="645" w:type="dxa"/>
                  <w:vMerge w:val="restart"/>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《国家危险废物名录》2021版</w:t>
                  </w:r>
                </w:p>
              </w:tc>
              <w:tc>
                <w:tcPr>
                  <w:tcW w:w="67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T</w:t>
                  </w:r>
                </w:p>
              </w:tc>
              <w:tc>
                <w:tcPr>
                  <w:tcW w:w="67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HW02</w:t>
                  </w:r>
                </w:p>
              </w:tc>
              <w:tc>
                <w:tcPr>
                  <w:tcW w:w="91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272-005-02</w:t>
                  </w:r>
                </w:p>
              </w:tc>
              <w:tc>
                <w:tcPr>
                  <w:tcW w:w="88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w:t>
                  </w:r>
                </w:p>
              </w:tc>
              <w:tc>
                <w:tcPr>
                  <w:tcW w:w="84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废药品、废产品</w:t>
                  </w:r>
                </w:p>
              </w:tc>
              <w:tc>
                <w:tcPr>
                  <w:tcW w:w="510"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71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生产、检验</w:t>
                  </w:r>
                </w:p>
              </w:tc>
              <w:tc>
                <w:tcPr>
                  <w:tcW w:w="668"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固态、液态</w:t>
                  </w:r>
                </w:p>
              </w:tc>
              <w:tc>
                <w:tcPr>
                  <w:tcW w:w="85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药粉、药液</w:t>
                  </w:r>
                </w:p>
              </w:tc>
              <w:tc>
                <w:tcPr>
                  <w:tcW w:w="645"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67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T</w:t>
                  </w:r>
                </w:p>
              </w:tc>
              <w:tc>
                <w:tcPr>
                  <w:tcW w:w="67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HW02</w:t>
                  </w:r>
                </w:p>
              </w:tc>
              <w:tc>
                <w:tcPr>
                  <w:tcW w:w="91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272-005-02</w:t>
                  </w:r>
                </w:p>
              </w:tc>
              <w:tc>
                <w:tcPr>
                  <w:tcW w:w="88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1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3</w:t>
                  </w:r>
                </w:p>
              </w:tc>
              <w:tc>
                <w:tcPr>
                  <w:tcW w:w="84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实验固废</w:t>
                  </w:r>
                </w:p>
              </w:tc>
              <w:tc>
                <w:tcPr>
                  <w:tcW w:w="510"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71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检验</w:t>
                  </w:r>
                </w:p>
              </w:tc>
              <w:tc>
                <w:tcPr>
                  <w:tcW w:w="668"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固态</w:t>
                  </w:r>
                </w:p>
              </w:tc>
              <w:tc>
                <w:tcPr>
                  <w:tcW w:w="85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实验用品</w:t>
                  </w:r>
                </w:p>
              </w:tc>
              <w:tc>
                <w:tcPr>
                  <w:tcW w:w="645"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67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T/C/I/R</w:t>
                  </w:r>
                </w:p>
              </w:tc>
              <w:tc>
                <w:tcPr>
                  <w:tcW w:w="67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HW49</w:t>
                  </w:r>
                </w:p>
              </w:tc>
              <w:tc>
                <w:tcPr>
                  <w:tcW w:w="91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900-047-49</w:t>
                  </w:r>
                </w:p>
              </w:tc>
              <w:tc>
                <w:tcPr>
                  <w:tcW w:w="88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4</w:t>
                  </w:r>
                </w:p>
              </w:tc>
              <w:tc>
                <w:tcPr>
                  <w:tcW w:w="84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实验废液</w:t>
                  </w:r>
                </w:p>
              </w:tc>
              <w:tc>
                <w:tcPr>
                  <w:tcW w:w="510"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71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检验</w:t>
                  </w:r>
                </w:p>
              </w:tc>
              <w:tc>
                <w:tcPr>
                  <w:tcW w:w="668"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液态</w:t>
                  </w:r>
                </w:p>
              </w:tc>
              <w:tc>
                <w:tcPr>
                  <w:tcW w:w="85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实验药剂</w:t>
                  </w:r>
                </w:p>
              </w:tc>
              <w:tc>
                <w:tcPr>
                  <w:tcW w:w="645"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67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T/C/I/R</w:t>
                  </w:r>
                </w:p>
              </w:tc>
              <w:tc>
                <w:tcPr>
                  <w:tcW w:w="67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HW49</w:t>
                  </w:r>
                </w:p>
              </w:tc>
              <w:tc>
                <w:tcPr>
                  <w:tcW w:w="91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900-047-49</w:t>
                  </w:r>
                </w:p>
              </w:tc>
              <w:tc>
                <w:tcPr>
                  <w:tcW w:w="88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1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5</w:t>
                  </w:r>
                </w:p>
              </w:tc>
              <w:tc>
                <w:tcPr>
                  <w:tcW w:w="84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废过滤棉和废活性炭</w:t>
                  </w:r>
                </w:p>
              </w:tc>
              <w:tc>
                <w:tcPr>
                  <w:tcW w:w="510"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71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废气处理</w:t>
                  </w:r>
                </w:p>
              </w:tc>
              <w:tc>
                <w:tcPr>
                  <w:tcW w:w="668"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固态</w:t>
                  </w:r>
                </w:p>
              </w:tc>
              <w:tc>
                <w:tcPr>
                  <w:tcW w:w="85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废过滤棉和废活性炭</w:t>
                  </w:r>
                </w:p>
              </w:tc>
              <w:tc>
                <w:tcPr>
                  <w:tcW w:w="645"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67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T</w:t>
                  </w:r>
                </w:p>
              </w:tc>
              <w:tc>
                <w:tcPr>
                  <w:tcW w:w="67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HW49</w:t>
                  </w:r>
                </w:p>
              </w:tc>
              <w:tc>
                <w:tcPr>
                  <w:tcW w:w="91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900-039-49</w:t>
                  </w:r>
                </w:p>
              </w:tc>
              <w:tc>
                <w:tcPr>
                  <w:tcW w:w="88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6</w:t>
                  </w:r>
                </w:p>
              </w:tc>
              <w:tc>
                <w:tcPr>
                  <w:tcW w:w="84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沾染化学品的包装材料</w:t>
                  </w:r>
                </w:p>
              </w:tc>
              <w:tc>
                <w:tcPr>
                  <w:tcW w:w="510"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71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化学品供应过程</w:t>
                  </w:r>
                </w:p>
              </w:tc>
              <w:tc>
                <w:tcPr>
                  <w:tcW w:w="668"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固态</w:t>
                  </w:r>
                </w:p>
              </w:tc>
              <w:tc>
                <w:tcPr>
                  <w:tcW w:w="855"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沾有化学品包装袋、包装桶</w:t>
                  </w:r>
                </w:p>
              </w:tc>
              <w:tc>
                <w:tcPr>
                  <w:tcW w:w="645" w:type="dxa"/>
                  <w:vMerge w:val="continue"/>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p>
              </w:tc>
              <w:tc>
                <w:tcPr>
                  <w:tcW w:w="67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T/In</w:t>
                  </w:r>
                </w:p>
              </w:tc>
              <w:tc>
                <w:tcPr>
                  <w:tcW w:w="67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HW49</w:t>
                  </w:r>
                </w:p>
              </w:tc>
              <w:tc>
                <w:tcPr>
                  <w:tcW w:w="917"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900-041-49</w:t>
                  </w:r>
                </w:p>
              </w:tc>
              <w:tc>
                <w:tcPr>
                  <w:tcW w:w="882"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0.5</w:t>
                  </w:r>
                </w:p>
              </w:tc>
            </w:tr>
          </w:tbl>
          <w:p>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cs="Times New Roman"/>
                <w:lang w:val="en-US" w:eastAsia="zh-CN"/>
              </w:rPr>
              <w:t>综上所述，本项目产生的各类固废处置措施合理，去向明确，可确保不对环境造成二次污染。</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（五）土壤及地下水</w:t>
            </w:r>
          </w:p>
          <w:p>
            <w:pPr>
              <w:bidi w:val="0"/>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本项目属于</w:t>
            </w:r>
            <w:r>
              <w:rPr>
                <w:rFonts w:hint="default" w:ascii="Times New Roman" w:hAnsi="Times New Roman" w:cs="Times New Roman"/>
                <w:lang w:eastAsia="zh-CN"/>
              </w:rPr>
              <w:t>医药中单纯药品分装、复配</w:t>
            </w:r>
            <w:r>
              <w:rPr>
                <w:rFonts w:hint="default" w:ascii="Times New Roman" w:hAnsi="Times New Roman" w:cs="Times New Roman"/>
                <w:lang w:val="en-US" w:eastAsia="zh-CN"/>
              </w:rPr>
              <w:t>，根据《环境影响评价技术导则—地下水环境》（HJ610-2016），本项目属于IV项目，地下水评价为不定级。</w:t>
            </w:r>
          </w:p>
          <w:p>
            <w:pPr>
              <w:bidi w:val="0"/>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根据《环境影响评价技术导则－土壤》（HJ964-2018），本项目占地面积3.3514hm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，属于小型（＜5hm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），且位于工业园范围内，周边环境不敏感，土壤评价为不定级，本项目所在地为空地，无现有污染源，周边无地下水集中式饮用水水源和热水、矿泉水、 温泉等特殊地下水资源，且本项目不排放工业废气、工业废水，建设有规范化危废暂存，可切断土壤、地下水污染途径。因此，可不开展土壤、地下水环境影响评价。</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（六）生态</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本项目拟建地为常德经开区内已平整工业用地，目前场地主要生长杂草，并无自然生长的大型乔木、灌木及其他生态保护目标，因此不会破坏当地生态；且本项目的污染物产生量较少，经有效处理后可实现达标排放，不会对当地生态环境造成显著的不良影响。</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（七）环境风险分析</w:t>
            </w:r>
          </w:p>
          <w:p>
            <w:pPr>
              <w:bidi w:val="0"/>
              <w:ind w:firstLine="480" w:firstLineChars="200"/>
              <w:rPr>
                <w:rFonts w:hint="default" w:ascii="Times New Roman" w:hAnsi="Times New Roman" w:cs="Times New Roman"/>
              </w:rPr>
            </w:pPr>
            <w:r>
              <w:rPr>
                <w:rFonts w:hint="default" w:ascii="Times New Roman" w:hAnsi="Times New Roman" w:cs="Times New Roman"/>
              </w:rPr>
              <w:t>环境风险评价的目的是分析和预测建设项目存在的潜在危险、有害因素，建设项目建设和运行期间可能发生的突发性事件或事故，引起有毒有害和易燃易爆等物质泄漏， 所造成的人身安全与环境影响和损害程度，提出合理可行的防范、应急与减缓措施，以使建设项目事故率、损失和环境影响达到可接受水平。</w:t>
            </w:r>
          </w:p>
          <w:p>
            <w:pPr>
              <w:pStyle w:val="6"/>
              <w:bidi w:val="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评价依据</w:t>
            </w:r>
          </w:p>
          <w:p>
            <w:pPr>
              <w:bidi w:val="0"/>
              <w:ind w:firstLine="480" w:firstLineChars="200"/>
              <w:rPr>
                <w:rFonts w:hint="default" w:ascii="Times New Roman" w:hAnsi="Times New Roman" w:cs="Times New Roman"/>
              </w:rPr>
            </w:pPr>
            <w:r>
              <w:rPr>
                <w:rFonts w:hint="default" w:ascii="Times New Roman" w:hAnsi="Times New Roman" w:cs="Times New Roman"/>
              </w:rPr>
              <w:t>根据生产工艺可知，项目使用的化学试剂等均属于危险化学品，这些危险品在运输、储存和生产操作过程中具有一定的危险性，这些危险以危险化学品泄漏产生的影响为主要特征。</w:t>
            </w:r>
          </w:p>
          <w:p>
            <w:pPr>
              <w:bidi w:val="0"/>
              <w:rPr>
                <w:rFonts w:hint="default" w:ascii="Times New Roman" w:hAnsi="Times New Roman" w:cs="Times New Roman"/>
              </w:rPr>
            </w:pPr>
            <w:r>
              <w:rPr>
                <w:rFonts w:hint="default" w:ascii="Times New Roman" w:hAnsi="Times New Roman" w:cs="Times New Roman"/>
              </w:rPr>
              <w:t>I</w:t>
            </w:r>
            <w:r>
              <w:rPr>
                <w:rFonts w:hint="default" w:ascii="Times New Roman" w:hAnsi="Times New Roman" w:cs="Times New Roman"/>
                <w:lang w:eastAsia="zh-CN"/>
              </w:rPr>
              <w:t>.</w:t>
            </w:r>
            <w:r>
              <w:rPr>
                <w:rFonts w:hint="default" w:ascii="Times New Roman" w:hAnsi="Times New Roman" w:cs="Times New Roman"/>
              </w:rPr>
              <w:t>风险调查</w:t>
            </w:r>
          </w:p>
          <w:p>
            <w:pPr>
              <w:bidi w:val="0"/>
              <w:ind w:firstLine="480" w:firstLineChars="200"/>
              <w:rPr>
                <w:rFonts w:hint="default" w:ascii="Times New Roman" w:hAnsi="Times New Roman" w:cs="Times New Roman"/>
              </w:rPr>
            </w:pPr>
            <w:r>
              <w:rPr>
                <w:rFonts w:hint="default" w:ascii="Times New Roman" w:hAnsi="Times New Roman" w:cs="Times New Roman"/>
              </w:rPr>
              <w:t>根据建设单位提供资料，项目涉及的危险化学品使用及储存情况见下表：</w:t>
            </w:r>
          </w:p>
          <w:p>
            <w:pPr>
              <w:pStyle w:val="27"/>
              <w:bidi w:val="0"/>
              <w:rPr>
                <w:rFonts w:hint="default" w:ascii="Times New Roman" w:hAnsi="Times New Roman" w:cs="Times New Roman"/>
                <w:lang w:val="en-US" w:eastAsia="zh-CN"/>
              </w:rPr>
            </w:pPr>
            <w:r>
              <w:rPr>
                <w:rFonts w:hint="default" w:ascii="Times New Roman" w:hAnsi="Times New Roman" w:cs="Times New Roman"/>
              </w:rPr>
              <w:t>表</w:t>
            </w:r>
            <w:r>
              <w:rPr>
                <w:rFonts w:hint="default" w:ascii="Times New Roman" w:hAnsi="Times New Roman" w:cs="Times New Roman"/>
                <w:lang w:val="en-US" w:eastAsia="zh-CN"/>
              </w:rPr>
              <w:t>4-14</w:t>
            </w:r>
            <w:r>
              <w:rPr>
                <w:rFonts w:hint="default" w:ascii="Times New Roman" w:hAnsi="Times New Roman" w:cs="Times New Roman"/>
              </w:rPr>
              <w:t xml:space="preserve">   项目危险化学品使用及储存情况一览表</w:t>
            </w:r>
          </w:p>
          <w:tbl>
            <w:tblPr>
              <w:tblStyle w:val="29"/>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1221"/>
              <w:gridCol w:w="1108"/>
              <w:gridCol w:w="1055"/>
              <w:gridCol w:w="885"/>
              <w:gridCol w:w="1511"/>
              <w:gridCol w:w="573"/>
              <w:gridCol w:w="8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58" w:type="pct"/>
                  <w:tcBorders>
                    <w:tl2br w:val="nil"/>
                    <w:tr2bl w:val="nil"/>
                  </w:tcBorders>
                  <w:noWrap w:val="0"/>
                  <w:vAlign w:val="center"/>
                </w:tcPr>
                <w:p>
                  <w:pPr>
                    <w:pStyle w:val="26"/>
                    <w:bidi w:val="0"/>
                    <w:jc w:val="center"/>
                  </w:pPr>
                  <w:r>
                    <w:t>序号</w:t>
                  </w:r>
                </w:p>
              </w:tc>
              <w:tc>
                <w:tcPr>
                  <w:tcW w:w="782" w:type="pct"/>
                  <w:tcBorders>
                    <w:tl2br w:val="nil"/>
                    <w:tr2bl w:val="nil"/>
                  </w:tcBorders>
                  <w:noWrap w:val="0"/>
                  <w:vAlign w:val="center"/>
                </w:tcPr>
                <w:p>
                  <w:pPr>
                    <w:pStyle w:val="26"/>
                    <w:bidi w:val="0"/>
                    <w:jc w:val="center"/>
                  </w:pPr>
                  <w:r>
                    <w:t>名称</w:t>
                  </w:r>
                </w:p>
              </w:tc>
              <w:tc>
                <w:tcPr>
                  <w:tcW w:w="710" w:type="pct"/>
                  <w:tcBorders>
                    <w:tl2br w:val="nil"/>
                    <w:tr2bl w:val="nil"/>
                  </w:tcBorders>
                  <w:noWrap w:val="0"/>
                  <w:vAlign w:val="center"/>
                </w:tcPr>
                <w:p>
                  <w:pPr>
                    <w:pStyle w:val="26"/>
                    <w:bidi w:val="0"/>
                    <w:jc w:val="center"/>
                    <w:rPr>
                      <w:rFonts w:hint="eastAsia"/>
                      <w:lang w:eastAsia="zh-CN"/>
                    </w:rPr>
                  </w:pPr>
                  <w:r>
                    <w:t>年用量</w:t>
                  </w:r>
                  <w:r>
                    <w:rPr>
                      <w:rFonts w:hint="eastAsia"/>
                      <w:lang w:eastAsia="zh-CN"/>
                    </w:rPr>
                    <w:t>（</w:t>
                  </w:r>
                  <w:r>
                    <w:rPr>
                      <w:rFonts w:hint="eastAsia"/>
                      <w:lang w:val="en-US" w:eastAsia="zh-CN"/>
                    </w:rPr>
                    <w:t>t</w:t>
                  </w:r>
                  <w:r>
                    <w:rPr>
                      <w:rFonts w:hint="eastAsia"/>
                      <w:lang w:eastAsia="zh-CN"/>
                    </w:rPr>
                    <w:t>）</w:t>
                  </w:r>
                </w:p>
              </w:tc>
              <w:tc>
                <w:tcPr>
                  <w:tcW w:w="676" w:type="pct"/>
                  <w:tcBorders>
                    <w:tl2br w:val="nil"/>
                    <w:tr2bl w:val="nil"/>
                  </w:tcBorders>
                  <w:noWrap w:val="0"/>
                  <w:vAlign w:val="center"/>
                </w:tcPr>
                <w:p>
                  <w:pPr>
                    <w:pStyle w:val="26"/>
                    <w:bidi w:val="0"/>
                    <w:jc w:val="center"/>
                  </w:pPr>
                  <w:r>
                    <w:t>形态</w:t>
                  </w:r>
                </w:p>
              </w:tc>
              <w:tc>
                <w:tcPr>
                  <w:tcW w:w="567" w:type="pct"/>
                  <w:tcBorders>
                    <w:tl2br w:val="nil"/>
                    <w:tr2bl w:val="nil"/>
                  </w:tcBorders>
                  <w:noWrap w:val="0"/>
                  <w:vAlign w:val="center"/>
                </w:tcPr>
                <w:p>
                  <w:pPr>
                    <w:pStyle w:val="26"/>
                    <w:bidi w:val="0"/>
                    <w:jc w:val="center"/>
                  </w:pPr>
                  <w:r>
                    <w:t>储存方式</w:t>
                  </w:r>
                </w:p>
              </w:tc>
              <w:tc>
                <w:tcPr>
                  <w:tcW w:w="968" w:type="pct"/>
                  <w:tcBorders>
                    <w:tl2br w:val="nil"/>
                    <w:tr2bl w:val="nil"/>
                  </w:tcBorders>
                  <w:noWrap w:val="0"/>
                  <w:vAlign w:val="center"/>
                </w:tcPr>
                <w:p>
                  <w:pPr>
                    <w:pStyle w:val="26"/>
                    <w:bidi w:val="0"/>
                    <w:jc w:val="center"/>
                    <w:rPr>
                      <w:rFonts w:hint="eastAsia"/>
                      <w:lang w:eastAsia="zh-CN"/>
                    </w:rPr>
                  </w:pPr>
                  <w:r>
                    <w:t>最大储存量</w:t>
                  </w:r>
                  <w:r>
                    <w:rPr>
                      <w:rFonts w:hint="eastAsia"/>
                      <w:lang w:eastAsia="zh-CN"/>
                    </w:rPr>
                    <w:t>（</w:t>
                  </w:r>
                  <w:r>
                    <w:rPr>
                      <w:rFonts w:hint="eastAsia"/>
                      <w:lang w:val="en-US" w:eastAsia="zh-CN"/>
                    </w:rPr>
                    <w:t>t</w:t>
                  </w:r>
                  <w:r>
                    <w:rPr>
                      <w:rFonts w:hint="eastAsia"/>
                      <w:lang w:eastAsia="zh-CN"/>
                    </w:rPr>
                    <w:t>）</w:t>
                  </w:r>
                </w:p>
              </w:tc>
              <w:tc>
                <w:tcPr>
                  <w:tcW w:w="367" w:type="pct"/>
                  <w:tcBorders>
                    <w:tl2br w:val="nil"/>
                    <w:tr2bl w:val="nil"/>
                  </w:tcBorders>
                  <w:noWrap w:val="0"/>
                  <w:vAlign w:val="center"/>
                </w:tcPr>
                <w:p>
                  <w:pPr>
                    <w:pStyle w:val="26"/>
                    <w:bidi w:val="0"/>
                    <w:jc w:val="center"/>
                  </w:pPr>
                  <w:r>
                    <w:t>来源</w:t>
                  </w:r>
                </w:p>
              </w:tc>
              <w:tc>
                <w:tcPr>
                  <w:tcW w:w="567" w:type="pct"/>
                  <w:tcBorders>
                    <w:tl2br w:val="nil"/>
                    <w:tr2bl w:val="nil"/>
                  </w:tcBorders>
                  <w:noWrap w:val="0"/>
                  <w:vAlign w:val="center"/>
                </w:tcPr>
                <w:p>
                  <w:pPr>
                    <w:pStyle w:val="26"/>
                    <w:bidi w:val="0"/>
                    <w:jc w:val="center"/>
                  </w:pPr>
                  <w:r>
                    <w:t>储存位置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358"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1</w:t>
                  </w:r>
                </w:p>
              </w:tc>
              <w:tc>
                <w:tcPr>
                  <w:tcW w:w="782" w:type="pct"/>
                  <w:tcBorders>
                    <w:tl2br w:val="nil"/>
                    <w:tr2bl w:val="nil"/>
                  </w:tcBorders>
                  <w:noWrap w:val="0"/>
                  <w:vAlign w:val="center"/>
                </w:tcPr>
                <w:p>
                  <w:pPr>
                    <w:pStyle w:val="26"/>
                    <w:bidi w:val="0"/>
                    <w:jc w:val="center"/>
                    <w:rPr>
                      <w:lang w:val="en-US" w:eastAsia="zh-CN"/>
                    </w:rPr>
                  </w:pPr>
                  <w:r>
                    <w:t>氢氧化钠</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0.73</w:t>
                  </w:r>
                </w:p>
              </w:tc>
              <w:tc>
                <w:tcPr>
                  <w:tcW w:w="676" w:type="pct"/>
                  <w:tcBorders>
                    <w:tl2br w:val="nil"/>
                    <w:tr2bl w:val="nil"/>
                  </w:tcBorders>
                  <w:noWrap w:val="0"/>
                  <w:vAlign w:val="center"/>
                </w:tcPr>
                <w:p>
                  <w:pPr>
                    <w:pStyle w:val="26"/>
                    <w:bidi w:val="0"/>
                    <w:jc w:val="center"/>
                    <w:rPr>
                      <w:lang w:val="en-US" w:eastAsia="zh-CN"/>
                    </w:rPr>
                  </w:pPr>
                  <w:r>
                    <w:t>固体</w:t>
                  </w:r>
                </w:p>
              </w:tc>
              <w:tc>
                <w:tcPr>
                  <w:tcW w:w="567" w:type="pct"/>
                  <w:tcBorders>
                    <w:tl2br w:val="nil"/>
                    <w:tr2bl w:val="nil"/>
                  </w:tcBorders>
                  <w:noWrap w:val="0"/>
                  <w:vAlign w:val="center"/>
                </w:tcPr>
                <w:p>
                  <w:pPr>
                    <w:pStyle w:val="26"/>
                    <w:bidi w:val="0"/>
                    <w:jc w:val="center"/>
                    <w:rPr>
                      <w:lang w:val="en-US" w:eastAsia="zh-CN"/>
                    </w:rP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0.2</w:t>
                  </w:r>
                </w:p>
              </w:tc>
              <w:tc>
                <w:tcPr>
                  <w:tcW w:w="367" w:type="pct"/>
                  <w:tcBorders>
                    <w:tl2br w:val="nil"/>
                    <w:tr2bl w:val="nil"/>
                  </w:tcBorders>
                  <w:noWrap w:val="0"/>
                  <w:vAlign w:val="center"/>
                </w:tcPr>
                <w:p>
                  <w:pPr>
                    <w:pStyle w:val="26"/>
                    <w:bidi w:val="0"/>
                    <w:jc w:val="center"/>
                    <w:rPr>
                      <w:lang w:val="en-US" w:eastAsia="zh-CN"/>
                    </w:rPr>
                  </w:pPr>
                  <w:r>
                    <w:t>外购</w:t>
                  </w:r>
                </w:p>
              </w:tc>
              <w:tc>
                <w:tcPr>
                  <w:tcW w:w="567" w:type="pct"/>
                  <w:tcBorders>
                    <w:tl2br w:val="nil"/>
                    <w:tr2bl w:val="nil"/>
                  </w:tcBorders>
                  <w:noWrap w:val="0"/>
                  <w:vAlign w:val="center"/>
                </w:tcPr>
                <w:p>
                  <w:pPr>
                    <w:pStyle w:val="26"/>
                    <w:bidi w:val="0"/>
                    <w:jc w:val="center"/>
                    <w:rPr>
                      <w:rFonts w:hint="eastAsia"/>
                      <w:lang w:val="en-US"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58"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2</w:t>
                  </w:r>
                </w:p>
              </w:tc>
              <w:tc>
                <w:tcPr>
                  <w:tcW w:w="782" w:type="pct"/>
                  <w:tcBorders>
                    <w:tl2br w:val="nil"/>
                    <w:tr2bl w:val="nil"/>
                  </w:tcBorders>
                  <w:noWrap w:val="0"/>
                  <w:vAlign w:val="center"/>
                </w:tcPr>
                <w:p>
                  <w:pPr>
                    <w:pStyle w:val="26"/>
                    <w:bidi w:val="0"/>
                    <w:jc w:val="center"/>
                  </w:pPr>
                  <w:r>
                    <w:rPr>
                      <w:rFonts w:hint="eastAsia"/>
                      <w:lang w:val="en-US" w:eastAsia="zh-CN"/>
                    </w:rPr>
                    <w:t>五氧化二磷</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0.105</w:t>
                  </w:r>
                </w:p>
              </w:tc>
              <w:tc>
                <w:tcPr>
                  <w:tcW w:w="676" w:type="pct"/>
                  <w:tcBorders>
                    <w:tl2br w:val="nil"/>
                    <w:tr2bl w:val="nil"/>
                  </w:tcBorders>
                  <w:noWrap w:val="0"/>
                  <w:vAlign w:val="center"/>
                </w:tcPr>
                <w:p>
                  <w:pPr>
                    <w:pStyle w:val="26"/>
                    <w:bidi w:val="0"/>
                    <w:jc w:val="center"/>
                    <w:rPr>
                      <w:rFonts w:hint="eastAsia"/>
                      <w:lang w:eastAsia="zh-CN"/>
                    </w:rPr>
                  </w:pPr>
                  <w:r>
                    <w:rPr>
                      <w:rFonts w:hint="eastAsia"/>
                      <w:lang w:eastAsia="zh-CN"/>
                    </w:rPr>
                    <w:t>固体</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367" w:type="pct"/>
                  <w:tcBorders>
                    <w:tl2br w:val="nil"/>
                    <w:tr2bl w:val="nil"/>
                  </w:tcBorders>
                  <w:noWrap w:val="0"/>
                  <w:vAlign w:val="center"/>
                </w:tcPr>
                <w:p>
                  <w:pPr>
                    <w:pStyle w:val="26"/>
                    <w:bidi w:val="0"/>
                    <w:jc w:val="center"/>
                    <w:rPr>
                      <w:lang w:val="en-US" w:eastAsia="zh-CN"/>
                    </w:rPr>
                  </w:pPr>
                  <w:r>
                    <w:t>外购</w:t>
                  </w:r>
                </w:p>
              </w:tc>
              <w:tc>
                <w:tcPr>
                  <w:tcW w:w="567" w:type="pct"/>
                  <w:tcBorders>
                    <w:tl2br w:val="nil"/>
                    <w:tr2bl w:val="nil"/>
                  </w:tcBorders>
                  <w:noWrap w:val="0"/>
                  <w:vAlign w:val="center"/>
                </w:tcPr>
                <w:p>
                  <w:pPr>
                    <w:pStyle w:val="26"/>
                    <w:bidi w:val="0"/>
                    <w:jc w:val="center"/>
                    <w:rPr>
                      <w:rFonts w:hint="eastAsia"/>
                      <w:lang w:val="en-US"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58"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3</w:t>
                  </w:r>
                </w:p>
              </w:tc>
              <w:tc>
                <w:tcPr>
                  <w:tcW w:w="782"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冰醋酸</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0.121</w:t>
                  </w:r>
                </w:p>
              </w:tc>
              <w:tc>
                <w:tcPr>
                  <w:tcW w:w="676" w:type="pct"/>
                  <w:tcBorders>
                    <w:tl2br w:val="nil"/>
                    <w:tr2bl w:val="nil"/>
                  </w:tcBorders>
                  <w:noWrap w:val="0"/>
                  <w:vAlign w:val="center"/>
                </w:tcPr>
                <w:p>
                  <w:pPr>
                    <w:pStyle w:val="26"/>
                    <w:bidi w:val="0"/>
                    <w:jc w:val="center"/>
                    <w:rPr>
                      <w:rFonts w:hint="eastAsia"/>
                      <w:lang w:eastAsia="zh-CN"/>
                    </w:rPr>
                  </w:pPr>
                  <w:r>
                    <w:rPr>
                      <w:rFonts w:hint="eastAsia"/>
                      <w:lang w:eastAsia="zh-CN"/>
                    </w:rPr>
                    <w:t>液态</w:t>
                  </w:r>
                </w:p>
              </w:tc>
              <w:tc>
                <w:tcPr>
                  <w:tcW w:w="567" w:type="pct"/>
                  <w:tcBorders>
                    <w:tl2br w:val="nil"/>
                    <w:tr2bl w:val="nil"/>
                  </w:tcBorders>
                  <w:noWrap w:val="0"/>
                  <w:vAlign w:val="center"/>
                </w:tcPr>
                <w:p>
                  <w:pPr>
                    <w:pStyle w:val="26"/>
                    <w:bidi w:val="0"/>
                    <w:jc w:val="cente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trPr>
              <w:tc>
                <w:tcPr>
                  <w:tcW w:w="358"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4</w:t>
                  </w:r>
                </w:p>
              </w:tc>
              <w:tc>
                <w:tcPr>
                  <w:tcW w:w="782"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硫酸铵</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0.020</w:t>
                  </w:r>
                </w:p>
              </w:tc>
              <w:tc>
                <w:tcPr>
                  <w:tcW w:w="676" w:type="pct"/>
                  <w:tcBorders>
                    <w:tl2br w:val="nil"/>
                    <w:tr2bl w:val="nil"/>
                  </w:tcBorders>
                  <w:noWrap w:val="0"/>
                  <w:vAlign w:val="center"/>
                </w:tcPr>
                <w:p>
                  <w:pPr>
                    <w:pStyle w:val="26"/>
                    <w:bidi w:val="0"/>
                    <w:jc w:val="center"/>
                    <w:rPr>
                      <w:rFonts w:hint="eastAsia"/>
                      <w:lang w:val="en-US" w:eastAsia="zh-CN"/>
                    </w:rPr>
                  </w:pPr>
                  <w:r>
                    <w:rPr>
                      <w:rFonts w:hint="eastAsia"/>
                      <w:lang w:eastAsia="zh-CN"/>
                    </w:rPr>
                    <w:t>液态</w:t>
                  </w:r>
                </w:p>
              </w:tc>
              <w:tc>
                <w:tcPr>
                  <w:tcW w:w="567" w:type="pct"/>
                  <w:tcBorders>
                    <w:tl2br w:val="nil"/>
                    <w:tr2bl w:val="nil"/>
                  </w:tcBorders>
                  <w:noWrap w:val="0"/>
                  <w:vAlign w:val="center"/>
                </w:tcPr>
                <w:p>
                  <w:pPr>
                    <w:pStyle w:val="26"/>
                    <w:bidi w:val="0"/>
                    <w:jc w:val="center"/>
                    <w:rPr>
                      <w:lang w:val="en-US" w:eastAsia="zh-CN"/>
                    </w:rP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58"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5</w:t>
                  </w:r>
                </w:p>
              </w:tc>
              <w:tc>
                <w:tcPr>
                  <w:tcW w:w="782"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三氯甲烷</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0.043</w:t>
                  </w:r>
                </w:p>
              </w:tc>
              <w:tc>
                <w:tcPr>
                  <w:tcW w:w="676" w:type="pct"/>
                  <w:tcBorders>
                    <w:tl2br w:val="nil"/>
                    <w:tr2bl w:val="nil"/>
                  </w:tcBorders>
                  <w:noWrap w:val="0"/>
                  <w:vAlign w:val="center"/>
                </w:tcPr>
                <w:p>
                  <w:pPr>
                    <w:pStyle w:val="26"/>
                    <w:bidi w:val="0"/>
                    <w:jc w:val="center"/>
                    <w:rPr>
                      <w:rFonts w:hint="eastAsia"/>
                      <w:lang w:val="en-US" w:eastAsia="zh-CN"/>
                    </w:rPr>
                  </w:pPr>
                  <w:r>
                    <w:rPr>
                      <w:rFonts w:hint="eastAsia"/>
                      <w:lang w:eastAsia="zh-CN"/>
                    </w:rPr>
                    <w:t>液态</w:t>
                  </w:r>
                </w:p>
              </w:tc>
              <w:tc>
                <w:tcPr>
                  <w:tcW w:w="567" w:type="pct"/>
                  <w:tcBorders>
                    <w:tl2br w:val="nil"/>
                    <w:tr2bl w:val="nil"/>
                  </w:tcBorders>
                  <w:noWrap w:val="0"/>
                  <w:vAlign w:val="center"/>
                </w:tcPr>
                <w:p>
                  <w:pPr>
                    <w:pStyle w:val="26"/>
                    <w:bidi w:val="0"/>
                    <w:jc w:val="center"/>
                    <w:rPr>
                      <w:lang w:val="en-US" w:eastAsia="zh-CN"/>
                    </w:rP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58"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6</w:t>
                  </w:r>
                </w:p>
              </w:tc>
              <w:tc>
                <w:tcPr>
                  <w:tcW w:w="782"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氨水</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0.1655</w:t>
                  </w:r>
                </w:p>
              </w:tc>
              <w:tc>
                <w:tcPr>
                  <w:tcW w:w="676" w:type="pct"/>
                  <w:tcBorders>
                    <w:tl2br w:val="nil"/>
                    <w:tr2bl w:val="nil"/>
                  </w:tcBorders>
                  <w:noWrap w:val="0"/>
                  <w:vAlign w:val="center"/>
                </w:tcPr>
                <w:p>
                  <w:pPr>
                    <w:pStyle w:val="26"/>
                    <w:bidi w:val="0"/>
                    <w:jc w:val="center"/>
                    <w:rPr>
                      <w:rFonts w:hint="eastAsia"/>
                      <w:lang w:eastAsia="zh-CN"/>
                    </w:rPr>
                  </w:pPr>
                  <w:r>
                    <w:rPr>
                      <w:rFonts w:hint="eastAsia"/>
                      <w:lang w:eastAsia="zh-CN"/>
                    </w:rPr>
                    <w:t>液态</w:t>
                  </w:r>
                </w:p>
              </w:tc>
              <w:tc>
                <w:tcPr>
                  <w:tcW w:w="567" w:type="pct"/>
                  <w:tcBorders>
                    <w:tl2br w:val="nil"/>
                    <w:tr2bl w:val="nil"/>
                  </w:tcBorders>
                  <w:noWrap w:val="0"/>
                  <w:vAlign w:val="center"/>
                </w:tcPr>
                <w:p>
                  <w:pPr>
                    <w:pStyle w:val="26"/>
                    <w:bidi w:val="0"/>
                    <w:jc w:val="cente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58"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7</w:t>
                  </w:r>
                </w:p>
              </w:tc>
              <w:tc>
                <w:tcPr>
                  <w:tcW w:w="782"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丙酮</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0.335</w:t>
                  </w:r>
                </w:p>
              </w:tc>
              <w:tc>
                <w:tcPr>
                  <w:tcW w:w="676" w:type="pct"/>
                  <w:tcBorders>
                    <w:tl2br w:val="nil"/>
                    <w:tr2bl w:val="nil"/>
                  </w:tcBorders>
                  <w:noWrap w:val="0"/>
                  <w:vAlign w:val="center"/>
                </w:tcPr>
                <w:p>
                  <w:pPr>
                    <w:pStyle w:val="26"/>
                    <w:bidi w:val="0"/>
                    <w:jc w:val="center"/>
                    <w:rPr>
                      <w:rFonts w:hint="eastAsia"/>
                      <w:lang w:val="en-US" w:eastAsia="zh-CN"/>
                    </w:rPr>
                  </w:pPr>
                  <w:r>
                    <w:rPr>
                      <w:rFonts w:hint="eastAsia"/>
                      <w:lang w:eastAsia="zh-CN"/>
                    </w:rPr>
                    <w:t>液态</w:t>
                  </w:r>
                </w:p>
              </w:tc>
              <w:tc>
                <w:tcPr>
                  <w:tcW w:w="567" w:type="pct"/>
                  <w:tcBorders>
                    <w:tl2br w:val="nil"/>
                    <w:tr2bl w:val="nil"/>
                  </w:tcBorders>
                  <w:noWrap w:val="0"/>
                  <w:vAlign w:val="center"/>
                </w:tcPr>
                <w:p>
                  <w:pPr>
                    <w:pStyle w:val="26"/>
                    <w:bidi w:val="0"/>
                    <w:jc w:val="center"/>
                    <w:rPr>
                      <w:lang w:val="en-US" w:eastAsia="zh-CN"/>
                    </w:rP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58"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8</w:t>
                  </w:r>
                </w:p>
              </w:tc>
              <w:tc>
                <w:tcPr>
                  <w:tcW w:w="782"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硫酸</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0.328</w:t>
                  </w:r>
                </w:p>
              </w:tc>
              <w:tc>
                <w:tcPr>
                  <w:tcW w:w="676" w:type="pct"/>
                  <w:tcBorders>
                    <w:tl2br w:val="nil"/>
                    <w:tr2bl w:val="nil"/>
                  </w:tcBorders>
                  <w:noWrap w:val="0"/>
                  <w:vAlign w:val="center"/>
                </w:tcPr>
                <w:p>
                  <w:pPr>
                    <w:pStyle w:val="26"/>
                    <w:bidi w:val="0"/>
                    <w:jc w:val="center"/>
                    <w:rPr>
                      <w:rFonts w:hint="eastAsia"/>
                      <w:lang w:val="en-US" w:eastAsia="zh-CN"/>
                    </w:rPr>
                  </w:pPr>
                  <w:r>
                    <w:t>液体</w:t>
                  </w:r>
                </w:p>
              </w:tc>
              <w:tc>
                <w:tcPr>
                  <w:tcW w:w="567" w:type="pct"/>
                  <w:tcBorders>
                    <w:tl2br w:val="nil"/>
                    <w:tr2bl w:val="nil"/>
                  </w:tcBorders>
                  <w:noWrap w:val="0"/>
                  <w:vAlign w:val="center"/>
                </w:tcPr>
                <w:p>
                  <w:pPr>
                    <w:pStyle w:val="26"/>
                    <w:bidi w:val="0"/>
                    <w:jc w:val="center"/>
                    <w:rPr>
                      <w:lang w:val="en-US" w:eastAsia="zh-CN"/>
                    </w:rP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0.1</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trPr>
              <w:tc>
                <w:tcPr>
                  <w:tcW w:w="358"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9</w:t>
                  </w:r>
                </w:p>
              </w:tc>
              <w:tc>
                <w:tcPr>
                  <w:tcW w:w="782"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正己烷</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0.55</w:t>
                  </w:r>
                </w:p>
              </w:tc>
              <w:tc>
                <w:tcPr>
                  <w:tcW w:w="676" w:type="pct"/>
                  <w:tcBorders>
                    <w:tl2br w:val="nil"/>
                    <w:tr2bl w:val="nil"/>
                  </w:tcBorders>
                  <w:noWrap w:val="0"/>
                  <w:vAlign w:val="center"/>
                </w:tcPr>
                <w:p>
                  <w:pPr>
                    <w:pStyle w:val="26"/>
                    <w:bidi w:val="0"/>
                    <w:jc w:val="center"/>
                    <w:rPr>
                      <w:rFonts w:hint="eastAsia"/>
                      <w:lang w:val="en-US" w:eastAsia="zh-CN"/>
                    </w:rPr>
                  </w:pPr>
                  <w:r>
                    <w:t>液体</w:t>
                  </w:r>
                </w:p>
              </w:tc>
              <w:tc>
                <w:tcPr>
                  <w:tcW w:w="567" w:type="pct"/>
                  <w:tcBorders>
                    <w:tl2br w:val="nil"/>
                    <w:tr2bl w:val="nil"/>
                  </w:tcBorders>
                  <w:noWrap w:val="0"/>
                  <w:vAlign w:val="center"/>
                </w:tcPr>
                <w:p>
                  <w:pPr>
                    <w:pStyle w:val="26"/>
                    <w:bidi w:val="0"/>
                    <w:jc w:val="center"/>
                    <w:rPr>
                      <w:lang w:val="en-US" w:eastAsia="zh-CN"/>
                    </w:rP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0.2</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5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782"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甲酸</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0.005</w:t>
                  </w:r>
                </w:p>
              </w:tc>
              <w:tc>
                <w:tcPr>
                  <w:tcW w:w="676" w:type="pct"/>
                  <w:tcBorders>
                    <w:tl2br w:val="nil"/>
                    <w:tr2bl w:val="nil"/>
                  </w:tcBorders>
                  <w:noWrap w:val="0"/>
                  <w:vAlign w:val="center"/>
                </w:tcPr>
                <w:p>
                  <w:pPr>
                    <w:pStyle w:val="26"/>
                    <w:bidi w:val="0"/>
                    <w:jc w:val="center"/>
                    <w:rPr>
                      <w:rFonts w:hint="eastAsia"/>
                      <w:lang w:val="en-US" w:eastAsia="zh-CN"/>
                    </w:rPr>
                  </w:pPr>
                  <w:r>
                    <w:rPr>
                      <w:rFonts w:hint="eastAsia"/>
                      <w:lang w:eastAsia="zh-CN"/>
                    </w:rPr>
                    <w:t>液态</w:t>
                  </w:r>
                </w:p>
              </w:tc>
              <w:tc>
                <w:tcPr>
                  <w:tcW w:w="567" w:type="pct"/>
                  <w:tcBorders>
                    <w:tl2br w:val="nil"/>
                    <w:tr2bl w:val="nil"/>
                  </w:tcBorders>
                  <w:noWrap w:val="0"/>
                  <w:vAlign w:val="center"/>
                </w:tcPr>
                <w:p>
                  <w:pPr>
                    <w:pStyle w:val="26"/>
                    <w:bidi w:val="0"/>
                    <w:jc w:val="center"/>
                    <w:rPr>
                      <w:lang w:val="en-US" w:eastAsia="zh-CN"/>
                    </w:rP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5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11</w:t>
                  </w:r>
                </w:p>
              </w:tc>
              <w:tc>
                <w:tcPr>
                  <w:tcW w:w="782" w:type="pct"/>
                  <w:tcBorders>
                    <w:tl2br w:val="nil"/>
                    <w:tr2bl w:val="nil"/>
                  </w:tcBorders>
                  <w:noWrap w:val="0"/>
                  <w:vAlign w:val="center"/>
                </w:tcPr>
                <w:p>
                  <w:pPr>
                    <w:pStyle w:val="26"/>
                    <w:bidi w:val="0"/>
                    <w:jc w:val="center"/>
                    <w:rPr>
                      <w:rFonts w:hint="eastAsia"/>
                      <w:lang w:val="en-US" w:eastAsia="zh-CN"/>
                    </w:rPr>
                  </w:pPr>
                  <w:r>
                    <w:t>盐酸</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0.4876</w:t>
                  </w:r>
                </w:p>
              </w:tc>
              <w:tc>
                <w:tcPr>
                  <w:tcW w:w="676" w:type="pct"/>
                  <w:tcBorders>
                    <w:tl2br w:val="nil"/>
                    <w:tr2bl w:val="nil"/>
                  </w:tcBorders>
                  <w:noWrap w:val="0"/>
                  <w:vAlign w:val="center"/>
                </w:tcPr>
                <w:p>
                  <w:pPr>
                    <w:pStyle w:val="26"/>
                    <w:bidi w:val="0"/>
                    <w:jc w:val="center"/>
                    <w:rPr>
                      <w:rFonts w:hint="eastAsia"/>
                      <w:lang w:val="en-US" w:eastAsia="zh-CN"/>
                    </w:rPr>
                  </w:pPr>
                  <w:r>
                    <w:t>液体</w:t>
                  </w:r>
                </w:p>
              </w:tc>
              <w:tc>
                <w:tcPr>
                  <w:tcW w:w="567" w:type="pct"/>
                  <w:tcBorders>
                    <w:tl2br w:val="nil"/>
                    <w:tr2bl w:val="nil"/>
                  </w:tcBorders>
                  <w:noWrap w:val="0"/>
                  <w:vAlign w:val="center"/>
                </w:tcPr>
                <w:p>
                  <w:pPr>
                    <w:pStyle w:val="26"/>
                    <w:bidi w:val="0"/>
                    <w:jc w:val="center"/>
                    <w:rPr>
                      <w:lang w:val="en-US" w:eastAsia="zh-CN"/>
                    </w:rP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0.1</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5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12</w:t>
                  </w:r>
                </w:p>
              </w:tc>
              <w:tc>
                <w:tcPr>
                  <w:tcW w:w="782" w:type="pct"/>
                  <w:tcBorders>
                    <w:tl2br w:val="nil"/>
                    <w:tr2bl w:val="nil"/>
                  </w:tcBorders>
                  <w:noWrap w:val="0"/>
                  <w:vAlign w:val="center"/>
                </w:tcPr>
                <w:p>
                  <w:pPr>
                    <w:pStyle w:val="26"/>
                    <w:bidi w:val="0"/>
                    <w:jc w:val="center"/>
                  </w:pPr>
                  <w:r>
                    <w:rPr>
                      <w:rFonts w:hint="eastAsia"/>
                      <w:lang w:val="en-US" w:eastAsia="zh-CN"/>
                    </w:rPr>
                    <w:t>硝酸</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0.369</w:t>
                  </w:r>
                </w:p>
              </w:tc>
              <w:tc>
                <w:tcPr>
                  <w:tcW w:w="676" w:type="pct"/>
                  <w:tcBorders>
                    <w:tl2br w:val="nil"/>
                    <w:tr2bl w:val="nil"/>
                  </w:tcBorders>
                  <w:noWrap w:val="0"/>
                  <w:vAlign w:val="center"/>
                </w:tcPr>
                <w:p>
                  <w:pPr>
                    <w:pStyle w:val="26"/>
                    <w:bidi w:val="0"/>
                    <w:jc w:val="center"/>
                    <w:rPr>
                      <w:rFonts w:hint="eastAsia"/>
                      <w:lang w:val="en-US" w:eastAsia="zh-CN"/>
                    </w:rPr>
                  </w:pPr>
                  <w:r>
                    <w:rPr>
                      <w:rFonts w:hint="eastAsia"/>
                      <w:lang w:eastAsia="zh-CN"/>
                    </w:rPr>
                    <w:t>液态</w:t>
                  </w:r>
                </w:p>
              </w:tc>
              <w:tc>
                <w:tcPr>
                  <w:tcW w:w="567" w:type="pct"/>
                  <w:tcBorders>
                    <w:tl2br w:val="nil"/>
                    <w:tr2bl w:val="nil"/>
                  </w:tcBorders>
                  <w:noWrap w:val="0"/>
                  <w:vAlign w:val="center"/>
                </w:tcPr>
                <w:p>
                  <w:pPr>
                    <w:pStyle w:val="26"/>
                    <w:bidi w:val="0"/>
                    <w:jc w:val="center"/>
                    <w:rPr>
                      <w:lang w:val="en-US" w:eastAsia="zh-CN"/>
                    </w:rP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0.2</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5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13</w:t>
                  </w:r>
                </w:p>
              </w:tc>
              <w:tc>
                <w:tcPr>
                  <w:tcW w:w="782"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甲苯</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0.0025</w:t>
                  </w:r>
                </w:p>
              </w:tc>
              <w:tc>
                <w:tcPr>
                  <w:tcW w:w="676" w:type="pct"/>
                  <w:tcBorders>
                    <w:tl2br w:val="nil"/>
                    <w:tr2bl w:val="nil"/>
                  </w:tcBorders>
                  <w:noWrap w:val="0"/>
                  <w:vAlign w:val="center"/>
                </w:tcPr>
                <w:p>
                  <w:pPr>
                    <w:pStyle w:val="26"/>
                    <w:bidi w:val="0"/>
                    <w:jc w:val="center"/>
                    <w:rPr>
                      <w:rFonts w:hint="eastAsia"/>
                      <w:lang w:val="en-US" w:eastAsia="zh-CN"/>
                    </w:rPr>
                  </w:pPr>
                  <w:r>
                    <w:rPr>
                      <w:rFonts w:hint="eastAsia"/>
                      <w:lang w:eastAsia="zh-CN"/>
                    </w:rPr>
                    <w:t>液态</w:t>
                  </w:r>
                </w:p>
              </w:tc>
              <w:tc>
                <w:tcPr>
                  <w:tcW w:w="567" w:type="pct"/>
                  <w:tcBorders>
                    <w:tl2br w:val="nil"/>
                    <w:tr2bl w:val="nil"/>
                  </w:tcBorders>
                  <w:noWrap w:val="0"/>
                  <w:vAlign w:val="center"/>
                </w:tcPr>
                <w:p>
                  <w:pPr>
                    <w:pStyle w:val="26"/>
                    <w:bidi w:val="0"/>
                    <w:jc w:val="center"/>
                    <w:rPr>
                      <w:lang w:val="en-US" w:eastAsia="zh-CN"/>
                    </w:rP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trPr>
              <w:tc>
                <w:tcPr>
                  <w:tcW w:w="35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14</w:t>
                  </w:r>
                </w:p>
              </w:tc>
              <w:tc>
                <w:tcPr>
                  <w:tcW w:w="782"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磷酸</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0.61</w:t>
                  </w:r>
                </w:p>
              </w:tc>
              <w:tc>
                <w:tcPr>
                  <w:tcW w:w="676" w:type="pct"/>
                  <w:tcBorders>
                    <w:tl2br w:val="nil"/>
                    <w:tr2bl w:val="nil"/>
                  </w:tcBorders>
                  <w:noWrap w:val="0"/>
                  <w:vAlign w:val="center"/>
                </w:tcPr>
                <w:p>
                  <w:pPr>
                    <w:pStyle w:val="26"/>
                    <w:bidi w:val="0"/>
                    <w:jc w:val="center"/>
                    <w:rPr>
                      <w:rFonts w:hint="eastAsia"/>
                      <w:lang w:val="en-US" w:eastAsia="zh-CN"/>
                    </w:rPr>
                  </w:pPr>
                  <w:r>
                    <w:rPr>
                      <w:rFonts w:hint="eastAsia"/>
                      <w:lang w:eastAsia="zh-CN"/>
                    </w:rPr>
                    <w:t>液态</w:t>
                  </w:r>
                </w:p>
              </w:tc>
              <w:tc>
                <w:tcPr>
                  <w:tcW w:w="567" w:type="pct"/>
                  <w:tcBorders>
                    <w:tl2br w:val="nil"/>
                    <w:tr2bl w:val="nil"/>
                  </w:tcBorders>
                  <w:noWrap w:val="0"/>
                  <w:vAlign w:val="center"/>
                </w:tcPr>
                <w:p>
                  <w:pPr>
                    <w:pStyle w:val="26"/>
                    <w:bidi w:val="0"/>
                    <w:jc w:val="center"/>
                    <w:rPr>
                      <w:lang w:val="en-US" w:eastAsia="zh-CN"/>
                    </w:rP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5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15</w:t>
                  </w:r>
                </w:p>
              </w:tc>
              <w:tc>
                <w:tcPr>
                  <w:tcW w:w="782" w:type="pct"/>
                  <w:tcBorders>
                    <w:tl2br w:val="nil"/>
                    <w:tr2bl w:val="nil"/>
                  </w:tcBorders>
                  <w:noWrap w:val="0"/>
                  <w:vAlign w:val="center"/>
                </w:tcPr>
                <w:p>
                  <w:pPr>
                    <w:pStyle w:val="26"/>
                    <w:bidi w:val="0"/>
                    <w:jc w:val="center"/>
                    <w:rPr>
                      <w:rFonts w:hint="eastAsia"/>
                      <w:lang w:val="en-US" w:eastAsia="zh-CN"/>
                    </w:rPr>
                  </w:pPr>
                  <w:r>
                    <w:t>甲醇</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0.92</w:t>
                  </w:r>
                </w:p>
              </w:tc>
              <w:tc>
                <w:tcPr>
                  <w:tcW w:w="676" w:type="pct"/>
                  <w:tcBorders>
                    <w:tl2br w:val="nil"/>
                    <w:tr2bl w:val="nil"/>
                  </w:tcBorders>
                  <w:noWrap w:val="0"/>
                  <w:vAlign w:val="center"/>
                </w:tcPr>
                <w:p>
                  <w:pPr>
                    <w:pStyle w:val="26"/>
                    <w:bidi w:val="0"/>
                    <w:jc w:val="center"/>
                    <w:rPr>
                      <w:lang w:val="en-US" w:eastAsia="zh-CN"/>
                    </w:rPr>
                  </w:pPr>
                  <w:r>
                    <w:t>液体</w:t>
                  </w:r>
                </w:p>
              </w:tc>
              <w:tc>
                <w:tcPr>
                  <w:tcW w:w="567" w:type="pct"/>
                  <w:tcBorders>
                    <w:tl2br w:val="nil"/>
                    <w:tr2bl w:val="nil"/>
                  </w:tcBorders>
                  <w:noWrap w:val="0"/>
                  <w:vAlign w:val="center"/>
                </w:tcPr>
                <w:p>
                  <w:pPr>
                    <w:pStyle w:val="26"/>
                    <w:bidi w:val="0"/>
                    <w:jc w:val="center"/>
                    <w:rPr>
                      <w:lang w:val="en-US" w:eastAsia="zh-CN"/>
                    </w:rP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0.21</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5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16</w:t>
                  </w:r>
                </w:p>
              </w:tc>
              <w:tc>
                <w:tcPr>
                  <w:tcW w:w="782" w:type="pct"/>
                  <w:tcBorders>
                    <w:tl2br w:val="nil"/>
                    <w:tr2bl w:val="nil"/>
                  </w:tcBorders>
                  <w:noWrap w:val="0"/>
                  <w:vAlign w:val="center"/>
                </w:tcPr>
                <w:p>
                  <w:pPr>
                    <w:pStyle w:val="26"/>
                    <w:bidi w:val="0"/>
                    <w:jc w:val="center"/>
                  </w:pPr>
                  <w:r>
                    <w:rPr>
                      <w:rFonts w:hint="eastAsia"/>
                      <w:lang w:val="en-US" w:eastAsia="zh-CN"/>
                    </w:rPr>
                    <w:t>乙腈</w:t>
                  </w:r>
                </w:p>
              </w:tc>
              <w:tc>
                <w:tcPr>
                  <w:tcW w:w="710"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0.39</w:t>
                  </w:r>
                </w:p>
              </w:tc>
              <w:tc>
                <w:tcPr>
                  <w:tcW w:w="676" w:type="pct"/>
                  <w:tcBorders>
                    <w:tl2br w:val="nil"/>
                    <w:tr2bl w:val="nil"/>
                  </w:tcBorders>
                  <w:noWrap w:val="0"/>
                  <w:vAlign w:val="center"/>
                </w:tcPr>
                <w:p>
                  <w:pPr>
                    <w:pStyle w:val="26"/>
                    <w:bidi w:val="0"/>
                    <w:jc w:val="center"/>
                    <w:rPr>
                      <w:rFonts w:hint="eastAsia"/>
                      <w:lang w:val="en-US" w:eastAsia="zh-CN"/>
                    </w:rPr>
                  </w:pPr>
                  <w:r>
                    <w:rPr>
                      <w:rFonts w:hint="eastAsia"/>
                      <w:lang w:eastAsia="zh-CN"/>
                    </w:rPr>
                    <w:t>液态</w:t>
                  </w:r>
                </w:p>
              </w:tc>
              <w:tc>
                <w:tcPr>
                  <w:tcW w:w="567" w:type="pct"/>
                  <w:tcBorders>
                    <w:tl2br w:val="nil"/>
                    <w:tr2bl w:val="nil"/>
                  </w:tcBorders>
                  <w:noWrap w:val="0"/>
                  <w:vAlign w:val="center"/>
                </w:tcPr>
                <w:p>
                  <w:pPr>
                    <w:pStyle w:val="26"/>
                    <w:bidi w:val="0"/>
                    <w:jc w:val="center"/>
                    <w:rPr>
                      <w:lang w:val="en-US" w:eastAsia="zh-CN"/>
                    </w:rPr>
                  </w:pPr>
                  <w:r>
                    <w:t>瓶装</w:t>
                  </w:r>
                </w:p>
              </w:tc>
              <w:tc>
                <w:tcPr>
                  <w:tcW w:w="968"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0.12</w:t>
                  </w:r>
                </w:p>
              </w:tc>
              <w:tc>
                <w:tcPr>
                  <w:tcW w:w="367" w:type="pct"/>
                  <w:tcBorders>
                    <w:tl2br w:val="nil"/>
                    <w:tr2bl w:val="nil"/>
                  </w:tcBorders>
                  <w:noWrap w:val="0"/>
                  <w:vAlign w:val="center"/>
                </w:tcPr>
                <w:p>
                  <w:pPr>
                    <w:pStyle w:val="26"/>
                    <w:bidi w:val="0"/>
                    <w:jc w:val="center"/>
                  </w:pPr>
                  <w:r>
                    <w:t>外购</w:t>
                  </w:r>
                </w:p>
              </w:tc>
              <w:tc>
                <w:tcPr>
                  <w:tcW w:w="567" w:type="pct"/>
                  <w:tcBorders>
                    <w:tl2br w:val="nil"/>
                    <w:tr2bl w:val="nil"/>
                  </w:tcBorders>
                  <w:noWrap w:val="0"/>
                  <w:vAlign w:val="center"/>
                </w:tcPr>
                <w:p>
                  <w:pPr>
                    <w:pStyle w:val="26"/>
                    <w:bidi w:val="0"/>
                    <w:jc w:val="center"/>
                    <w:rPr>
                      <w:rFonts w:hint="eastAsia"/>
                      <w:lang w:eastAsia="zh-CN"/>
                    </w:rPr>
                  </w:pPr>
                  <w:r>
                    <w:rPr>
                      <w:rFonts w:hint="eastAsia"/>
                      <w:lang w:eastAsia="zh-CN"/>
                    </w:rPr>
                    <w:t>实验室</w:t>
                  </w:r>
                </w:p>
              </w:tc>
            </w:tr>
          </w:tbl>
          <w:p>
            <w:pPr>
              <w:spacing w:before="79" w:line="184" w:lineRule="auto"/>
              <w:ind w:firstLine="590"/>
              <w:rPr>
                <w:rFonts w:hint="default" w:ascii="Times New Roman" w:hAnsi="Times New Roman" w:cs="Times New Roman"/>
              </w:rPr>
            </w:pPr>
            <w:r>
              <w:rPr>
                <w:rFonts w:hint="default" w:ascii="Times New Roman" w:hAnsi="Times New Roman" w:cs="Times New Roman"/>
              </w:rPr>
              <w:t>II、风险潜势初判</w:t>
            </w:r>
          </w:p>
          <w:p>
            <w:pPr>
              <w:bidi w:val="0"/>
              <w:ind w:firstLine="480" w:firstLineChars="200"/>
              <w:rPr>
                <w:rFonts w:hint="default" w:ascii="Times New Roman" w:hAnsi="Times New Roman" w:cs="Times New Roman"/>
              </w:rPr>
            </w:pPr>
            <w:r>
              <w:rPr>
                <w:rFonts w:hint="default" w:ascii="Times New Roman" w:hAnsi="Times New Roman" w:cs="Times New Roman"/>
              </w:rPr>
              <w:t>根据《建设项目环境风险评价技术导则》（HJ 169-2018）附录B，本项目涉及的主要危险化学品使用量、厂区储存量及临界量如下表所示：</w:t>
            </w:r>
          </w:p>
          <w:p>
            <w:pPr>
              <w:pStyle w:val="27"/>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4-15</w:t>
            </w:r>
            <w:r>
              <w:rPr>
                <w:rFonts w:hint="default" w:ascii="Times New Roman" w:hAnsi="Times New Roman" w:cs="Times New Roman"/>
              </w:rPr>
              <w:t xml:space="preserve">   项目危险化学品数量与临界量比值一览表</w:t>
            </w:r>
          </w:p>
          <w:p>
            <w:pPr>
              <w:spacing w:line="168" w:lineRule="exact"/>
              <w:rPr>
                <w:rFonts w:hint="default" w:ascii="Times New Roman" w:hAnsi="Times New Roman" w:cs="Times New Roman"/>
              </w:rPr>
            </w:pPr>
          </w:p>
          <w:tbl>
            <w:tblPr>
              <w:tblStyle w:val="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7"/>
              <w:gridCol w:w="861"/>
              <w:gridCol w:w="716"/>
              <w:gridCol w:w="842"/>
              <w:gridCol w:w="451"/>
              <w:gridCol w:w="1108"/>
              <w:gridCol w:w="499"/>
              <w:gridCol w:w="1059"/>
              <w:gridCol w:w="264"/>
              <w:gridCol w:w="1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46" w:type="pct"/>
                  <w:tcBorders>
                    <w:tl2br w:val="nil"/>
                    <w:tr2bl w:val="nil"/>
                  </w:tcBorders>
                  <w:noWrap w:val="0"/>
                  <w:vAlign w:val="center"/>
                </w:tcPr>
                <w:p>
                  <w:pPr>
                    <w:pStyle w:val="26"/>
                    <w:bidi w:val="0"/>
                    <w:jc w:val="center"/>
                  </w:pPr>
                  <w:r>
                    <w:t>序号</w:t>
                  </w:r>
                </w:p>
              </w:tc>
              <w:tc>
                <w:tcPr>
                  <w:tcW w:w="1010" w:type="pct"/>
                  <w:gridSpan w:val="2"/>
                  <w:tcBorders>
                    <w:tl2br w:val="nil"/>
                    <w:tr2bl w:val="nil"/>
                  </w:tcBorders>
                  <w:noWrap w:val="0"/>
                  <w:vAlign w:val="center"/>
                </w:tcPr>
                <w:p>
                  <w:pPr>
                    <w:pStyle w:val="26"/>
                    <w:bidi w:val="0"/>
                    <w:jc w:val="center"/>
                  </w:pPr>
                  <w:r>
                    <w:t>名称</w:t>
                  </w:r>
                </w:p>
              </w:tc>
              <w:tc>
                <w:tcPr>
                  <w:tcW w:w="828" w:type="pct"/>
                  <w:gridSpan w:val="2"/>
                  <w:tcBorders>
                    <w:tl2br w:val="nil"/>
                    <w:tr2bl w:val="nil"/>
                  </w:tcBorders>
                  <w:noWrap w:val="0"/>
                  <w:vAlign w:val="center"/>
                </w:tcPr>
                <w:p>
                  <w:pPr>
                    <w:pStyle w:val="26"/>
                    <w:bidi w:val="0"/>
                    <w:jc w:val="center"/>
                    <w:rPr>
                      <w:rFonts w:hint="eastAsia"/>
                      <w:lang w:eastAsia="zh-CN"/>
                    </w:rPr>
                  </w:pPr>
                  <w:r>
                    <w:t>年用量</w:t>
                  </w:r>
                  <w:r>
                    <w:rPr>
                      <w:rFonts w:hint="eastAsia"/>
                      <w:lang w:eastAsia="zh-CN"/>
                    </w:rPr>
                    <w:t>（</w:t>
                  </w:r>
                  <w:r>
                    <w:rPr>
                      <w:rFonts w:hint="eastAsia"/>
                      <w:lang w:val="en-US" w:eastAsia="zh-CN"/>
                    </w:rPr>
                    <w:t>t</w:t>
                  </w:r>
                  <w:r>
                    <w:rPr>
                      <w:rFonts w:hint="eastAsia"/>
                      <w:lang w:eastAsia="zh-CN"/>
                    </w:rPr>
                    <w:t>）</w:t>
                  </w:r>
                </w:p>
              </w:tc>
              <w:tc>
                <w:tcPr>
                  <w:tcW w:w="1030" w:type="pct"/>
                  <w:gridSpan w:val="2"/>
                  <w:tcBorders>
                    <w:tl2br w:val="nil"/>
                    <w:tr2bl w:val="nil"/>
                  </w:tcBorders>
                  <w:noWrap w:val="0"/>
                  <w:vAlign w:val="center"/>
                </w:tcPr>
                <w:p>
                  <w:pPr>
                    <w:pStyle w:val="26"/>
                    <w:bidi w:val="0"/>
                    <w:jc w:val="center"/>
                  </w:pPr>
                  <w:r>
                    <w:t>最大储存量</w:t>
                  </w:r>
                  <w:r>
                    <w:rPr>
                      <w:rFonts w:hint="eastAsia"/>
                      <w:lang w:eastAsia="zh-CN"/>
                    </w:rPr>
                    <w:t>（</w:t>
                  </w:r>
                  <w:r>
                    <w:rPr>
                      <w:rFonts w:hint="eastAsia"/>
                      <w:lang w:val="en-US" w:eastAsia="zh-CN"/>
                    </w:rPr>
                    <w:t>t</w:t>
                  </w:r>
                  <w:r>
                    <w:rPr>
                      <w:rFonts w:hint="eastAsia"/>
                      <w:lang w:eastAsia="zh-CN"/>
                    </w:rPr>
                    <w:t>）</w:t>
                  </w:r>
                </w:p>
              </w:tc>
              <w:tc>
                <w:tcPr>
                  <w:tcW w:w="848" w:type="pct"/>
                  <w:gridSpan w:val="2"/>
                  <w:tcBorders>
                    <w:tl2br w:val="nil"/>
                    <w:tr2bl w:val="nil"/>
                  </w:tcBorders>
                  <w:noWrap w:val="0"/>
                  <w:vAlign w:val="center"/>
                </w:tcPr>
                <w:p>
                  <w:pPr>
                    <w:pStyle w:val="26"/>
                    <w:bidi w:val="0"/>
                    <w:jc w:val="center"/>
                    <w:rPr>
                      <w:rFonts w:hint="eastAsia"/>
                      <w:lang w:eastAsia="zh-CN"/>
                    </w:rPr>
                  </w:pPr>
                  <w:r>
                    <w:t>临界量</w:t>
                  </w:r>
                  <w:r>
                    <w:rPr>
                      <w:rFonts w:hint="eastAsia"/>
                      <w:lang w:eastAsia="zh-CN"/>
                    </w:rPr>
                    <w:t>（（</w:t>
                  </w:r>
                  <w:r>
                    <w:rPr>
                      <w:rFonts w:hint="eastAsia"/>
                      <w:lang w:val="en-US" w:eastAsia="zh-CN"/>
                    </w:rPr>
                    <w:t>t</w:t>
                  </w:r>
                  <w:r>
                    <w:rPr>
                      <w:rFonts w:hint="eastAsia"/>
                      <w:lang w:eastAsia="zh-CN"/>
                    </w:rPr>
                    <w:t>））</w:t>
                  </w:r>
                </w:p>
              </w:tc>
              <w:tc>
                <w:tcPr>
                  <w:tcW w:w="835" w:type="pct"/>
                  <w:tcBorders>
                    <w:tl2br w:val="nil"/>
                    <w:tr2bl w:val="nil"/>
                  </w:tcBorders>
                  <w:noWrap w:val="0"/>
                  <w:vAlign w:val="center"/>
                </w:tcPr>
                <w:p>
                  <w:pPr>
                    <w:pStyle w:val="26"/>
                    <w:bidi w:val="0"/>
                    <w:jc w:val="center"/>
                  </w:pPr>
                  <w:r>
                    <w:t>Q 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46"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1</w:t>
                  </w:r>
                </w:p>
              </w:tc>
              <w:tc>
                <w:tcPr>
                  <w:tcW w:w="1010" w:type="pct"/>
                  <w:gridSpan w:val="2"/>
                  <w:tcBorders>
                    <w:tl2br w:val="nil"/>
                    <w:tr2bl w:val="nil"/>
                  </w:tcBorders>
                  <w:noWrap w:val="0"/>
                  <w:vAlign w:val="center"/>
                </w:tcPr>
                <w:p>
                  <w:pPr>
                    <w:pStyle w:val="26"/>
                    <w:bidi w:val="0"/>
                    <w:jc w:val="center"/>
                    <w:rPr>
                      <w:lang w:val="en-US" w:eastAsia="zh-CN"/>
                    </w:rPr>
                  </w:pPr>
                  <w:r>
                    <w:t>氢氧化钠</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0.73</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0.2</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46"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2</w:t>
                  </w:r>
                </w:p>
              </w:tc>
              <w:tc>
                <w:tcPr>
                  <w:tcW w:w="1010" w:type="pct"/>
                  <w:gridSpan w:val="2"/>
                  <w:tcBorders>
                    <w:tl2br w:val="nil"/>
                    <w:tr2bl w:val="nil"/>
                  </w:tcBorders>
                  <w:noWrap w:val="0"/>
                  <w:vAlign w:val="center"/>
                </w:tcPr>
                <w:p>
                  <w:pPr>
                    <w:pStyle w:val="26"/>
                    <w:bidi w:val="0"/>
                    <w:jc w:val="center"/>
                    <w:rPr>
                      <w:lang w:val="en-US" w:eastAsia="zh-CN"/>
                    </w:rPr>
                  </w:pPr>
                  <w:r>
                    <w:rPr>
                      <w:rFonts w:hint="eastAsia"/>
                      <w:lang w:val="en-US" w:eastAsia="zh-CN"/>
                    </w:rPr>
                    <w:t>五氧化二磷</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0.105</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46"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3</w:t>
                  </w:r>
                </w:p>
              </w:tc>
              <w:tc>
                <w:tcPr>
                  <w:tcW w:w="1010" w:type="pct"/>
                  <w:gridSpan w:val="2"/>
                  <w:tcBorders>
                    <w:tl2br w:val="nil"/>
                    <w:tr2bl w:val="nil"/>
                  </w:tcBorders>
                  <w:noWrap w:val="0"/>
                  <w:vAlign w:val="center"/>
                </w:tcPr>
                <w:p>
                  <w:pPr>
                    <w:pStyle w:val="26"/>
                    <w:bidi w:val="0"/>
                    <w:jc w:val="center"/>
                    <w:rPr>
                      <w:rFonts w:hint="eastAsia"/>
                      <w:lang w:val="en-US" w:eastAsia="zh-CN"/>
                    </w:rPr>
                  </w:pPr>
                  <w:r>
                    <w:rPr>
                      <w:rFonts w:hint="eastAsia"/>
                      <w:lang w:val="en-US" w:eastAsia="zh-CN"/>
                    </w:rPr>
                    <w:t>冰醋酸</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0.121</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46"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4</w:t>
                  </w:r>
                </w:p>
              </w:tc>
              <w:tc>
                <w:tcPr>
                  <w:tcW w:w="1010" w:type="pct"/>
                  <w:gridSpan w:val="2"/>
                  <w:tcBorders>
                    <w:tl2br w:val="nil"/>
                    <w:tr2bl w:val="nil"/>
                  </w:tcBorders>
                  <w:noWrap w:val="0"/>
                  <w:vAlign w:val="center"/>
                </w:tcPr>
                <w:p>
                  <w:pPr>
                    <w:pStyle w:val="26"/>
                    <w:bidi w:val="0"/>
                    <w:jc w:val="center"/>
                    <w:rPr>
                      <w:rFonts w:hint="eastAsia"/>
                      <w:lang w:val="en-US" w:eastAsia="zh-CN"/>
                    </w:rPr>
                  </w:pPr>
                  <w:r>
                    <w:rPr>
                      <w:rFonts w:hint="eastAsia"/>
                      <w:lang w:val="en-US" w:eastAsia="zh-CN"/>
                    </w:rPr>
                    <w:t>硫酸铵</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0.020</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46"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5</w:t>
                  </w:r>
                </w:p>
              </w:tc>
              <w:tc>
                <w:tcPr>
                  <w:tcW w:w="1010" w:type="pct"/>
                  <w:gridSpan w:val="2"/>
                  <w:tcBorders>
                    <w:tl2br w:val="nil"/>
                    <w:tr2bl w:val="nil"/>
                  </w:tcBorders>
                  <w:noWrap w:val="0"/>
                  <w:vAlign w:val="center"/>
                </w:tcPr>
                <w:p>
                  <w:pPr>
                    <w:pStyle w:val="26"/>
                    <w:bidi w:val="0"/>
                    <w:jc w:val="center"/>
                    <w:rPr>
                      <w:rFonts w:hint="eastAsia"/>
                      <w:lang w:val="en-US" w:eastAsia="zh-CN"/>
                    </w:rPr>
                  </w:pPr>
                  <w:r>
                    <w:rPr>
                      <w:rFonts w:hint="eastAsia"/>
                      <w:lang w:val="en-US" w:eastAsia="zh-CN"/>
                    </w:rPr>
                    <w:t>三氯甲烷</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0.043</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46"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6</w:t>
                  </w:r>
                </w:p>
              </w:tc>
              <w:tc>
                <w:tcPr>
                  <w:tcW w:w="1010" w:type="pct"/>
                  <w:gridSpan w:val="2"/>
                  <w:tcBorders>
                    <w:tl2br w:val="nil"/>
                    <w:tr2bl w:val="nil"/>
                  </w:tcBorders>
                  <w:noWrap w:val="0"/>
                  <w:vAlign w:val="center"/>
                </w:tcPr>
                <w:p>
                  <w:pPr>
                    <w:pStyle w:val="26"/>
                    <w:bidi w:val="0"/>
                    <w:jc w:val="center"/>
                    <w:rPr>
                      <w:rFonts w:hint="eastAsia"/>
                      <w:lang w:val="en-US" w:eastAsia="zh-CN"/>
                    </w:rPr>
                  </w:pPr>
                  <w:r>
                    <w:rPr>
                      <w:rFonts w:hint="eastAsia"/>
                      <w:lang w:val="en-US" w:eastAsia="zh-CN"/>
                    </w:rPr>
                    <w:t>氨水</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0.1655</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6"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7</w:t>
                  </w:r>
                </w:p>
              </w:tc>
              <w:tc>
                <w:tcPr>
                  <w:tcW w:w="1010" w:type="pct"/>
                  <w:gridSpan w:val="2"/>
                  <w:tcBorders>
                    <w:tl2br w:val="nil"/>
                    <w:tr2bl w:val="nil"/>
                  </w:tcBorders>
                  <w:noWrap w:val="0"/>
                  <w:vAlign w:val="center"/>
                </w:tcPr>
                <w:p>
                  <w:pPr>
                    <w:pStyle w:val="26"/>
                    <w:bidi w:val="0"/>
                    <w:jc w:val="center"/>
                    <w:rPr>
                      <w:rFonts w:hint="eastAsia"/>
                      <w:lang w:val="en-US" w:eastAsia="zh-CN"/>
                    </w:rPr>
                  </w:pPr>
                  <w:r>
                    <w:rPr>
                      <w:rFonts w:hint="eastAsia"/>
                      <w:lang w:val="en-US" w:eastAsia="zh-CN"/>
                    </w:rPr>
                    <w:t>丙酮</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0.335</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6"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8</w:t>
                  </w:r>
                </w:p>
              </w:tc>
              <w:tc>
                <w:tcPr>
                  <w:tcW w:w="1010" w:type="pct"/>
                  <w:gridSpan w:val="2"/>
                  <w:tcBorders>
                    <w:tl2br w:val="nil"/>
                    <w:tr2bl w:val="nil"/>
                  </w:tcBorders>
                  <w:noWrap w:val="0"/>
                  <w:vAlign w:val="center"/>
                </w:tcPr>
                <w:p>
                  <w:pPr>
                    <w:pStyle w:val="26"/>
                    <w:bidi w:val="0"/>
                    <w:jc w:val="center"/>
                    <w:rPr>
                      <w:rFonts w:hint="eastAsia"/>
                      <w:lang w:val="en-US" w:eastAsia="zh-CN"/>
                    </w:rPr>
                  </w:pPr>
                  <w:r>
                    <w:rPr>
                      <w:rFonts w:hint="eastAsia"/>
                      <w:lang w:val="en-US" w:eastAsia="zh-CN"/>
                    </w:rPr>
                    <w:t>硫酸</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0.328</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0.1</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6"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9</w:t>
                  </w:r>
                </w:p>
              </w:tc>
              <w:tc>
                <w:tcPr>
                  <w:tcW w:w="1010" w:type="pct"/>
                  <w:gridSpan w:val="2"/>
                  <w:tcBorders>
                    <w:tl2br w:val="nil"/>
                    <w:tr2bl w:val="nil"/>
                  </w:tcBorders>
                  <w:noWrap w:val="0"/>
                  <w:vAlign w:val="center"/>
                </w:tcPr>
                <w:p>
                  <w:pPr>
                    <w:pStyle w:val="26"/>
                    <w:bidi w:val="0"/>
                    <w:jc w:val="center"/>
                    <w:rPr>
                      <w:rFonts w:hint="eastAsia"/>
                      <w:lang w:val="en-US" w:eastAsia="zh-CN"/>
                    </w:rPr>
                  </w:pPr>
                  <w:r>
                    <w:rPr>
                      <w:rFonts w:hint="eastAsia"/>
                      <w:lang w:val="en-US" w:eastAsia="zh-CN"/>
                    </w:rPr>
                    <w:t>正己烷</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0.55</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0.2</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6"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1010" w:type="pct"/>
                  <w:gridSpan w:val="2"/>
                  <w:tcBorders>
                    <w:tl2br w:val="nil"/>
                    <w:tr2bl w:val="nil"/>
                  </w:tcBorders>
                  <w:noWrap w:val="0"/>
                  <w:vAlign w:val="center"/>
                </w:tcPr>
                <w:p>
                  <w:pPr>
                    <w:pStyle w:val="26"/>
                    <w:bidi w:val="0"/>
                    <w:jc w:val="center"/>
                    <w:rPr>
                      <w:rFonts w:hint="eastAsia"/>
                      <w:lang w:val="en-US" w:eastAsia="zh-CN"/>
                    </w:rPr>
                  </w:pPr>
                  <w:r>
                    <w:rPr>
                      <w:rFonts w:hint="eastAsia"/>
                      <w:lang w:val="en-US" w:eastAsia="zh-CN"/>
                    </w:rPr>
                    <w:t>甲酸</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0.005</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6"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11</w:t>
                  </w:r>
                </w:p>
              </w:tc>
              <w:tc>
                <w:tcPr>
                  <w:tcW w:w="1010" w:type="pct"/>
                  <w:gridSpan w:val="2"/>
                  <w:tcBorders>
                    <w:tl2br w:val="nil"/>
                    <w:tr2bl w:val="nil"/>
                  </w:tcBorders>
                  <w:noWrap w:val="0"/>
                  <w:vAlign w:val="center"/>
                </w:tcPr>
                <w:p>
                  <w:pPr>
                    <w:pStyle w:val="26"/>
                    <w:bidi w:val="0"/>
                    <w:jc w:val="center"/>
                    <w:rPr>
                      <w:rFonts w:hint="eastAsia"/>
                      <w:lang w:val="en-US" w:eastAsia="zh-CN"/>
                    </w:rPr>
                  </w:pPr>
                  <w:r>
                    <w:t>盐酸</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0.4876</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0.1</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6"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12</w:t>
                  </w:r>
                </w:p>
              </w:tc>
              <w:tc>
                <w:tcPr>
                  <w:tcW w:w="1010" w:type="pct"/>
                  <w:gridSpan w:val="2"/>
                  <w:tcBorders>
                    <w:tl2br w:val="nil"/>
                    <w:tr2bl w:val="nil"/>
                  </w:tcBorders>
                  <w:noWrap w:val="0"/>
                  <w:vAlign w:val="center"/>
                </w:tcPr>
                <w:p>
                  <w:pPr>
                    <w:pStyle w:val="26"/>
                    <w:bidi w:val="0"/>
                    <w:jc w:val="center"/>
                    <w:rPr>
                      <w:lang w:val="en-US" w:eastAsia="zh-CN"/>
                    </w:rPr>
                  </w:pPr>
                  <w:r>
                    <w:rPr>
                      <w:rFonts w:hint="eastAsia"/>
                      <w:lang w:val="en-US" w:eastAsia="zh-CN"/>
                    </w:rPr>
                    <w:t>硝酸</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0.369</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0.2</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7.5</w:t>
                  </w:r>
                </w:p>
              </w:tc>
              <w:tc>
                <w:tcPr>
                  <w:tcW w:w="835"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6"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13</w:t>
                  </w:r>
                </w:p>
              </w:tc>
              <w:tc>
                <w:tcPr>
                  <w:tcW w:w="1010" w:type="pct"/>
                  <w:gridSpan w:val="2"/>
                  <w:tcBorders>
                    <w:tl2br w:val="nil"/>
                    <w:tr2bl w:val="nil"/>
                  </w:tcBorders>
                  <w:noWrap w:val="0"/>
                  <w:vAlign w:val="center"/>
                </w:tcPr>
                <w:p>
                  <w:pPr>
                    <w:pStyle w:val="26"/>
                    <w:bidi w:val="0"/>
                    <w:jc w:val="center"/>
                    <w:rPr>
                      <w:rFonts w:hint="eastAsia"/>
                      <w:lang w:val="en-US" w:eastAsia="zh-CN"/>
                    </w:rPr>
                  </w:pPr>
                  <w:r>
                    <w:rPr>
                      <w:rFonts w:hint="eastAsia"/>
                      <w:lang w:val="en-US" w:eastAsia="zh-CN"/>
                    </w:rPr>
                    <w:t>甲苯</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0.0025</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6"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14</w:t>
                  </w:r>
                </w:p>
              </w:tc>
              <w:tc>
                <w:tcPr>
                  <w:tcW w:w="1010" w:type="pct"/>
                  <w:gridSpan w:val="2"/>
                  <w:tcBorders>
                    <w:tl2br w:val="nil"/>
                    <w:tr2bl w:val="nil"/>
                  </w:tcBorders>
                  <w:noWrap w:val="0"/>
                  <w:vAlign w:val="center"/>
                </w:tcPr>
                <w:p>
                  <w:pPr>
                    <w:pStyle w:val="26"/>
                    <w:bidi w:val="0"/>
                    <w:jc w:val="center"/>
                    <w:rPr>
                      <w:rFonts w:hint="eastAsia"/>
                      <w:lang w:val="en-US" w:eastAsia="zh-CN"/>
                    </w:rPr>
                  </w:pPr>
                  <w:r>
                    <w:rPr>
                      <w:rFonts w:hint="eastAsia"/>
                      <w:lang w:val="en-US" w:eastAsia="zh-CN"/>
                    </w:rPr>
                    <w:t>磷酸</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0.61</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0.05</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eastAsia"/>
                      <w:lang w:val="en-US" w:eastAsia="zh-CN"/>
                    </w:rPr>
                  </w:pPr>
                  <w:r>
                    <w:rPr>
                      <w:rFonts w:hint="eastAsia"/>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6"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15</w:t>
                  </w:r>
                </w:p>
              </w:tc>
              <w:tc>
                <w:tcPr>
                  <w:tcW w:w="1010" w:type="pct"/>
                  <w:gridSpan w:val="2"/>
                  <w:tcBorders>
                    <w:tl2br w:val="nil"/>
                    <w:tr2bl w:val="nil"/>
                  </w:tcBorders>
                  <w:noWrap w:val="0"/>
                  <w:vAlign w:val="center"/>
                </w:tcPr>
                <w:p>
                  <w:pPr>
                    <w:pStyle w:val="26"/>
                    <w:bidi w:val="0"/>
                    <w:jc w:val="center"/>
                    <w:rPr>
                      <w:rFonts w:hint="eastAsia"/>
                      <w:lang w:val="en-US" w:eastAsia="zh-CN"/>
                    </w:rPr>
                  </w:pPr>
                  <w:r>
                    <w:t>甲醇</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0.92</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0.21</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6"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16</w:t>
                  </w:r>
                </w:p>
              </w:tc>
              <w:tc>
                <w:tcPr>
                  <w:tcW w:w="1010" w:type="pct"/>
                  <w:gridSpan w:val="2"/>
                  <w:tcBorders>
                    <w:tl2br w:val="nil"/>
                    <w:tr2bl w:val="nil"/>
                  </w:tcBorders>
                  <w:noWrap w:val="0"/>
                  <w:vAlign w:val="center"/>
                </w:tcPr>
                <w:p>
                  <w:pPr>
                    <w:pStyle w:val="26"/>
                    <w:bidi w:val="0"/>
                    <w:jc w:val="center"/>
                    <w:rPr>
                      <w:lang w:val="en-US" w:eastAsia="zh-CN"/>
                    </w:rPr>
                  </w:pPr>
                  <w:r>
                    <w:rPr>
                      <w:rFonts w:hint="eastAsia"/>
                      <w:lang w:val="en-US" w:eastAsia="zh-CN"/>
                    </w:rPr>
                    <w:t>乙腈</w:t>
                  </w:r>
                </w:p>
              </w:tc>
              <w:tc>
                <w:tcPr>
                  <w:tcW w:w="82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0.39</w:t>
                  </w:r>
                </w:p>
              </w:tc>
              <w:tc>
                <w:tcPr>
                  <w:tcW w:w="1030"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0.12</w:t>
                  </w:r>
                </w:p>
              </w:tc>
              <w:tc>
                <w:tcPr>
                  <w:tcW w:w="848" w:type="pct"/>
                  <w:gridSpan w:val="2"/>
                  <w:tcBorders>
                    <w:tl2br w:val="nil"/>
                    <w:tr2bl w:val="nil"/>
                  </w:tcBorders>
                  <w:noWrap w:val="0"/>
                  <w:vAlign w:val="center"/>
                </w:tcPr>
                <w:p>
                  <w:pPr>
                    <w:pStyle w:val="26"/>
                    <w:bidi w:val="0"/>
                    <w:jc w:val="center"/>
                    <w:rPr>
                      <w:rFonts w:hint="default"/>
                      <w:lang w:val="en-US" w:eastAsia="zh-CN"/>
                    </w:rPr>
                  </w:pPr>
                  <w:r>
                    <w:rPr>
                      <w:rFonts w:hint="eastAsia"/>
                      <w:lang w:val="en-US" w:eastAsia="zh-CN"/>
                    </w:rPr>
                    <w:t>10</w:t>
                  </w:r>
                </w:p>
              </w:tc>
              <w:tc>
                <w:tcPr>
                  <w:tcW w:w="835" w:type="pct"/>
                  <w:tcBorders>
                    <w:tl2br w:val="nil"/>
                    <w:tr2bl w:val="nil"/>
                  </w:tcBorders>
                  <w:noWrap w:val="0"/>
                  <w:vAlign w:val="center"/>
                </w:tcPr>
                <w:p>
                  <w:pPr>
                    <w:pStyle w:val="26"/>
                    <w:bidi w:val="0"/>
                    <w:jc w:val="center"/>
                    <w:rPr>
                      <w:rFonts w:hint="default"/>
                      <w:lang w:val="en-US" w:eastAsia="zh-CN"/>
                    </w:rPr>
                  </w:pPr>
                  <w:r>
                    <w:rPr>
                      <w:rFonts w:hint="eastAsia"/>
                      <w:lang w:val="en-US" w:eastAsia="zh-CN"/>
                    </w:rPr>
                    <w:t>0.012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000" w:type="pct"/>
                  <w:gridSpan w:val="10"/>
                  <w:tcBorders>
                    <w:tl2br w:val="nil"/>
                    <w:tr2bl w:val="nil"/>
                  </w:tcBorders>
                  <w:noWrap w:val="0"/>
                  <w:vAlign w:val="center"/>
                </w:tcPr>
                <w:p>
                  <w:pPr>
                    <w:pStyle w:val="26"/>
                    <w:bidi w:val="0"/>
                    <w:jc w:val="center"/>
                  </w:pPr>
                  <w:r>
                    <w:t>ΣQ=</w:t>
                  </w:r>
                  <w:r>
                    <w:rPr>
                      <w:rFonts w:hint="eastAsia"/>
                      <w:lang w:val="en-US" w:eastAsia="zh-CN"/>
                    </w:rPr>
                    <w:t>0.365</w:t>
                  </w:r>
                  <w:r>
                    <w:t>&lt;1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98" w:type="pct"/>
                  <w:gridSpan w:val="2"/>
                  <w:tcBorders>
                    <w:tl2br w:val="nil"/>
                    <w:tr2bl w:val="nil"/>
                  </w:tcBorders>
                  <w:noWrap w:val="0"/>
                  <w:vAlign w:val="center"/>
                </w:tcPr>
                <w:p>
                  <w:pPr>
                    <w:pStyle w:val="26"/>
                    <w:bidi w:val="0"/>
                    <w:jc w:val="center"/>
                    <w:rPr>
                      <w:lang w:val="en-US" w:eastAsia="zh-CN"/>
                    </w:rPr>
                  </w:pPr>
                  <w:r>
                    <w:t>评价工作等级</w:t>
                  </w:r>
                </w:p>
              </w:tc>
              <w:tc>
                <w:tcPr>
                  <w:tcW w:w="998" w:type="pct"/>
                  <w:gridSpan w:val="2"/>
                  <w:tcBorders>
                    <w:tl2br w:val="nil"/>
                    <w:tr2bl w:val="nil"/>
                  </w:tcBorders>
                  <w:noWrap w:val="0"/>
                  <w:vAlign w:val="center"/>
                </w:tcPr>
                <w:p>
                  <w:pPr>
                    <w:pStyle w:val="26"/>
                    <w:bidi w:val="0"/>
                    <w:jc w:val="center"/>
                    <w:rPr>
                      <w:lang w:val="en-US" w:eastAsia="zh-CN"/>
                    </w:rPr>
                  </w:pPr>
                  <w:r>
                    <w:t>一</w:t>
                  </w:r>
                </w:p>
              </w:tc>
              <w:tc>
                <w:tcPr>
                  <w:tcW w:w="999" w:type="pct"/>
                  <w:gridSpan w:val="2"/>
                  <w:tcBorders>
                    <w:tl2br w:val="nil"/>
                    <w:tr2bl w:val="nil"/>
                  </w:tcBorders>
                  <w:noWrap w:val="0"/>
                  <w:vAlign w:val="center"/>
                </w:tcPr>
                <w:p>
                  <w:pPr>
                    <w:pStyle w:val="26"/>
                    <w:bidi w:val="0"/>
                    <w:jc w:val="center"/>
                    <w:rPr>
                      <w:lang w:val="en-US" w:eastAsia="zh-CN"/>
                    </w:rPr>
                  </w:pPr>
                  <w:r>
                    <w:t>二</w:t>
                  </w:r>
                </w:p>
              </w:tc>
              <w:tc>
                <w:tcPr>
                  <w:tcW w:w="998" w:type="pct"/>
                  <w:gridSpan w:val="2"/>
                  <w:tcBorders>
                    <w:tl2br w:val="nil"/>
                    <w:tr2bl w:val="nil"/>
                  </w:tcBorders>
                  <w:noWrap w:val="0"/>
                  <w:vAlign w:val="center"/>
                </w:tcPr>
                <w:p>
                  <w:pPr>
                    <w:pStyle w:val="26"/>
                    <w:bidi w:val="0"/>
                    <w:jc w:val="center"/>
                    <w:rPr>
                      <w:lang w:val="en-US" w:eastAsia="zh-CN"/>
                    </w:rPr>
                  </w:pPr>
                  <w:r>
                    <w:t>三</w:t>
                  </w:r>
                </w:p>
              </w:tc>
              <w:tc>
                <w:tcPr>
                  <w:tcW w:w="1004" w:type="pct"/>
                  <w:gridSpan w:val="2"/>
                  <w:tcBorders>
                    <w:tl2br w:val="nil"/>
                    <w:tr2bl w:val="nil"/>
                  </w:tcBorders>
                  <w:noWrap w:val="0"/>
                  <w:vAlign w:val="center"/>
                </w:tcPr>
                <w:p>
                  <w:pPr>
                    <w:pStyle w:val="26"/>
                    <w:bidi w:val="0"/>
                    <w:jc w:val="center"/>
                    <w:rPr>
                      <w:lang w:val="en-US" w:eastAsia="zh-CN"/>
                    </w:rPr>
                  </w:pPr>
                  <w:r>
                    <w:t>简单分析 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000" w:type="pct"/>
                  <w:gridSpan w:val="10"/>
                  <w:tcBorders>
                    <w:tl2br w:val="nil"/>
                    <w:tr2bl w:val="nil"/>
                  </w:tcBorders>
                  <w:noWrap w:val="0"/>
                  <w:vAlign w:val="center"/>
                </w:tcPr>
                <w:p>
                  <w:pPr>
                    <w:pStyle w:val="26"/>
                    <w:bidi w:val="0"/>
                    <w:jc w:val="center"/>
                  </w:pPr>
                  <w:r>
                    <w:t>a 是相对于详细评价工作内容而言，在描述危险物质、环境影响途径、环境危害后果、风险防范措 施等方面给出定性的说明。</w:t>
                  </w:r>
                </w:p>
              </w:tc>
            </w:tr>
          </w:tbl>
          <w:p>
            <w:pPr>
              <w:spacing w:before="78" w:line="360" w:lineRule="auto"/>
              <w:ind w:left="114" w:firstLine="481"/>
              <w:rPr>
                <w:rFonts w:hint="default" w:ascii="Times New Roman" w:hAnsi="Times New Roman" w:cs="Times New Roman"/>
              </w:rPr>
            </w:pPr>
            <w:r>
              <w:rPr>
                <w:rFonts w:hint="default" w:ascii="Times New Roman" w:hAnsi="Times New Roman" w:cs="Times New Roman"/>
              </w:rPr>
              <w:t>本项目环境风险潜势为I，根据《建设项目环境风险评价技术导则》（HJ 169-2018）评价工作等级划分原则，本项目环境风险评价等级应为简单分析。</w:t>
            </w:r>
          </w:p>
          <w:p>
            <w:pPr>
              <w:pStyle w:val="6"/>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环境敏感目标概况</w:t>
            </w:r>
          </w:p>
          <w:p>
            <w:pPr>
              <w:pStyle w:val="27"/>
              <w:bidi w:val="0"/>
              <w:rPr>
                <w:rFonts w:hint="default" w:ascii="Times New Roman" w:hAnsi="Times New Roman" w:cs="Times New Roman"/>
              </w:rPr>
            </w:pPr>
            <w:r>
              <w:rPr>
                <w:rFonts w:hint="default" w:ascii="Times New Roman" w:hAnsi="Times New Roman" w:cs="Times New Roman"/>
              </w:rPr>
              <w:t xml:space="preserve">表 </w:t>
            </w:r>
            <w:r>
              <w:rPr>
                <w:rFonts w:hint="default" w:ascii="Times New Roman" w:hAnsi="Times New Roman" w:cs="Times New Roman"/>
                <w:lang w:val="en-US" w:eastAsia="zh-CN"/>
              </w:rPr>
              <w:t>4-16</w:t>
            </w:r>
            <w:r>
              <w:rPr>
                <w:rFonts w:hint="default" w:ascii="Times New Roman" w:hAnsi="Times New Roman" w:cs="Times New Roman"/>
              </w:rPr>
              <w:t xml:space="preserve">   环境敏感目标分布情况一览表</w:t>
            </w:r>
          </w:p>
          <w:p>
            <w:pPr>
              <w:spacing w:line="192" w:lineRule="exact"/>
              <w:rPr>
                <w:rFonts w:hint="default" w:ascii="Times New Roman" w:hAnsi="Times New Roman" w:cs="Times New Roman"/>
              </w:rPr>
            </w:pPr>
          </w:p>
          <w:tbl>
            <w:tblPr>
              <w:tblStyle w:val="29"/>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54"/>
              <w:gridCol w:w="2651"/>
              <w:gridCol w:w="1414"/>
              <w:gridCol w:w="13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2355" w:type="dxa"/>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保护目标名称</w:t>
                  </w:r>
                </w:p>
              </w:tc>
              <w:tc>
                <w:tcPr>
                  <w:tcW w:w="2652" w:type="dxa"/>
                  <w:tcBorders>
                    <w:tl2br w:val="nil"/>
                    <w:tr2bl w:val="nil"/>
                  </w:tcBorders>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rPr>
                    <w:t>保护内容/规模</w:t>
                  </w:r>
                </w:p>
              </w:tc>
              <w:tc>
                <w:tcPr>
                  <w:tcW w:w="1415" w:type="dxa"/>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方位</w:t>
                  </w:r>
                </w:p>
              </w:tc>
              <w:tc>
                <w:tcPr>
                  <w:tcW w:w="1381" w:type="dxa"/>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距场址距离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2355"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龙潭庵安置小区</w:t>
                  </w:r>
                </w:p>
              </w:tc>
              <w:tc>
                <w:tcPr>
                  <w:tcW w:w="2652"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65户，260人</w:t>
                  </w:r>
                </w:p>
              </w:tc>
              <w:tc>
                <w:tcPr>
                  <w:tcW w:w="1415"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北侧</w:t>
                  </w:r>
                </w:p>
              </w:tc>
              <w:tc>
                <w:tcPr>
                  <w:tcW w:w="138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483m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2355"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龙潭庵小学</w:t>
                  </w:r>
                </w:p>
              </w:tc>
              <w:tc>
                <w:tcPr>
                  <w:tcW w:w="2652"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在校师生500人</w:t>
                  </w:r>
                </w:p>
              </w:tc>
              <w:tc>
                <w:tcPr>
                  <w:tcW w:w="1415"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北侧</w:t>
                  </w:r>
                </w:p>
              </w:tc>
              <w:tc>
                <w:tcPr>
                  <w:tcW w:w="138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616m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2355"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谷樟岗居民</w:t>
                  </w:r>
                </w:p>
              </w:tc>
              <w:tc>
                <w:tcPr>
                  <w:tcW w:w="2652"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20户，80人</w:t>
                  </w:r>
                </w:p>
              </w:tc>
              <w:tc>
                <w:tcPr>
                  <w:tcW w:w="1415"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西侧</w:t>
                  </w:r>
                </w:p>
              </w:tc>
              <w:tc>
                <w:tcPr>
                  <w:tcW w:w="138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420m</w:t>
                  </w:r>
                </w:p>
              </w:tc>
            </w:tr>
          </w:tbl>
          <w:p>
            <w:pPr>
              <w:pStyle w:val="6"/>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环境风险识别</w:t>
            </w:r>
          </w:p>
          <w:p>
            <w:pPr>
              <w:bidi w:val="0"/>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主要危险物质及分布情况</w:t>
            </w:r>
          </w:p>
          <w:p>
            <w:pPr>
              <w:bidi w:val="0"/>
              <w:ind w:firstLine="480" w:firstLineChars="200"/>
              <w:rPr>
                <w:rFonts w:hint="default" w:ascii="Times New Roman" w:hAnsi="Times New Roman" w:cs="Times New Roman"/>
              </w:rPr>
            </w:pPr>
            <w:r>
              <w:rPr>
                <w:rFonts w:hint="default" w:ascii="Times New Roman" w:hAnsi="Times New Roman" w:cs="Times New Roman"/>
              </w:rPr>
              <w:t>本项目使用的化学试剂等属于危险化学品，一旦发生泄漏，可能发生火灾、爆炸风险，容易污染周边的土壤、水体环境；若废气处理装置出现故障，废气未经处理直接排放，对周围大气环境会造成不良影响。若污水站池体由于堵塞、破裂和接头处的破损，万一泄露进入污水管网，或者直接泄露附近的地表土壤、地表水，容易污染周边的土壤、水体环境。</w:t>
            </w:r>
          </w:p>
          <w:p>
            <w:pPr>
              <w:bidi w:val="0"/>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可能影响环境的途径</w:t>
            </w:r>
          </w:p>
          <w:p>
            <w:pPr>
              <w:bidi w:val="0"/>
              <w:ind w:firstLine="480" w:firstLineChars="200"/>
              <w:rPr>
                <w:rFonts w:hint="default" w:ascii="Times New Roman" w:hAnsi="Times New Roman" w:cs="Times New Roman"/>
              </w:rPr>
            </w:pPr>
            <w:r>
              <w:rPr>
                <w:rFonts w:hint="default" w:ascii="Times New Roman" w:hAnsi="Times New Roman" w:cs="Times New Roman"/>
              </w:rPr>
              <w:t>根据项目生产设施风险识别和生产过程所涉及的物质风险识别，本项目存在的环境风险事故类型主要是危险化学品泄露、环保设施故障而造成废气、废水超标排放以及火灾、爆炸风险等。因此项目可能影响的环境途径包括：火灾、爆炸和泄露事故，其主要污染环境要素为水环境和环境空气。</w:t>
            </w:r>
          </w:p>
          <w:p>
            <w:pPr>
              <w:pStyle w:val="6"/>
              <w:bidi w:val="0"/>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环境风险分析</w:t>
            </w:r>
          </w:p>
          <w:p>
            <w:pPr>
              <w:bidi w:val="0"/>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运输、装卸过程</w:t>
            </w:r>
          </w:p>
          <w:p>
            <w:pPr>
              <w:bidi w:val="0"/>
              <w:ind w:firstLine="480" w:firstLineChars="200"/>
              <w:rPr>
                <w:rFonts w:hint="default" w:ascii="Times New Roman" w:hAnsi="Times New Roman" w:cs="Times New Roman"/>
              </w:rPr>
            </w:pPr>
            <w:r>
              <w:rPr>
                <w:rFonts w:hint="default" w:ascii="Times New Roman" w:hAnsi="Times New Roman" w:cs="Times New Roman"/>
              </w:rPr>
              <w:t>化学品在运输、装卸过程中可能存在的风险事故为：①最为严重但几率很小的是运输过程中因意外交通事故，化学品泄漏，造成水体、土壤环境污染；遇见明火可能造成的火灾、爆炸事故等；②其次运输过程中因液态化学品</w:t>
            </w:r>
            <w:r>
              <w:rPr>
                <w:rFonts w:hint="default" w:ascii="Times New Roman" w:hAnsi="Times New Roman" w:cs="Times New Roman"/>
                <w:lang w:eastAsia="zh-CN"/>
              </w:rPr>
              <w:t>盛装</w:t>
            </w:r>
            <w:r>
              <w:rPr>
                <w:rFonts w:hint="default" w:ascii="Times New Roman" w:hAnsi="Times New Roman" w:cs="Times New Roman"/>
              </w:rPr>
              <w:t>桶破损、封盖密闭不严等原因而造成泄漏，泄露液进入外环境，污染环境等；③因卸料等原因造成冲击较大，化学 品泄露液进入外环境，污染环境。</w:t>
            </w:r>
          </w:p>
          <w:p>
            <w:pPr>
              <w:bidi w:val="0"/>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贮存与使用过程</w:t>
            </w:r>
          </w:p>
          <w:p>
            <w:pPr>
              <w:bidi w:val="0"/>
              <w:ind w:firstLine="480" w:firstLineChars="200"/>
              <w:rPr>
                <w:rFonts w:hint="default" w:ascii="Times New Roman" w:hAnsi="Times New Roman" w:cs="Times New Roman"/>
              </w:rPr>
            </w:pPr>
            <w:r>
              <w:rPr>
                <w:rFonts w:hint="default" w:ascii="Times New Roman" w:hAnsi="Times New Roman" w:cs="Times New Roman"/>
              </w:rPr>
              <w:t>在贮存使用过程中可能存在的风险事故为：管理人员失误、容器破裂或不可抗拒因素等造成物料泄漏引发污染事故；液态化学品在贮存、生产过程中由于盛装桶、封盖老化或操作未按规范，致使液体物料大量泄漏逸散，泄露液进入外环境，污染环境； 化学品贮存过程中遇见明火可能造成的火灾事故等。</w:t>
            </w:r>
          </w:p>
          <w:p>
            <w:pPr>
              <w:bidi w:val="0"/>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废气治理设施的潜在风险</w:t>
            </w:r>
          </w:p>
          <w:p>
            <w:pPr>
              <w:bidi w:val="0"/>
              <w:ind w:firstLine="480" w:firstLineChars="200"/>
              <w:rPr>
                <w:rFonts w:hint="default" w:ascii="Times New Roman" w:hAnsi="Times New Roman" w:cs="Times New Roman"/>
              </w:rPr>
            </w:pPr>
            <w:r>
              <w:rPr>
                <w:rFonts w:hint="default" w:ascii="Times New Roman" w:hAnsi="Times New Roman" w:cs="Times New Roman"/>
              </w:rPr>
              <w:t>若项目废气处理装置出现故障后，废气未经收集处理直接排放，对周围环境会造成不良影响。</w:t>
            </w:r>
          </w:p>
          <w:p>
            <w:pPr>
              <w:bidi w:val="0"/>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废水治理设施的潜在风险</w:t>
            </w:r>
          </w:p>
          <w:p>
            <w:pPr>
              <w:bidi w:val="0"/>
              <w:ind w:firstLine="480" w:firstLineChars="200"/>
              <w:rPr>
                <w:rFonts w:hint="default" w:ascii="Times New Roman" w:hAnsi="Times New Roman" w:cs="Times New Roman"/>
              </w:rPr>
            </w:pPr>
            <w:r>
              <w:rPr>
                <w:rFonts w:hint="default" w:ascii="Times New Roman" w:hAnsi="Times New Roman" w:cs="Times New Roman"/>
              </w:rPr>
              <w:t>项目建设1座污水站用于项目废水的处理，若废水处理装置出现故障后，废水泄露或未经处理一旦进入环境，对地表水体会造成污染，废水下渗还会对土壤、地下水造成污染。</w:t>
            </w:r>
          </w:p>
          <w:p>
            <w:pPr>
              <w:pStyle w:val="6"/>
              <w:bidi w:val="0"/>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环境风险防范措施</w:t>
            </w:r>
          </w:p>
          <w:p>
            <w:pPr>
              <w:bidi w:val="0"/>
              <w:ind w:firstLine="480" w:firstLineChars="200"/>
              <w:rPr>
                <w:rFonts w:hint="default" w:ascii="Times New Roman" w:hAnsi="Times New Roman" w:cs="Times New Roman"/>
              </w:rPr>
            </w:pPr>
            <w:r>
              <w:rPr>
                <w:rFonts w:hint="default" w:ascii="Times New Roman" w:hAnsi="Times New Roman" w:cs="Times New Roman"/>
              </w:rPr>
              <w:t>针对本项目可能出现的风险事故，本环评建议采取以下防范措施：</w:t>
            </w:r>
          </w:p>
          <w:p>
            <w:pPr>
              <w:bidi w:val="0"/>
              <w:ind w:firstLine="480" w:firstLineChars="200"/>
              <w:rPr>
                <w:rFonts w:hint="default" w:ascii="Times New Roman" w:hAnsi="Times New Roman" w:cs="Times New Roman"/>
              </w:rPr>
            </w:pPr>
            <w:r>
              <w:rPr>
                <w:rFonts w:hint="default" w:ascii="Times New Roman" w:hAnsi="Times New Roman" w:cs="Times New Roman"/>
              </w:rPr>
              <w:t>I、火灾、</w:t>
            </w:r>
            <w:r>
              <w:rPr>
                <w:rFonts w:hint="default" w:ascii="Times New Roman" w:hAnsi="Times New Roman" w:cs="Times New Roman"/>
                <w:lang w:eastAsia="zh-CN"/>
              </w:rPr>
              <w:t>泄漏事故</w:t>
            </w:r>
            <w:r>
              <w:rPr>
                <w:rFonts w:hint="default" w:ascii="Times New Roman" w:hAnsi="Times New Roman" w:cs="Times New Roman"/>
              </w:rPr>
              <w:t>风险防范措施</w:t>
            </w:r>
          </w:p>
          <w:p>
            <w:pPr>
              <w:bidi w:val="0"/>
              <w:ind w:firstLine="480" w:firstLineChars="200"/>
              <w:rPr>
                <w:rFonts w:hint="default" w:ascii="Times New Roman" w:hAnsi="Times New Roman" w:cs="Times New Roman"/>
              </w:rPr>
            </w:pPr>
            <w:r>
              <w:rPr>
                <w:rFonts w:hint="default" w:ascii="Times New Roman" w:hAnsi="Times New Roman" w:cs="Times New Roman"/>
              </w:rPr>
              <w:t>1  总图布置和建筑安全防范措施</w:t>
            </w:r>
          </w:p>
          <w:p>
            <w:pPr>
              <w:bidi w:val="0"/>
              <w:ind w:firstLine="480" w:firstLineChars="200"/>
              <w:rPr>
                <w:rFonts w:hint="default" w:ascii="Times New Roman" w:hAnsi="Times New Roman" w:cs="Times New Roman"/>
              </w:rPr>
            </w:pPr>
            <w:r>
              <w:rPr>
                <w:rFonts w:hint="default" w:ascii="Times New Roman" w:hAnsi="Times New Roman" w:cs="Times New Roman"/>
              </w:rPr>
              <w:t>A  在总图布置中，考虑各建筑物的防火距离，安全疏散以及自然条件等方面的问题， 确保其符合国家的相关规定。</w:t>
            </w:r>
          </w:p>
          <w:p>
            <w:pPr>
              <w:bidi w:val="0"/>
              <w:ind w:firstLine="480" w:firstLineChars="200"/>
              <w:rPr>
                <w:rFonts w:hint="default" w:ascii="Times New Roman" w:hAnsi="Times New Roman" w:cs="Times New Roman"/>
              </w:rPr>
            </w:pPr>
            <w:r>
              <w:rPr>
                <w:rFonts w:hint="default" w:ascii="Times New Roman" w:hAnsi="Times New Roman" w:cs="Times New Roman"/>
              </w:rPr>
              <w:t>B  总图布置的消防通道、安全疏散通道及建筑防火间距严格按照《建筑设计防火规范》（GB50016-2006）设计。</w:t>
            </w:r>
          </w:p>
          <w:p>
            <w:pPr>
              <w:bidi w:val="0"/>
              <w:ind w:firstLine="480" w:firstLineChars="200"/>
              <w:rPr>
                <w:rFonts w:hint="default" w:ascii="Times New Roman" w:hAnsi="Times New Roman" w:cs="Times New Roman"/>
              </w:rPr>
            </w:pPr>
            <w:r>
              <w:rPr>
                <w:rFonts w:hint="default" w:ascii="Times New Roman" w:hAnsi="Times New Roman" w:cs="Times New Roman"/>
              </w:rPr>
              <w:t>C  土建设计根据危险化学品理化性质特点，全面考虑防火、防爆、防毒、防尘、防噪声等规范，满足安全生产要求。</w:t>
            </w:r>
          </w:p>
          <w:p>
            <w:pPr>
              <w:ind w:firstLine="480" w:firstLineChars="200"/>
              <w:rPr>
                <w:rFonts w:hint="default" w:ascii="Times New Roman" w:hAnsi="Times New Roman" w:cs="Times New Roman"/>
              </w:rPr>
            </w:pPr>
            <w:r>
              <w:rPr>
                <w:rFonts w:hint="default" w:ascii="Times New Roman" w:hAnsi="Times New Roman" w:cs="Times New Roman"/>
              </w:rPr>
              <w:t>D  车间保证人流、物流分开，设置两个门且外开。</w:t>
            </w:r>
          </w:p>
          <w:p>
            <w:pPr>
              <w:bidi w:val="0"/>
              <w:ind w:firstLine="480" w:firstLineChars="200"/>
              <w:rPr>
                <w:rFonts w:hint="default" w:ascii="Times New Roman" w:hAnsi="Times New Roman" w:cs="Times New Roman"/>
              </w:rPr>
            </w:pPr>
            <w:r>
              <w:rPr>
                <w:rFonts w:hint="default" w:ascii="Times New Roman" w:hAnsi="Times New Roman" w:cs="Times New Roman"/>
              </w:rPr>
              <w:t>E  将同类有火灾爆炸危险物料的设备、物料桶集中布置，便于统筹安排防火防爆设施。</w:t>
            </w:r>
          </w:p>
          <w:p>
            <w:pPr>
              <w:bidi w:val="0"/>
              <w:ind w:firstLine="480" w:firstLineChars="200"/>
              <w:rPr>
                <w:rFonts w:hint="default" w:ascii="Times New Roman" w:hAnsi="Times New Roman" w:cs="Times New Roman"/>
              </w:rPr>
            </w:pPr>
            <w:r>
              <w:rPr>
                <w:rFonts w:hint="default" w:ascii="Times New Roman" w:hAnsi="Times New Roman" w:cs="Times New Roman"/>
              </w:rPr>
              <w:t>2  物料贮存安全防范措施</w:t>
            </w:r>
          </w:p>
          <w:p>
            <w:pPr>
              <w:bidi w:val="0"/>
              <w:ind w:firstLine="480" w:firstLineChars="200"/>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lang w:val="en-US" w:eastAsia="zh-CN"/>
              </w:rPr>
              <w:t xml:space="preserve"> </w:t>
            </w:r>
            <w:r>
              <w:rPr>
                <w:rFonts w:hint="default" w:ascii="Times New Roman" w:hAnsi="Times New Roman" w:cs="Times New Roman"/>
              </w:rPr>
              <w:t xml:space="preserve"> 化学品严格遵守《常用化学危险品贮存通则》（GB15603- 1995）、《易燃易爆性商品储藏养护条件》 （GB17914-1999）等标准、规范的要求。</w:t>
            </w:r>
          </w:p>
          <w:p>
            <w:pPr>
              <w:bidi w:val="0"/>
              <w:ind w:firstLine="480" w:firstLineChars="200"/>
              <w:rPr>
                <w:rFonts w:hint="default" w:ascii="Times New Roman" w:hAnsi="Times New Roman" w:cs="Times New Roman"/>
              </w:rPr>
            </w:pPr>
            <w:r>
              <w:rPr>
                <w:rFonts w:hint="default" w:ascii="Times New Roman" w:hAnsi="Times New Roman" w:cs="Times New Roman"/>
              </w:rPr>
              <w:t xml:space="preserve">B </w:t>
            </w:r>
            <w:r>
              <w:rPr>
                <w:rFonts w:hint="default" w:ascii="Times New Roman" w:hAnsi="Times New Roman" w:cs="Times New Roman"/>
                <w:lang w:val="en-US" w:eastAsia="zh-CN"/>
              </w:rPr>
              <w:t xml:space="preserve"> </w:t>
            </w:r>
            <w:r>
              <w:rPr>
                <w:rFonts w:hint="default" w:ascii="Times New Roman" w:hAnsi="Times New Roman" w:cs="Times New Roman"/>
              </w:rPr>
              <w:t>加强原材料仓库的安全检查及安全管理，尤其是要</w:t>
            </w:r>
            <w:r>
              <w:rPr>
                <w:rFonts w:hint="default" w:ascii="Times New Roman" w:hAnsi="Times New Roman" w:cs="Times New Roman"/>
                <w:lang w:eastAsia="zh-CN"/>
              </w:rPr>
              <w:t>制定</w:t>
            </w:r>
            <w:r>
              <w:rPr>
                <w:rFonts w:hint="default" w:ascii="Times New Roman" w:hAnsi="Times New Roman" w:cs="Times New Roman"/>
              </w:rPr>
              <w:t>严谨的装卸作业安全操作规程，督促员工认真执行。</w:t>
            </w:r>
          </w:p>
          <w:p>
            <w:pPr>
              <w:bidi w:val="0"/>
              <w:ind w:firstLine="480" w:firstLineChars="200"/>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lang w:val="en-US" w:eastAsia="zh-CN"/>
              </w:rPr>
              <w:t xml:space="preserve"> </w:t>
            </w:r>
            <w:r>
              <w:rPr>
                <w:rFonts w:hint="default" w:ascii="Times New Roman" w:hAnsi="Times New Roman" w:cs="Times New Roman"/>
              </w:rPr>
              <w:t xml:space="preserve"> </w:t>
            </w:r>
            <w:r>
              <w:rPr>
                <w:rFonts w:hint="default" w:ascii="Times New Roman" w:hAnsi="Times New Roman" w:cs="Times New Roman"/>
                <w:lang w:eastAsia="zh-CN"/>
              </w:rPr>
              <w:t>化学</w:t>
            </w:r>
            <w:r>
              <w:rPr>
                <w:rFonts w:hint="default" w:ascii="Times New Roman" w:hAnsi="Times New Roman" w:cs="Times New Roman"/>
              </w:rPr>
              <w:t>品库房及危废暂存间内设置接液盘（高度不低于0.2m）；设置黄沙箱，配备足量的黄沙等惰性吸收材料，用于小量泄漏时吸收泄漏物料；</w:t>
            </w:r>
          </w:p>
          <w:p>
            <w:pPr>
              <w:bidi w:val="0"/>
              <w:ind w:firstLine="480" w:firstLineChars="200"/>
              <w:rPr>
                <w:rFonts w:hint="default" w:ascii="Times New Roman" w:hAnsi="Times New Roman" w:cs="Times New Roman"/>
              </w:rPr>
            </w:pPr>
            <w:r>
              <w:rPr>
                <w:rFonts w:hint="default" w:ascii="Times New Roman" w:hAnsi="Times New Roman" w:cs="Times New Roman"/>
              </w:rPr>
              <w:t xml:space="preserve">D </w:t>
            </w:r>
            <w:r>
              <w:rPr>
                <w:rFonts w:hint="default" w:ascii="Times New Roman" w:hAnsi="Times New Roman" w:cs="Times New Roman"/>
                <w:lang w:val="en-US" w:eastAsia="zh-CN"/>
              </w:rPr>
              <w:t xml:space="preserve"> </w:t>
            </w:r>
            <w:r>
              <w:rPr>
                <w:rFonts w:hint="default" w:ascii="Times New Roman" w:hAnsi="Times New Roman" w:cs="Times New Roman"/>
              </w:rPr>
              <w:t>地面采用耐腐蚀的硬化地面，基础进行防渗设计，地面无裂隙；</w:t>
            </w:r>
          </w:p>
          <w:p>
            <w:pPr>
              <w:bidi w:val="0"/>
              <w:ind w:firstLine="480" w:firstLineChars="200"/>
              <w:rPr>
                <w:rFonts w:hint="default" w:ascii="Times New Roman" w:hAnsi="Times New Roman" w:cs="Times New Roman"/>
              </w:rPr>
            </w:pPr>
            <w:r>
              <w:rPr>
                <w:rFonts w:hint="default" w:ascii="Times New Roman" w:hAnsi="Times New Roman" w:cs="Times New Roman"/>
              </w:rPr>
              <w:t>F</w:t>
            </w:r>
            <w:r>
              <w:rPr>
                <w:rFonts w:hint="default" w:ascii="Times New Roman" w:hAnsi="Times New Roman" w:cs="Times New Roman"/>
                <w:lang w:val="en-US" w:eastAsia="zh-CN"/>
              </w:rPr>
              <w:t xml:space="preserve"> </w:t>
            </w:r>
            <w:r>
              <w:rPr>
                <w:rFonts w:hint="default" w:ascii="Times New Roman" w:hAnsi="Times New Roman" w:cs="Times New Roman"/>
              </w:rPr>
              <w:t xml:space="preserve"> 仓库内贮存的各类物料按照其理化性质进行分类、分区存放。</w:t>
            </w:r>
          </w:p>
          <w:p>
            <w:pPr>
              <w:bidi w:val="0"/>
              <w:ind w:firstLine="480" w:firstLineChars="200"/>
              <w:rPr>
                <w:rFonts w:hint="default" w:ascii="Times New Roman" w:hAnsi="Times New Roman" w:cs="Times New Roman"/>
              </w:rPr>
            </w:pPr>
            <w:r>
              <w:rPr>
                <w:rFonts w:hint="default" w:ascii="Times New Roman" w:hAnsi="Times New Roman" w:cs="Times New Roman"/>
              </w:rPr>
              <w:t>3  物料运输安全防范措施</w:t>
            </w:r>
          </w:p>
          <w:p>
            <w:pPr>
              <w:bidi w:val="0"/>
              <w:ind w:firstLine="480" w:firstLineChars="200"/>
              <w:rPr>
                <w:rFonts w:hint="default" w:ascii="Times New Roman" w:hAnsi="Times New Roman" w:cs="Times New Roman"/>
              </w:rPr>
            </w:pPr>
            <w:r>
              <w:rPr>
                <w:rFonts w:hint="default" w:ascii="Times New Roman" w:hAnsi="Times New Roman" w:cs="Times New Roman"/>
              </w:rPr>
              <w:t>厂内贮存的液态化学品一旦发生泄漏事故，一般不采用水冲洗，将砂或吸油毡覆盖于泄漏物料上，密闭集中收集作为固废交有资质单位处理。</w:t>
            </w:r>
          </w:p>
          <w:p>
            <w:pPr>
              <w:bidi w:val="0"/>
              <w:ind w:firstLine="480" w:firstLineChars="200"/>
              <w:rPr>
                <w:rFonts w:hint="default" w:ascii="Times New Roman" w:hAnsi="Times New Roman" w:cs="Times New Roman"/>
              </w:rPr>
            </w:pPr>
            <w:r>
              <w:rPr>
                <w:rFonts w:hint="default" w:ascii="Times New Roman" w:hAnsi="Times New Roman" w:cs="Times New Roman"/>
              </w:rPr>
              <w:t>4  危废暂存风险防范措施</w:t>
            </w:r>
          </w:p>
          <w:p>
            <w:pPr>
              <w:bidi w:val="0"/>
              <w:ind w:firstLine="480" w:firstLineChars="200"/>
              <w:rPr>
                <w:rFonts w:hint="default" w:ascii="Times New Roman" w:hAnsi="Times New Roman" w:cs="Times New Roman"/>
              </w:rPr>
            </w:pPr>
            <w:r>
              <w:rPr>
                <w:rFonts w:hint="default" w:ascii="Times New Roman" w:hAnsi="Times New Roman" w:cs="Times New Roman"/>
              </w:rPr>
              <w:t>A 根据《危险废物贮存污染控制标准》（GB18597-2001），危废暂存间要求地面与裙脚要用坚固、防渗的材料建造，建筑材料必须与危险废物相容，必须安装有泄漏液体收集装置，设施内要有安全照明设施和观察窗口，用以存放装载液体、半固体危险废物容器的地方，必须有耐腐蚀硬化地面，且表面无裂隙。</w:t>
            </w:r>
          </w:p>
          <w:p>
            <w:pPr>
              <w:bidi w:val="0"/>
              <w:ind w:firstLine="480" w:firstLineChars="200"/>
              <w:rPr>
                <w:rFonts w:hint="default" w:ascii="Times New Roman" w:hAnsi="Times New Roman" w:cs="Times New Roman"/>
              </w:rPr>
            </w:pPr>
            <w:r>
              <w:rPr>
                <w:rFonts w:hint="default" w:ascii="Times New Roman" w:hAnsi="Times New Roman" w:cs="Times New Roman"/>
              </w:rPr>
              <w:t>B 存放过程中，注意存放危险废物堆的防晒、防水等。不相容危险废物要分别存放或存放在不渗透间隔分开的区域内，每个部分都应有防渗漏脚却或储漏盘，防漏裙脚或储漏盘的材料要与危险废物相容。</w:t>
            </w:r>
          </w:p>
          <w:p>
            <w:pPr>
              <w:bidi w:val="0"/>
              <w:ind w:firstLine="480" w:firstLineChars="200"/>
              <w:rPr>
                <w:rFonts w:hint="default" w:ascii="Times New Roman" w:hAnsi="Times New Roman" w:cs="Times New Roman"/>
              </w:rPr>
            </w:pPr>
            <w:r>
              <w:rPr>
                <w:rFonts w:hint="default" w:ascii="Times New Roman" w:hAnsi="Times New Roman" w:cs="Times New Roman"/>
              </w:rPr>
              <w:t>C 危险废物转移应严格遵守危险品运输管理规定并按有关规定填写五联单。</w:t>
            </w:r>
          </w:p>
          <w:p>
            <w:pPr>
              <w:bidi w:val="0"/>
              <w:ind w:firstLine="480" w:firstLineChars="200"/>
              <w:rPr>
                <w:rFonts w:hint="default" w:ascii="Times New Roman" w:hAnsi="Times New Roman" w:cs="Times New Roman"/>
              </w:rPr>
            </w:pPr>
            <w:r>
              <w:rPr>
                <w:rFonts w:hint="default" w:ascii="Times New Roman" w:hAnsi="Times New Roman" w:cs="Times New Roman"/>
              </w:rPr>
              <w:t>D 建设单位加强危险废物的管理，严禁随意露天堆放、随意倾倒和将危险固废混入一般固废中，以避免污染周边环境和防止发生泄漏污染地下水。</w:t>
            </w:r>
          </w:p>
          <w:p>
            <w:pPr>
              <w:bidi w:val="0"/>
              <w:ind w:firstLine="480" w:firstLineChars="200"/>
              <w:rPr>
                <w:rFonts w:hint="default" w:ascii="Times New Roman" w:hAnsi="Times New Roman" w:cs="Times New Roman"/>
              </w:rPr>
            </w:pPr>
            <w:r>
              <w:rPr>
                <w:rFonts w:hint="default" w:ascii="Times New Roman" w:hAnsi="Times New Roman" w:cs="Times New Roman"/>
              </w:rPr>
              <w:t>5  电气仪表安全防范措施</w:t>
            </w:r>
          </w:p>
          <w:p>
            <w:pPr>
              <w:bidi w:val="0"/>
              <w:ind w:firstLine="480" w:firstLineChars="200"/>
              <w:rPr>
                <w:rFonts w:hint="default" w:ascii="Times New Roman" w:hAnsi="Times New Roman" w:cs="Times New Roman"/>
              </w:rPr>
            </w:pPr>
            <w:r>
              <w:rPr>
                <w:rFonts w:hint="default" w:ascii="Times New Roman" w:hAnsi="Times New Roman" w:cs="Times New Roman"/>
              </w:rPr>
              <w:t>A 生产装置的电气设计必须符合《爆炸和火灾危险环境电气装置设计规范》（GB50058）选择合理防爆设备。在检查、维护和检修时应遵守安全规定，尤其应防止火花的产生。</w:t>
            </w:r>
          </w:p>
          <w:p>
            <w:pPr>
              <w:bidi w:val="0"/>
              <w:ind w:firstLine="480" w:firstLineChars="200"/>
              <w:rPr>
                <w:rFonts w:hint="default" w:ascii="Times New Roman" w:hAnsi="Times New Roman" w:cs="Times New Roman"/>
              </w:rPr>
            </w:pPr>
            <w:r>
              <w:rPr>
                <w:rFonts w:hint="default" w:ascii="Times New Roman" w:hAnsi="Times New Roman" w:cs="Times New Roman"/>
              </w:rPr>
              <w:t>B 生产装置和建筑物设计可靠的防雷设施（直击雷与感应雷），装设避雷网、防雷 接地等措施。涉及易燃、易爆介质的设备、管线等有静电跨接和可靠的静电接地措施。</w:t>
            </w:r>
          </w:p>
          <w:p>
            <w:pPr>
              <w:bidi w:val="0"/>
              <w:ind w:firstLine="480" w:firstLineChars="200"/>
              <w:rPr>
                <w:rFonts w:hint="default" w:ascii="Times New Roman" w:hAnsi="Times New Roman" w:cs="Times New Roman"/>
              </w:rPr>
            </w:pPr>
            <w:r>
              <w:rPr>
                <w:rFonts w:hint="default" w:ascii="Times New Roman" w:hAnsi="Times New Roman" w:cs="Times New Roman"/>
              </w:rPr>
              <w:t>C 严格执行规章制度，落实安全生产责任制，加强职工技术培训、安全培训；努力提高职工技术素质、安全意识和自我保护意识。</w:t>
            </w:r>
          </w:p>
          <w:p>
            <w:pPr>
              <w:bidi w:val="0"/>
              <w:ind w:firstLine="480" w:firstLineChars="200"/>
              <w:rPr>
                <w:rFonts w:hint="default" w:ascii="Times New Roman" w:hAnsi="Times New Roman" w:cs="Times New Roman"/>
              </w:rPr>
            </w:pPr>
            <w:r>
              <w:rPr>
                <w:rFonts w:hint="default" w:ascii="Times New Roman" w:hAnsi="Times New Roman" w:cs="Times New Roman"/>
              </w:rPr>
              <w:t>D 制定电气运行和操作的巡回检查制度、检修制度、运行安全操作规程等各项规章制度。</w:t>
            </w:r>
          </w:p>
          <w:p>
            <w:pPr>
              <w:bidi w:val="0"/>
              <w:ind w:firstLine="480" w:firstLineChars="200"/>
              <w:rPr>
                <w:rFonts w:hint="default" w:ascii="Times New Roman" w:hAnsi="Times New Roman" w:cs="Times New Roman"/>
              </w:rPr>
            </w:pPr>
            <w:r>
              <w:rPr>
                <w:rFonts w:hint="default" w:ascii="Times New Roman" w:hAnsi="Times New Roman" w:cs="Times New Roman"/>
              </w:rPr>
              <w:t>E 生产车间、仓库等电气装置和照明设施满足各危险场所的防爆要求，并设置应急 电源和应急照明。</w:t>
            </w:r>
          </w:p>
          <w:p>
            <w:pPr>
              <w:bidi w:val="0"/>
              <w:ind w:firstLine="480" w:firstLineChars="200"/>
              <w:rPr>
                <w:rFonts w:hint="default" w:ascii="Times New Roman" w:hAnsi="Times New Roman" w:cs="Times New Roman"/>
              </w:rPr>
            </w:pPr>
            <w:r>
              <w:rPr>
                <w:rFonts w:hint="default" w:ascii="Times New Roman" w:hAnsi="Times New Roman" w:cs="Times New Roman"/>
              </w:rPr>
              <w:t>II 、废气、废水事故排放风险防范措施</w:t>
            </w:r>
          </w:p>
          <w:p>
            <w:pPr>
              <w:bidi w:val="0"/>
              <w:ind w:firstLine="480" w:firstLineChars="200"/>
              <w:rPr>
                <w:rFonts w:hint="default" w:ascii="Times New Roman" w:hAnsi="Times New Roman" w:cs="Times New Roman"/>
              </w:rPr>
            </w:pPr>
            <w:r>
              <w:rPr>
                <w:rFonts w:hint="default" w:ascii="Times New Roman" w:hAnsi="Times New Roman" w:cs="Times New Roman"/>
              </w:rPr>
              <w:t>1 废气事故排放风险防范措施</w:t>
            </w:r>
          </w:p>
          <w:p>
            <w:pPr>
              <w:bidi w:val="0"/>
              <w:ind w:firstLine="480" w:firstLineChars="200"/>
              <w:rPr>
                <w:rFonts w:hint="default" w:ascii="Times New Roman" w:hAnsi="Times New Roman" w:cs="Times New Roman"/>
              </w:rPr>
            </w:pPr>
            <w:r>
              <w:rPr>
                <w:rFonts w:hint="default" w:ascii="Times New Roman" w:hAnsi="Times New Roman" w:cs="Times New Roman"/>
              </w:rPr>
              <w:t>A  项目废气处理装置都是采用专业厂家进行设计和安装，一般来说现在的废气装置都是采用较为坚固的材料建成，防止污染物的事故排放，将污染物泄漏的环境风险事故降到最低限度。</w:t>
            </w:r>
          </w:p>
          <w:p>
            <w:pPr>
              <w:bidi w:val="0"/>
              <w:ind w:firstLine="480" w:firstLineChars="200"/>
              <w:rPr>
                <w:rFonts w:hint="default" w:ascii="Times New Roman" w:hAnsi="Times New Roman" w:cs="Times New Roman"/>
              </w:rPr>
            </w:pPr>
            <w:r>
              <w:rPr>
                <w:rFonts w:hint="default" w:ascii="Times New Roman" w:hAnsi="Times New Roman" w:cs="Times New Roman"/>
              </w:rPr>
              <w:t>B  定期检查废气处理装置是否堵塞，如被堵应及时维护。</w:t>
            </w:r>
          </w:p>
          <w:p>
            <w:pPr>
              <w:bidi w:val="0"/>
              <w:ind w:firstLine="480" w:firstLineChars="200"/>
              <w:rPr>
                <w:rFonts w:hint="default" w:ascii="Times New Roman" w:hAnsi="Times New Roman" w:cs="Times New Roman"/>
              </w:rPr>
            </w:pPr>
            <w:r>
              <w:rPr>
                <w:rFonts w:hint="default" w:ascii="Times New Roman" w:hAnsi="Times New Roman" w:cs="Times New Roman"/>
              </w:rPr>
              <w:t>C  运营过程中应加强巡检及时处理污染物跑、冒、滴、漏，同时应加强对管道工程的检查，若发现管道老化或损坏，应及时维修更换。</w:t>
            </w:r>
          </w:p>
          <w:p>
            <w:pPr>
              <w:bidi w:val="0"/>
              <w:ind w:firstLine="480" w:firstLineChars="200"/>
              <w:rPr>
                <w:rFonts w:hint="default" w:ascii="Times New Roman" w:hAnsi="Times New Roman" w:cs="Times New Roman"/>
              </w:rPr>
            </w:pPr>
            <w:r>
              <w:rPr>
                <w:rFonts w:hint="default" w:ascii="Times New Roman" w:hAnsi="Times New Roman" w:cs="Times New Roman"/>
              </w:rPr>
              <w:t>D  一旦发现废气处理装置故障，生产车间暂停生产，排查故障原因并解决后方能恢复生产。</w:t>
            </w:r>
          </w:p>
          <w:p>
            <w:pPr>
              <w:bidi w:val="0"/>
              <w:ind w:firstLine="480" w:firstLineChars="200"/>
              <w:rPr>
                <w:rFonts w:hint="default" w:ascii="Times New Roman" w:hAnsi="Times New Roman" w:cs="Times New Roman"/>
              </w:rPr>
            </w:pPr>
            <w:r>
              <w:rPr>
                <w:rFonts w:hint="default" w:ascii="Times New Roman" w:hAnsi="Times New Roman" w:cs="Times New Roman"/>
              </w:rPr>
              <w:t>本项目在采取上述措施后，可确保项目的废气不会对周围环境会造成不良影响。</w:t>
            </w:r>
          </w:p>
          <w:p>
            <w:pPr>
              <w:bidi w:val="0"/>
              <w:ind w:firstLine="480" w:firstLineChars="200"/>
              <w:rPr>
                <w:rFonts w:hint="default" w:ascii="Times New Roman" w:hAnsi="Times New Roman" w:cs="Times New Roman"/>
              </w:rPr>
            </w:pPr>
            <w:r>
              <w:rPr>
                <w:rFonts w:hint="default" w:ascii="Times New Roman" w:hAnsi="Times New Roman" w:cs="Times New Roman"/>
              </w:rPr>
              <w:t>2 废水事故排放风险防范措施</w:t>
            </w:r>
          </w:p>
          <w:p>
            <w:pPr>
              <w:bidi w:val="0"/>
              <w:ind w:firstLine="480" w:firstLineChars="200"/>
              <w:rPr>
                <w:rFonts w:hint="default" w:ascii="Times New Roman" w:hAnsi="Times New Roman" w:cs="Times New Roman"/>
              </w:rPr>
            </w:pPr>
            <w:r>
              <w:rPr>
                <w:rFonts w:hint="default" w:ascii="Times New Roman" w:hAnsi="Times New Roman" w:cs="Times New Roman"/>
              </w:rPr>
              <w:t>A  项目污水站都是采用专业厂家进行设计和安装，污水站日处理能力均为根据日最大废水量并考虑变化系数进行设计，因此污水站能够满足项目废水处理需求。</w:t>
            </w:r>
          </w:p>
          <w:p>
            <w:pPr>
              <w:bidi w:val="0"/>
              <w:ind w:firstLine="480" w:firstLineChars="200"/>
              <w:rPr>
                <w:rFonts w:hint="default" w:ascii="Times New Roman" w:hAnsi="Times New Roman" w:cs="Times New Roman"/>
              </w:rPr>
            </w:pPr>
            <w:r>
              <w:rPr>
                <w:rFonts w:hint="default" w:ascii="Times New Roman" w:hAnsi="Times New Roman" w:cs="Times New Roman"/>
              </w:rPr>
              <w:t>B  建设过程中应对管道、设备、污水储存及处理构筑物采取控制措施，防止污染物的跑、冒、滴、漏，将污染物泄漏的环境风险事故降到最低限度。</w:t>
            </w:r>
          </w:p>
          <w:p>
            <w:pPr>
              <w:bidi w:val="0"/>
              <w:ind w:firstLine="480" w:firstLineChars="200"/>
              <w:rPr>
                <w:rFonts w:hint="default" w:ascii="Times New Roman" w:hAnsi="Times New Roman" w:cs="Times New Roman"/>
              </w:rPr>
            </w:pPr>
            <w:r>
              <w:rPr>
                <w:rFonts w:hint="default" w:ascii="Times New Roman" w:hAnsi="Times New Roman" w:cs="Times New Roman"/>
              </w:rPr>
              <w:t>C  运营过程中应加强巡检及时处理污染物跑、冒、滴、漏，同时应加强对防渗工程的检查，若发现防渗密封材料老化或损坏，应及时维修更换。</w:t>
            </w:r>
          </w:p>
          <w:p>
            <w:pPr>
              <w:bidi w:val="0"/>
              <w:ind w:firstLine="480" w:firstLineChars="200"/>
              <w:rPr>
                <w:rFonts w:hint="default" w:ascii="Times New Roman" w:hAnsi="Times New Roman" w:cs="Times New Roman"/>
              </w:rPr>
            </w:pPr>
            <w:r>
              <w:rPr>
                <w:rFonts w:hint="default" w:ascii="Times New Roman" w:hAnsi="Times New Roman" w:cs="Times New Roman"/>
              </w:rPr>
              <w:t>D  一旦发现污水站故障，生产车间暂停用水、排水，同时关闭通往市政雨水、污水管切断阀，防止污水流入市政管网，排查故障原因并解决后方能恢复用水、排水。</w:t>
            </w:r>
          </w:p>
          <w:p>
            <w:pPr>
              <w:bidi w:val="0"/>
              <w:rPr>
                <w:rFonts w:hint="default" w:ascii="Times New Roman" w:hAnsi="Times New Roman" w:cs="Times New Roman"/>
              </w:rPr>
            </w:pPr>
            <w:r>
              <w:rPr>
                <w:rFonts w:hint="default" w:ascii="Times New Roman" w:hAnsi="Times New Roman" w:cs="Times New Roman"/>
              </w:rPr>
              <w:t>本项目在采取上述措施后，可确保项目的生产废水不会污染厂址附近地表水体和地下水体。</w:t>
            </w:r>
          </w:p>
          <w:p>
            <w:pPr>
              <w:pStyle w:val="6"/>
              <w:bidi w:val="0"/>
              <w:rPr>
                <w:rFonts w:hint="default" w:ascii="Times New Roman" w:hAnsi="Times New Roman" w:cs="Times New Roman"/>
                <w:u w:val="single"/>
              </w:rPr>
            </w:pPr>
            <w:r>
              <w:rPr>
                <w:rFonts w:hint="default" w:ascii="Times New Roman" w:hAnsi="Times New Roman" w:cs="Times New Roman"/>
                <w:u w:val="single"/>
                <w:lang w:val="en-US" w:eastAsia="zh-CN"/>
              </w:rPr>
              <w:t>6、</w:t>
            </w:r>
            <w:r>
              <w:rPr>
                <w:rFonts w:hint="default" w:ascii="Times New Roman" w:hAnsi="Times New Roman" w:cs="Times New Roman"/>
                <w:u w:val="single"/>
              </w:rPr>
              <w:t>环境风险事故应急预案</w:t>
            </w:r>
          </w:p>
          <w:p>
            <w:pPr>
              <w:ind w:firstLine="480" w:firstLineChars="200"/>
              <w:rPr>
                <w:rFonts w:hint="default" w:ascii="Times New Roman" w:hAnsi="Times New Roman" w:cs="Times New Roman"/>
                <w:u w:val="single"/>
              </w:rPr>
            </w:pPr>
            <w:r>
              <w:rPr>
                <w:rFonts w:hint="default" w:ascii="Times New Roman" w:hAnsi="Times New Roman" w:cs="Times New Roman"/>
                <w:u w:val="single"/>
              </w:rPr>
              <w:t>为保证企业及人民生命财产安全，防止突发性重大环境事故发生，或在发生事故时能迅速有序地开展救援工作，尽最大努力减少事故的危害和损失。根据原劳动部、化工部《工作场所安全使用化学品规定》和《化学事故应急救援管理办法》的规定，企业应根据湖南省生态环境厅印发《湖南省突发环境事件应急预案管理办法（2024修订版）》（湘环发[2024]49号）相关要求，开展企业突发环境事件应急预案编制及备案工作。</w:t>
            </w:r>
          </w:p>
          <w:p>
            <w:pPr>
              <w:pStyle w:val="6"/>
              <w:bidi w:val="0"/>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分析结论</w:t>
            </w:r>
          </w:p>
          <w:p>
            <w:pPr>
              <w:spacing w:before="226" w:line="184" w:lineRule="auto"/>
              <w:ind w:firstLine="596"/>
              <w:rPr>
                <w:rFonts w:hint="default" w:ascii="Times New Roman" w:hAnsi="Times New Roman" w:cs="Times New Roman"/>
              </w:rPr>
            </w:pPr>
            <w:r>
              <w:rPr>
                <w:rFonts w:hint="default" w:ascii="Times New Roman" w:hAnsi="Times New Roman" w:cs="Times New Roman"/>
              </w:rPr>
              <w:t>本项目环境风险简单分析内容见下表。</w:t>
            </w:r>
          </w:p>
          <w:p>
            <w:pPr>
              <w:pStyle w:val="27"/>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4-17</w:t>
            </w:r>
            <w:r>
              <w:rPr>
                <w:rFonts w:hint="default" w:ascii="Times New Roman" w:hAnsi="Times New Roman" w:cs="Times New Roman"/>
              </w:rPr>
              <w:t xml:space="preserve">  建设项目环境风险简单分析内容表</w:t>
            </w:r>
          </w:p>
          <w:tbl>
            <w:tblPr>
              <w:tblStyle w:val="29"/>
              <w:tblW w:w="4995" w:type="pct"/>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1"/>
              <w:gridCol w:w="1072"/>
              <w:gridCol w:w="1070"/>
              <w:gridCol w:w="535"/>
              <w:gridCol w:w="535"/>
              <w:gridCol w:w="561"/>
              <w:gridCol w:w="507"/>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560" w:type="pct"/>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建设项目名称</w:t>
                  </w:r>
                </w:p>
              </w:tc>
              <w:tc>
                <w:tcPr>
                  <w:tcW w:w="3439" w:type="pct"/>
                  <w:gridSpan w:val="7"/>
                  <w:tcBorders>
                    <w:tl2br w:val="nil"/>
                    <w:tr2bl w:val="nil"/>
                  </w:tcBorders>
                  <w:noWrap w:val="0"/>
                  <w:vAlign w:val="center"/>
                </w:tcPr>
                <w:p>
                  <w:pPr>
                    <w:pStyle w:val="26"/>
                    <w:bidi w:val="0"/>
                    <w:jc w:val="center"/>
                    <w:rPr>
                      <w:rFonts w:hint="default" w:ascii="Times New Roman" w:hAnsi="Times New Roman" w:cs="Times New Roman"/>
                    </w:rPr>
                  </w:pPr>
                  <w:r>
                    <w:rPr>
                      <w:rFonts w:hint="eastAsia" w:cs="Times New Roman"/>
                      <w:lang w:eastAsia="zh-CN"/>
                    </w:rPr>
                    <w:t>长常药业生产制造基地建设项目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560" w:type="pct"/>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建设地点</w:t>
                  </w:r>
                </w:p>
              </w:tc>
              <w:tc>
                <w:tcPr>
                  <w:tcW w:w="687" w:type="pct"/>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湖南</w:t>
                  </w:r>
                  <w:r>
                    <w:rPr>
                      <w:rFonts w:hint="default" w:ascii="Times New Roman" w:hAnsi="Times New Roman" w:cs="Times New Roman"/>
                    </w:rPr>
                    <w:t>）省</w:t>
                  </w:r>
                </w:p>
              </w:tc>
              <w:tc>
                <w:tcPr>
                  <w:tcW w:w="686" w:type="pct"/>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常德</w:t>
                  </w:r>
                  <w:r>
                    <w:rPr>
                      <w:rFonts w:hint="default" w:ascii="Times New Roman" w:hAnsi="Times New Roman" w:cs="Times New Roman"/>
                    </w:rPr>
                    <w:t>）市</w:t>
                  </w:r>
                </w:p>
              </w:tc>
              <w:tc>
                <w:tcPr>
                  <w:tcW w:w="686" w:type="pct"/>
                  <w:gridSpan w:val="2"/>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经济技术开发区</w:t>
                  </w:r>
                  <w:r>
                    <w:rPr>
                      <w:rFonts w:hint="default" w:ascii="Times New Roman" w:hAnsi="Times New Roman" w:cs="Times New Roman"/>
                    </w:rPr>
                    <w:t>） 区</w:t>
                  </w:r>
                </w:p>
              </w:tc>
              <w:tc>
                <w:tcPr>
                  <w:tcW w:w="684" w:type="pct"/>
                  <w:gridSpan w:val="2"/>
                  <w:tcBorders>
                    <w:tl2br w:val="nil"/>
                    <w:tr2bl w:val="nil"/>
                  </w:tcBorders>
                  <w:noWrap w:val="0"/>
                  <w:vAlign w:val="center"/>
                </w:tcPr>
                <w:p>
                  <w:pPr>
                    <w:pStyle w:val="26"/>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（/）县</w:t>
                  </w:r>
                </w:p>
              </w:tc>
              <w:tc>
                <w:tcPr>
                  <w:tcW w:w="695" w:type="pct"/>
                  <w:tcBorders>
                    <w:tl2br w:val="nil"/>
                    <w:tr2bl w:val="nil"/>
                  </w:tcBorders>
                  <w:noWrap w:val="0"/>
                  <w:vAlign w:val="center"/>
                </w:tcPr>
                <w:p>
                  <w:pPr>
                    <w:pStyle w:val="26"/>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尚德路以北长安路以西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60" w:type="pct"/>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地理坐标</w:t>
                  </w:r>
                </w:p>
              </w:tc>
              <w:tc>
                <w:tcPr>
                  <w:tcW w:w="687" w:type="pct"/>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经度</w:t>
                  </w:r>
                </w:p>
              </w:tc>
              <w:tc>
                <w:tcPr>
                  <w:tcW w:w="1029" w:type="pct"/>
                  <w:gridSpan w:val="2"/>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lang w:val="en-US" w:eastAsia="zh-CN"/>
                    </w:rPr>
                    <w:t>111</w:t>
                  </w:r>
                  <w:r>
                    <w:rPr>
                      <w:rFonts w:hint="default" w:ascii="Times New Roman" w:hAnsi="Times New Roman" w:cs="Times New Roman"/>
                    </w:rPr>
                    <w:t>度</w:t>
                  </w:r>
                  <w:r>
                    <w:rPr>
                      <w:rFonts w:hint="default" w:ascii="Times New Roman" w:hAnsi="Times New Roman" w:cs="Times New Roman"/>
                      <w:lang w:val="en-US" w:eastAsia="zh-CN"/>
                    </w:rPr>
                    <w:t>41</w:t>
                  </w:r>
                  <w:r>
                    <w:rPr>
                      <w:rFonts w:hint="default" w:ascii="Times New Roman" w:hAnsi="Times New Roman" w:cs="Times New Roman"/>
                    </w:rPr>
                    <w:t>分</w:t>
                  </w:r>
                  <w:r>
                    <w:rPr>
                      <w:rFonts w:hint="default" w:ascii="Times New Roman" w:hAnsi="Times New Roman" w:cs="Times New Roman"/>
                      <w:lang w:val="en-US" w:eastAsia="zh-CN"/>
                    </w:rPr>
                    <w:t>45.05</w:t>
                  </w:r>
                  <w:r>
                    <w:rPr>
                      <w:rFonts w:hint="default" w:ascii="Times New Roman" w:hAnsi="Times New Roman" w:cs="Times New Roman"/>
                    </w:rPr>
                    <w:t>秒</w:t>
                  </w:r>
                </w:p>
              </w:tc>
              <w:tc>
                <w:tcPr>
                  <w:tcW w:w="702" w:type="pct"/>
                  <w:gridSpan w:val="2"/>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纬度</w:t>
                  </w:r>
                </w:p>
              </w:tc>
              <w:tc>
                <w:tcPr>
                  <w:tcW w:w="1020" w:type="pct"/>
                  <w:gridSpan w:val="2"/>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lang w:val="en-US" w:eastAsia="zh-CN"/>
                    </w:rPr>
                    <w:t>28</w:t>
                  </w:r>
                  <w:r>
                    <w:rPr>
                      <w:rFonts w:hint="default" w:ascii="Times New Roman" w:hAnsi="Times New Roman" w:cs="Times New Roman"/>
                    </w:rPr>
                    <w:t>度</w:t>
                  </w:r>
                  <w:r>
                    <w:rPr>
                      <w:rFonts w:hint="default" w:ascii="Times New Roman" w:hAnsi="Times New Roman" w:cs="Times New Roman"/>
                      <w:lang w:val="en-US" w:eastAsia="zh-CN"/>
                    </w:rPr>
                    <w:t>55</w:t>
                  </w:r>
                  <w:r>
                    <w:rPr>
                      <w:rFonts w:hint="default" w:ascii="Times New Roman" w:hAnsi="Times New Roman" w:cs="Times New Roman"/>
                    </w:rPr>
                    <w:t>分</w:t>
                  </w:r>
                  <w:r>
                    <w:rPr>
                      <w:rFonts w:hint="default" w:ascii="Times New Roman" w:hAnsi="Times New Roman" w:cs="Times New Roman"/>
                      <w:lang w:val="en-US" w:eastAsia="zh-CN"/>
                    </w:rPr>
                    <w:t>40.66</w:t>
                  </w:r>
                  <w:r>
                    <w:rPr>
                      <w:rFonts w:hint="default" w:ascii="Times New Roman" w:hAnsi="Times New Roman" w:cs="Times New Roman"/>
                    </w:rPr>
                    <w:t xml:space="preserve"> 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60" w:type="pct"/>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主要危险物质及分布</w:t>
                  </w:r>
                </w:p>
              </w:tc>
              <w:tc>
                <w:tcPr>
                  <w:tcW w:w="3439" w:type="pct"/>
                  <w:gridSpan w:val="7"/>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lang w:eastAsia="zh-CN"/>
                    </w:rPr>
                    <w:t>实验室</w:t>
                  </w:r>
                  <w:r>
                    <w:rPr>
                      <w:rFonts w:hint="default" w:ascii="Times New Roman" w:hAnsi="Times New Roman" w:cs="Times New Roman"/>
                    </w:rPr>
                    <w:t>：化学试剂，危废间：实验废液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7" w:hRule="atLeast"/>
              </w:trPr>
              <w:tc>
                <w:tcPr>
                  <w:tcW w:w="1560" w:type="pct"/>
                  <w:tcBorders>
                    <w:tl2br w:val="nil"/>
                    <w:tr2bl w:val="nil"/>
                  </w:tcBorders>
                  <w:noWrap w:val="0"/>
                  <w:vAlign w:val="center"/>
                </w:tcPr>
                <w:p>
                  <w:pPr>
                    <w:pStyle w:val="26"/>
                    <w:bidi w:val="0"/>
                    <w:jc w:val="center"/>
                    <w:rPr>
                      <w:rFonts w:hint="default" w:ascii="Times New Roman" w:hAnsi="Times New Roman" w:cs="Times New Roman"/>
                    </w:rPr>
                  </w:pPr>
                </w:p>
                <w:p>
                  <w:pPr>
                    <w:pStyle w:val="26"/>
                    <w:bidi w:val="0"/>
                    <w:jc w:val="center"/>
                    <w:rPr>
                      <w:rFonts w:hint="default" w:ascii="Times New Roman" w:hAnsi="Times New Roman" w:cs="Times New Roman"/>
                    </w:rPr>
                  </w:pPr>
                </w:p>
                <w:p>
                  <w:pPr>
                    <w:pStyle w:val="26"/>
                    <w:bidi w:val="0"/>
                    <w:jc w:val="center"/>
                    <w:rPr>
                      <w:rFonts w:hint="default" w:ascii="Times New Roman" w:hAnsi="Times New Roman" w:cs="Times New Roman"/>
                    </w:rPr>
                  </w:pPr>
                  <w:r>
                    <w:rPr>
                      <w:rFonts w:hint="default" w:ascii="Times New Roman" w:hAnsi="Times New Roman" w:cs="Times New Roman"/>
                    </w:rPr>
                    <w:t>环境影响途径及危害后果   （大气、地表水、地下水等）</w:t>
                  </w:r>
                </w:p>
              </w:tc>
              <w:tc>
                <w:tcPr>
                  <w:tcW w:w="3439" w:type="pct"/>
                  <w:gridSpan w:val="7"/>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大气：危险化学品泄漏后挥发进入大气，污染大气环境；易燃液体 遇明火产生火灾爆炸引起大气环境污染事故；废气处理设施非正常 工况下污染物进入大气。</w:t>
                  </w:r>
                </w:p>
                <w:p>
                  <w:pPr>
                    <w:pStyle w:val="26"/>
                    <w:bidi w:val="0"/>
                    <w:jc w:val="center"/>
                    <w:rPr>
                      <w:rFonts w:hint="default" w:ascii="Times New Roman" w:hAnsi="Times New Roman" w:cs="Times New Roman"/>
                    </w:rPr>
                  </w:pPr>
                  <w:r>
                    <w:rPr>
                      <w:rFonts w:hint="default" w:ascii="Times New Roman" w:hAnsi="Times New Roman" w:cs="Times New Roman"/>
                    </w:rPr>
                    <w:t>地表水：危险化学品泄漏对周围地面和建筑造成腐蚀，可能污染地下水地表水；化学品包装破裂，造成事故排放； 废水处理系统故障 造成废水事故排放。</w:t>
                  </w:r>
                </w:p>
                <w:p>
                  <w:pPr>
                    <w:pStyle w:val="26"/>
                    <w:bidi w:val="0"/>
                    <w:jc w:val="center"/>
                    <w:rPr>
                      <w:rFonts w:hint="default" w:ascii="Times New Roman" w:hAnsi="Times New Roman" w:cs="Times New Roman"/>
                    </w:rPr>
                  </w:pPr>
                  <w:r>
                    <w:rPr>
                      <w:rFonts w:hint="default" w:ascii="Times New Roman" w:hAnsi="Times New Roman" w:cs="Times New Roman"/>
                    </w:rPr>
                    <w:t>地下水：危险化学品泄漏、废水处理系统泄漏，对地面造成腐蚀，污染地下水环境。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560" w:type="pct"/>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风险防范措施要求</w:t>
                  </w:r>
                </w:p>
              </w:tc>
              <w:tc>
                <w:tcPr>
                  <w:tcW w:w="3439" w:type="pct"/>
                  <w:gridSpan w:val="7"/>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1、要求并按照危险化学品的危险特性，采取必要的安全防护措施。</w:t>
                  </w:r>
                </w:p>
                <w:p>
                  <w:pPr>
                    <w:pStyle w:val="26"/>
                    <w:bidi w:val="0"/>
                    <w:jc w:val="center"/>
                    <w:rPr>
                      <w:rFonts w:hint="default" w:ascii="Times New Roman" w:hAnsi="Times New Roman" w:cs="Times New Roman"/>
                    </w:rPr>
                  </w:pPr>
                  <w:r>
                    <w:rPr>
                      <w:rFonts w:hint="default" w:ascii="Times New Roman" w:hAnsi="Times New Roman" w:cs="Times New Roman"/>
                    </w:rPr>
                    <w:t>2 、通过公路运输危险化学品，必须配备押运人员，并随时处于押运人员的监管之下，不得超装、超载，不得进入危险化学品运输车 辆禁止通行的区域。</w:t>
                  </w:r>
                </w:p>
                <w:p>
                  <w:pPr>
                    <w:pStyle w:val="26"/>
                    <w:bidi w:val="0"/>
                    <w:jc w:val="center"/>
                    <w:rPr>
                      <w:rFonts w:hint="default" w:ascii="Times New Roman" w:hAnsi="Times New Roman" w:cs="Times New Roman"/>
                    </w:rPr>
                  </w:pPr>
                  <w:r>
                    <w:rPr>
                      <w:rFonts w:hint="default" w:ascii="Times New Roman" w:hAnsi="Times New Roman" w:cs="Times New Roman"/>
                    </w:rPr>
                    <w:t>3 、化学品使用过程中注意防火防爆</w:t>
                  </w:r>
                  <w:r>
                    <w:rPr>
                      <w:rFonts w:hint="default" w:ascii="Times New Roman" w:hAnsi="Times New Roman" w:cs="Times New Roman"/>
                      <w:lang w:eastAsia="zh-CN"/>
                    </w:rPr>
                    <w:t>防</w:t>
                  </w:r>
                  <w:r>
                    <w:rPr>
                      <w:rFonts w:hint="default" w:ascii="Times New Roman" w:hAnsi="Times New Roman" w:cs="Times New Roman"/>
                    </w:rPr>
                    <w:t>泄漏，对危化品间及废水处理系统等区域地面进行防腐和重点防渗处理。</w:t>
                  </w:r>
                </w:p>
                <w:p>
                  <w:pPr>
                    <w:pStyle w:val="26"/>
                    <w:bidi w:val="0"/>
                    <w:jc w:val="center"/>
                    <w:rPr>
                      <w:rFonts w:hint="default" w:ascii="Times New Roman" w:hAnsi="Times New Roman" w:cs="Times New Roman"/>
                    </w:rPr>
                  </w:pPr>
                  <w:r>
                    <w:rPr>
                      <w:rFonts w:hint="default" w:ascii="Times New Roman" w:hAnsi="Times New Roman" w:cs="Times New Roman"/>
                    </w:rPr>
                    <w:t>4 、对废气、废水处理设施进行定期清洁、维护和检修。</w:t>
                  </w:r>
                </w:p>
                <w:p>
                  <w:pPr>
                    <w:pStyle w:val="26"/>
                    <w:bidi w:val="0"/>
                    <w:jc w:val="center"/>
                    <w:rPr>
                      <w:rFonts w:hint="default" w:ascii="Times New Roman" w:hAnsi="Times New Roman" w:cs="Times New Roman"/>
                    </w:rPr>
                  </w:pPr>
                  <w:r>
                    <w:rPr>
                      <w:rFonts w:hint="default" w:ascii="Times New Roman" w:hAnsi="Times New Roman" w:cs="Times New Roman"/>
                    </w:rPr>
                    <w:t>5 、严格执行环评及相关法律法规要求，落实本章节提出的各项有关化学品储存使用、危险品及危险废物的储存和转运、废水废气处理设施维护的风险防范措施。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5000" w:type="pct"/>
                  <w:gridSpan w:val="8"/>
                  <w:tcBorders>
                    <w:tl2br w:val="nil"/>
                    <w:tr2bl w:val="nil"/>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填表说明（列出项目相关信息及评价说明 ：</w:t>
                  </w:r>
                </w:p>
                <w:p>
                  <w:pPr>
                    <w:pStyle w:val="26"/>
                    <w:bidi w:val="0"/>
                    <w:jc w:val="center"/>
                    <w:rPr>
                      <w:rFonts w:hint="default" w:ascii="Times New Roman" w:hAnsi="Times New Roman" w:cs="Times New Roman"/>
                    </w:rPr>
                  </w:pPr>
                  <w:r>
                    <w:rPr>
                      <w:rFonts w:hint="default" w:ascii="Times New Roman" w:hAnsi="Times New Roman" w:cs="Times New Roman"/>
                    </w:rPr>
                    <w:t>本项目主要危险物质为化学试剂等危险品及实验废液等危险废物。主要分布在</w:t>
                  </w:r>
                  <w:r>
                    <w:rPr>
                      <w:rFonts w:hint="default" w:ascii="Times New Roman" w:hAnsi="Times New Roman" w:cs="Times New Roman"/>
                      <w:lang w:eastAsia="zh-CN"/>
                    </w:rPr>
                    <w:t>实验室</w:t>
                  </w:r>
                  <w:r>
                    <w:rPr>
                      <w:rFonts w:hint="default" w:ascii="Times New Roman" w:hAnsi="Times New Roman" w:cs="Times New Roman"/>
                    </w:rPr>
                    <w:t>及危废间等区域。本项目风险评价根据《建设项目环境风险评价技术导则》（HJ 169-2018）进行分析。危险化学品全厂最大储存量Q值&lt;1 ，项目环境风险潜势为I，评价等级为简单分析。在落实了环评提出的风险防范措施后，环境风险可控，不会对周围环境造成较大风险。</w:t>
                  </w:r>
                </w:p>
              </w:tc>
            </w:tr>
          </w:tbl>
          <w:p>
            <w:pPr>
              <w:spacing w:line="156" w:lineRule="exact"/>
              <w:rPr>
                <w:rFonts w:hint="default" w:ascii="Times New Roman" w:hAnsi="Times New Roman" w:cs="Times New Roman"/>
              </w:rPr>
            </w:pPr>
          </w:p>
          <w:p>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（八）环保投资</w:t>
            </w:r>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本项目总投资</w:t>
            </w:r>
            <w:r>
              <w:rPr>
                <w:rFonts w:hint="eastAsia" w:ascii="Times New Roman" w:hAnsi="Times New Roman" w:eastAsia="宋体" w:cs="Times New Roman"/>
                <w:lang w:val="en-US" w:eastAsia="zh-CN"/>
              </w:rPr>
              <w:t>50000</w:t>
            </w:r>
            <w:r>
              <w:rPr>
                <w:rFonts w:hint="default" w:ascii="Times New Roman" w:hAnsi="Times New Roman" w:eastAsia="宋体" w:cs="Times New Roman"/>
              </w:rPr>
              <w:t>万元，环保投</w:t>
            </w:r>
            <w:r>
              <w:rPr>
                <w:rFonts w:hint="default" w:ascii="Times New Roman" w:hAnsi="Times New Roman" w:eastAsia="宋体" w:cs="Times New Roman"/>
                <w:lang w:val="en-US" w:eastAsia="zh-CN"/>
              </w:rPr>
              <w:t>资</w:t>
            </w:r>
            <w:r>
              <w:rPr>
                <w:rFonts w:hint="eastAsia" w:ascii="Times New Roman" w:hAnsi="Times New Roman" w:eastAsia="宋体" w:cs="Times New Roman"/>
                <w:lang w:val="en-US" w:eastAsia="zh-CN"/>
              </w:rPr>
              <w:t>278</w:t>
            </w:r>
            <w:r>
              <w:rPr>
                <w:rFonts w:hint="default" w:ascii="Times New Roman" w:hAnsi="Times New Roman" w:eastAsia="宋体" w:cs="Times New Roman"/>
                <w:lang w:val="en-US" w:eastAsia="zh-CN"/>
              </w:rPr>
              <w:t>万元。环保</w:t>
            </w:r>
            <w:r>
              <w:rPr>
                <w:rFonts w:hint="default" w:ascii="Times New Roman" w:hAnsi="Times New Roman" w:eastAsia="宋体" w:cs="Times New Roman"/>
              </w:rPr>
              <w:t xml:space="preserve">投资占总投资的 </w:t>
            </w:r>
            <w:r>
              <w:rPr>
                <w:rFonts w:hint="eastAsia" w:ascii="Times New Roman" w:hAnsi="Times New Roman" w:eastAsia="宋体" w:cs="Times New Roman"/>
                <w:lang w:val="en-US" w:eastAsia="zh-CN"/>
              </w:rPr>
              <w:t>0.56</w:t>
            </w:r>
            <w:r>
              <w:rPr>
                <w:rFonts w:hint="default" w:ascii="Times New Roman" w:hAnsi="Times New Roman" w:eastAsia="宋体" w:cs="Times New Roman"/>
              </w:rPr>
              <w:t>%。项目采取的污染治理措施技术成熟可靠，经济技术可行，各类污染物均能得到有效治理，满足达标排放的相关要求。环保设施（措施）及投资估算见下表。</w:t>
            </w:r>
          </w:p>
          <w:p>
            <w:pPr>
              <w:pStyle w:val="27"/>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4-18</w:t>
            </w:r>
            <w:r>
              <w:rPr>
                <w:rFonts w:hint="eastAsia" w:cs="Times New Roman"/>
                <w:lang w:val="en-US" w:eastAsia="zh-CN"/>
              </w:rPr>
              <w:t xml:space="preserve">  </w:t>
            </w:r>
            <w:r>
              <w:rPr>
                <w:rFonts w:hint="default" w:ascii="Times New Roman" w:hAnsi="Times New Roman" w:cs="Times New Roman"/>
              </w:rPr>
              <w:t>本项目环保措施及投资估算一览表</w:t>
            </w:r>
          </w:p>
          <w:tbl>
            <w:tblPr>
              <w:tblStyle w:val="17"/>
              <w:tblW w:w="49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3805"/>
              <w:gridCol w:w="922"/>
              <w:gridCol w:w="853"/>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b/>
                      <w:bCs/>
                    </w:rPr>
                  </w:pPr>
                  <w:r>
                    <w:rPr>
                      <w:rFonts w:hint="default" w:ascii="Times New Roman" w:hAnsi="Times New Roman" w:cs="Times New Roman"/>
                      <w:b/>
                      <w:bCs/>
                    </w:rPr>
                    <w:t>项目</w:t>
                  </w:r>
                </w:p>
              </w:tc>
              <w:tc>
                <w:tcPr>
                  <w:tcW w:w="246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b/>
                      <w:bCs/>
                    </w:rPr>
                  </w:pPr>
                  <w:r>
                    <w:rPr>
                      <w:rFonts w:hint="default" w:ascii="Times New Roman" w:hAnsi="Times New Roman" w:cs="Times New Roman"/>
                      <w:b/>
                      <w:bCs/>
                    </w:rPr>
                    <w:t>环保设施</w:t>
                  </w:r>
                </w:p>
              </w:tc>
              <w:tc>
                <w:tcPr>
                  <w:tcW w:w="59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b/>
                      <w:bCs/>
                    </w:rPr>
                  </w:pPr>
                  <w:r>
                    <w:rPr>
                      <w:rFonts w:hint="default" w:ascii="Times New Roman" w:hAnsi="Times New Roman" w:cs="Times New Roman"/>
                      <w:b/>
                      <w:bCs/>
                    </w:rPr>
                    <w:t>单位</w:t>
                  </w:r>
                </w:p>
              </w:tc>
              <w:tc>
                <w:tcPr>
                  <w:tcW w:w="55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b/>
                      <w:bCs/>
                    </w:rPr>
                  </w:pPr>
                  <w:r>
                    <w:rPr>
                      <w:rFonts w:hint="default" w:ascii="Times New Roman" w:hAnsi="Times New Roman" w:cs="Times New Roman"/>
                      <w:b/>
                      <w:bCs/>
                    </w:rPr>
                    <w:t>数量</w:t>
                  </w:r>
                </w:p>
              </w:tc>
              <w:tc>
                <w:tcPr>
                  <w:tcW w:w="775"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b/>
                      <w:bCs/>
                    </w:rPr>
                  </w:pPr>
                  <w:r>
                    <w:rPr>
                      <w:rFonts w:hint="default" w:ascii="Times New Roman" w:hAnsi="Times New Roman" w:cs="Times New Roman"/>
                      <w:b/>
                      <w:bCs/>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3" w:type="pct"/>
                  <w:tcBorders>
                    <w:top w:val="single" w:color="auto" w:sz="4" w:space="0"/>
                    <w:left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废水</w:t>
                  </w:r>
                </w:p>
              </w:tc>
              <w:tc>
                <w:tcPr>
                  <w:tcW w:w="246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eastAsia="宋体" w:cs="Times New Roman"/>
                      <w:bCs/>
                      <w:color w:val="auto"/>
                      <w:sz w:val="21"/>
                      <w:szCs w:val="21"/>
                      <w:lang w:val="en-US" w:eastAsia="zh-CN"/>
                    </w:rPr>
                    <w:t>污水站（混凝沉淀+厌氧水解+A/O）设计规模</w:t>
                  </w:r>
                  <w:r>
                    <w:rPr>
                      <w:rFonts w:hint="eastAsia" w:eastAsia="宋体" w:cs="Times New Roman"/>
                      <w:bCs/>
                      <w:color w:val="auto"/>
                      <w:sz w:val="21"/>
                      <w:szCs w:val="21"/>
                      <w:lang w:val="en-US" w:eastAsia="zh-CN"/>
                    </w:rPr>
                    <w:t>100</w:t>
                  </w:r>
                  <w:r>
                    <w:rPr>
                      <w:rFonts w:hint="default" w:ascii="Times New Roman" w:hAnsi="Times New Roman" w:eastAsia="宋体" w:cs="Times New Roman"/>
                      <w:bCs/>
                      <w:color w:val="auto"/>
                      <w:sz w:val="21"/>
                      <w:szCs w:val="21"/>
                      <w:lang w:val="en-US" w:eastAsia="zh-CN"/>
                    </w:rPr>
                    <w:t>m</w:t>
                  </w:r>
                  <w:r>
                    <w:rPr>
                      <w:rFonts w:hint="default" w:ascii="Times New Roman" w:hAnsi="Times New Roman" w:eastAsia="宋体" w:cs="Times New Roman"/>
                      <w:bCs/>
                      <w:color w:val="auto"/>
                      <w:sz w:val="21"/>
                      <w:szCs w:val="21"/>
                      <w:vertAlign w:val="superscript"/>
                      <w:lang w:val="en-US" w:eastAsia="zh-CN"/>
                    </w:rPr>
                    <w:t>3</w:t>
                  </w:r>
                  <w:r>
                    <w:rPr>
                      <w:rFonts w:hint="default" w:ascii="Times New Roman" w:hAnsi="Times New Roman" w:eastAsia="宋体" w:cs="Times New Roman"/>
                      <w:bCs/>
                      <w:color w:val="auto"/>
                      <w:sz w:val="21"/>
                      <w:szCs w:val="21"/>
                      <w:lang w:val="en-US" w:eastAsia="zh-CN"/>
                    </w:rPr>
                    <w:t>/d</w:t>
                  </w:r>
                </w:p>
              </w:tc>
              <w:tc>
                <w:tcPr>
                  <w:tcW w:w="59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eastAsia" w:ascii="Times New Roman" w:hAnsi="Times New Roman" w:eastAsia="宋体" w:cs="Times New Roman"/>
                      <w:lang w:eastAsia="zh-CN"/>
                    </w:rPr>
                  </w:pPr>
                  <w:r>
                    <w:rPr>
                      <w:rFonts w:hint="eastAsia" w:cs="Times New Roman"/>
                      <w:lang w:eastAsia="zh-CN"/>
                    </w:rPr>
                    <w:t>座</w:t>
                  </w:r>
                </w:p>
              </w:tc>
              <w:tc>
                <w:tcPr>
                  <w:tcW w:w="55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1</w:t>
                  </w:r>
                </w:p>
              </w:tc>
              <w:tc>
                <w:tcPr>
                  <w:tcW w:w="775"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eastAsia="宋体" w:cs="Times New Roman"/>
                      <w:lang w:val="en-US" w:eastAsia="zh-CN"/>
                    </w:rPr>
                  </w:pPr>
                  <w:r>
                    <w:rPr>
                      <w:rFonts w:hint="eastAsia" w:cs="Times New Roman"/>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3" w:type="pct"/>
                  <w:vMerge w:val="restart"/>
                  <w:tcBorders>
                    <w:top w:val="single" w:color="auto" w:sz="4" w:space="0"/>
                    <w:left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废气</w:t>
                  </w:r>
                </w:p>
              </w:tc>
              <w:tc>
                <w:tcPr>
                  <w:tcW w:w="246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eastAsia" w:cs="Times New Roman"/>
                      <w:lang w:val="en-US" w:eastAsia="zh-CN"/>
                    </w:rPr>
                    <w:t>生产车间：</w:t>
                  </w:r>
                  <w:r>
                    <w:rPr>
                      <w:rFonts w:hint="eastAsia"/>
                      <w:lang w:val="en-US" w:eastAsia="zh-CN"/>
                    </w:rPr>
                    <w:t>生产设备自带布袋除尘器+车间整体通风除尘系统+1#排气筒（厂房屋顶20m）</w:t>
                  </w:r>
                </w:p>
              </w:tc>
              <w:tc>
                <w:tcPr>
                  <w:tcW w:w="59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套</w:t>
                  </w:r>
                </w:p>
              </w:tc>
              <w:tc>
                <w:tcPr>
                  <w:tcW w:w="55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1</w:t>
                  </w:r>
                </w:p>
              </w:tc>
              <w:tc>
                <w:tcPr>
                  <w:tcW w:w="775"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eastAsia="宋体" w:cs="Times New Roman"/>
                      <w:lang w:val="en-US" w:eastAsia="zh-CN"/>
                    </w:rPr>
                  </w:pPr>
                  <w:r>
                    <w:rPr>
                      <w:rFonts w:hint="eastAsia" w:cs="Times New Roman"/>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3" w:type="pct"/>
                  <w:vMerge w:val="continue"/>
                  <w:tcBorders>
                    <w:left w:val="single" w:color="auto" w:sz="4" w:space="0"/>
                    <w:right w:val="single" w:color="auto" w:sz="4" w:space="0"/>
                  </w:tcBorders>
                  <w:noWrap w:val="0"/>
                  <w:vAlign w:val="center"/>
                </w:tcPr>
                <w:p>
                  <w:pPr>
                    <w:pStyle w:val="26"/>
                    <w:bidi w:val="0"/>
                    <w:jc w:val="center"/>
                    <w:rPr>
                      <w:rFonts w:hint="default" w:ascii="Times New Roman" w:hAnsi="Times New Roman" w:cs="Times New Roman"/>
                    </w:rPr>
                  </w:pPr>
                </w:p>
              </w:tc>
              <w:tc>
                <w:tcPr>
                  <w:tcW w:w="246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eastAsia" w:cs="Times New Roman"/>
                      <w:lang w:val="en-US" w:eastAsia="zh-CN"/>
                    </w:rPr>
                    <w:t>实验室：</w:t>
                  </w:r>
                  <w:r>
                    <w:rPr>
                      <w:rFonts w:hint="default" w:ascii="Times New Roman" w:hAnsi="Times New Roman" w:cs="Times New Roman"/>
                      <w:lang w:val="en-US" w:eastAsia="zh-CN"/>
                    </w:rPr>
                    <w:t>通风橱收集过滤棉+活性炭吸附+2#排气筒（厂房屋顶</w:t>
                  </w:r>
                  <w:r>
                    <w:rPr>
                      <w:rFonts w:hint="eastAsia" w:cs="Times New Roman"/>
                      <w:lang w:val="en-US" w:eastAsia="zh-CN"/>
                    </w:rPr>
                    <w:t>25</w:t>
                  </w:r>
                  <w:r>
                    <w:rPr>
                      <w:rFonts w:hint="default" w:ascii="Times New Roman" w:hAnsi="Times New Roman" w:cs="Times New Roman"/>
                      <w:lang w:val="en-US" w:eastAsia="zh-CN"/>
                    </w:rPr>
                    <w:t>m）</w:t>
                  </w:r>
                </w:p>
              </w:tc>
              <w:tc>
                <w:tcPr>
                  <w:tcW w:w="59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套</w:t>
                  </w:r>
                </w:p>
              </w:tc>
              <w:tc>
                <w:tcPr>
                  <w:tcW w:w="55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1</w:t>
                  </w:r>
                </w:p>
              </w:tc>
              <w:tc>
                <w:tcPr>
                  <w:tcW w:w="775"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eastAsia="宋体" w:cs="Times New Roman"/>
                      <w:lang w:val="en-US" w:eastAsia="zh-CN"/>
                    </w:rPr>
                  </w:pPr>
                  <w:r>
                    <w:rPr>
                      <w:rFonts w:hint="eastAsia" w:cs="Times New Roman"/>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噪声</w:t>
                  </w:r>
                </w:p>
              </w:tc>
              <w:tc>
                <w:tcPr>
                  <w:tcW w:w="246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eastAsia="宋体" w:cs="Times New Roman"/>
                      <w:spacing w:val="-1"/>
                      <w:sz w:val="21"/>
                      <w:szCs w:val="21"/>
                    </w:rPr>
                    <w:t>选用低噪声设备，合理布局，采取隔声及减振消声措施</w:t>
                  </w:r>
                </w:p>
              </w:tc>
              <w:tc>
                <w:tcPr>
                  <w:tcW w:w="59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w:t>
                  </w:r>
                </w:p>
              </w:tc>
              <w:tc>
                <w:tcPr>
                  <w:tcW w:w="55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w:t>
                  </w:r>
                </w:p>
              </w:tc>
              <w:tc>
                <w:tcPr>
                  <w:tcW w:w="775"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03" w:type="pct"/>
                  <w:vMerge w:val="restar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固废</w:t>
                  </w:r>
                </w:p>
              </w:tc>
              <w:tc>
                <w:tcPr>
                  <w:tcW w:w="246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lang w:val="en-US" w:eastAsia="zh-CN"/>
                    </w:rPr>
                    <w:t>生活垃圾环卫定期收集处理（垃圾桶）</w:t>
                  </w:r>
                </w:p>
              </w:tc>
              <w:tc>
                <w:tcPr>
                  <w:tcW w:w="59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eastAsia="宋体" w:cs="Times New Roman"/>
                      <w:lang w:eastAsia="zh-CN"/>
                    </w:rPr>
                  </w:pPr>
                  <w:r>
                    <w:rPr>
                      <w:rFonts w:hint="default" w:ascii="Times New Roman" w:hAnsi="Times New Roman" w:cs="Times New Roman"/>
                      <w:lang w:eastAsia="zh-CN"/>
                    </w:rPr>
                    <w:t>个</w:t>
                  </w:r>
                </w:p>
              </w:tc>
              <w:tc>
                <w:tcPr>
                  <w:tcW w:w="55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w:t>
                  </w:r>
                </w:p>
              </w:tc>
              <w:tc>
                <w:tcPr>
                  <w:tcW w:w="775"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p>
              </w:tc>
              <w:tc>
                <w:tcPr>
                  <w:tcW w:w="246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lang w:val="en-US" w:eastAsia="zh-CN"/>
                    </w:rPr>
                    <w:t>固废仓库（面积</w:t>
                  </w:r>
                  <w:r>
                    <w:rPr>
                      <w:rFonts w:hint="eastAsia" w:cs="Times New Roman"/>
                      <w:lang w:val="en-US" w:eastAsia="zh-CN"/>
                    </w:rPr>
                    <w:t>570.32</w:t>
                  </w:r>
                  <w:r>
                    <w:rPr>
                      <w:rFonts w:hint="default" w:ascii="Times New Roman" w:hAnsi="Times New Roman" w:cs="Times New Roman"/>
                      <w:lang w:val="en-US" w:eastAsia="zh-CN"/>
                    </w:rPr>
                    <w:t>㎡，位于</w:t>
                  </w:r>
                  <w:r>
                    <w:rPr>
                      <w:rFonts w:hint="eastAsia" w:cs="Times New Roman"/>
                      <w:lang w:val="en-US" w:eastAsia="zh-CN"/>
                    </w:rPr>
                    <w:t>废弃物仓库</w:t>
                  </w:r>
                  <w:r>
                    <w:rPr>
                      <w:rFonts w:hint="default" w:ascii="Times New Roman" w:hAnsi="Times New Roman" w:cs="Times New Roman"/>
                      <w:lang w:val="en-US" w:eastAsia="zh-CN"/>
                    </w:rPr>
                    <w:t>）</w:t>
                  </w:r>
                </w:p>
              </w:tc>
              <w:tc>
                <w:tcPr>
                  <w:tcW w:w="59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处</w:t>
                  </w:r>
                </w:p>
              </w:tc>
              <w:tc>
                <w:tcPr>
                  <w:tcW w:w="55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1</w:t>
                  </w:r>
                </w:p>
              </w:tc>
              <w:tc>
                <w:tcPr>
                  <w:tcW w:w="775"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eastAsia="宋体" w:cs="Times New Roman"/>
                      <w:lang w:val="en-US" w:eastAsia="zh-CN"/>
                    </w:rPr>
                  </w:pPr>
                  <w:r>
                    <w:rPr>
                      <w:rFonts w:hint="eastAsia" w:cs="Times New Roman"/>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0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p>
              </w:tc>
              <w:tc>
                <w:tcPr>
                  <w:tcW w:w="246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危废暂存间1个</w:t>
                  </w:r>
                  <w:r>
                    <w:rPr>
                      <w:rFonts w:hint="default" w:ascii="Times New Roman" w:hAnsi="Times New Roman" w:cs="Times New Roman"/>
                      <w:lang w:eastAsia="zh-CN"/>
                    </w:rPr>
                    <w:t>（面积</w:t>
                  </w:r>
                  <w:r>
                    <w:rPr>
                      <w:rFonts w:hint="default" w:ascii="Times New Roman" w:hAnsi="Times New Roman" w:cs="Times New Roman"/>
                      <w:lang w:val="en-US" w:eastAsia="zh-CN"/>
                    </w:rPr>
                    <w:t>15</w:t>
                  </w:r>
                  <w:r>
                    <w:rPr>
                      <w:rFonts w:hint="eastAsia" w:cs="Times New Roman"/>
                      <w:lang w:val="en-US" w:eastAsia="zh-CN"/>
                    </w:rPr>
                    <w:t>m</w:t>
                  </w:r>
                  <w:r>
                    <w:rPr>
                      <w:rFonts w:hint="eastAsia" w:cs="Times New Roman"/>
                      <w:vertAlign w:val="superscript"/>
                      <w:lang w:val="en-US" w:eastAsia="zh-CN"/>
                    </w:rPr>
                    <w:t>2</w:t>
                  </w:r>
                  <w:r>
                    <w:rPr>
                      <w:rFonts w:hint="default" w:ascii="Times New Roman" w:hAnsi="Times New Roman" w:cs="Times New Roman"/>
                      <w:lang w:val="en-US" w:eastAsia="zh-CN"/>
                    </w:rPr>
                    <w:t>，位于厂房四楼</w:t>
                  </w:r>
                  <w:r>
                    <w:rPr>
                      <w:rFonts w:hint="default" w:ascii="Times New Roman" w:hAnsi="Times New Roman" w:cs="Times New Roman"/>
                      <w:lang w:eastAsia="zh-CN"/>
                    </w:rPr>
                    <w:t>）</w:t>
                  </w:r>
                  <w:r>
                    <w:rPr>
                      <w:rFonts w:hint="default" w:ascii="Times New Roman" w:hAnsi="Times New Roman" w:cs="Times New Roman"/>
                    </w:rPr>
                    <w:t>，采取“四防”（防风、防雨、防晒、防渗漏），且必须安装泄漏液体收集装置，危险废物分类收集暂存+定期交由有资质单位处置+并签订危废协议</w:t>
                  </w:r>
                </w:p>
              </w:tc>
              <w:tc>
                <w:tcPr>
                  <w:tcW w:w="59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处</w:t>
                  </w:r>
                </w:p>
              </w:tc>
              <w:tc>
                <w:tcPr>
                  <w:tcW w:w="55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1</w:t>
                  </w:r>
                </w:p>
              </w:tc>
              <w:tc>
                <w:tcPr>
                  <w:tcW w:w="775"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eastAsia="宋体" w:cs="Times New Roman"/>
                      <w:lang w:val="en-US" w:eastAsia="zh-CN"/>
                    </w:rPr>
                  </w:pPr>
                  <w:r>
                    <w:rPr>
                      <w:rFonts w:hint="eastAsia" w:cs="Times New Roman"/>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0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rPr>
                    <w:t>风险防治</w:t>
                  </w:r>
                </w:p>
              </w:tc>
              <w:tc>
                <w:tcPr>
                  <w:tcW w:w="246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eastAsia="宋体" w:cs="Times New Roman"/>
                      <w:spacing w:val="-1"/>
                      <w:sz w:val="21"/>
                      <w:szCs w:val="21"/>
                    </w:rPr>
                    <w:t>车间通风、配备消防设施、防护器具及管理措施</w:t>
                  </w:r>
                  <w:r>
                    <w:rPr>
                      <w:rFonts w:hint="eastAsia" w:eastAsia="宋体" w:cs="Times New Roman"/>
                      <w:spacing w:val="-1"/>
                      <w:sz w:val="21"/>
                      <w:szCs w:val="21"/>
                      <w:lang w:eastAsia="zh-CN"/>
                    </w:rPr>
                    <w:t>、</w:t>
                  </w:r>
                  <w:r>
                    <w:rPr>
                      <w:rFonts w:hint="eastAsia" w:eastAsia="宋体" w:cs="Times New Roman"/>
                      <w:spacing w:val="-1"/>
                      <w:sz w:val="21"/>
                      <w:szCs w:val="21"/>
                      <w:lang w:val="en-US" w:eastAsia="zh-CN"/>
                    </w:rPr>
                    <w:t>事故应急池（100m</w:t>
                  </w:r>
                  <w:r>
                    <w:rPr>
                      <w:rFonts w:hint="eastAsia" w:eastAsia="宋体" w:cs="Times New Roman"/>
                      <w:spacing w:val="-1"/>
                      <w:sz w:val="21"/>
                      <w:szCs w:val="21"/>
                      <w:vertAlign w:val="superscript"/>
                      <w:lang w:val="en-US" w:eastAsia="zh-CN"/>
                    </w:rPr>
                    <w:t>3</w:t>
                  </w:r>
                  <w:r>
                    <w:rPr>
                      <w:rFonts w:hint="eastAsia" w:eastAsia="宋体" w:cs="Times New Roman"/>
                      <w:spacing w:val="-1"/>
                      <w:sz w:val="21"/>
                      <w:szCs w:val="21"/>
                      <w:lang w:val="en-US" w:eastAsia="zh-CN"/>
                    </w:rPr>
                    <w:t>）</w:t>
                  </w:r>
                  <w:r>
                    <w:rPr>
                      <w:rFonts w:hint="default" w:ascii="Times New Roman" w:hAnsi="Times New Roman" w:eastAsia="宋体" w:cs="Times New Roman"/>
                      <w:spacing w:val="-1"/>
                      <w:sz w:val="21"/>
                      <w:szCs w:val="21"/>
                    </w:rPr>
                    <w:t>等</w:t>
                  </w:r>
                </w:p>
              </w:tc>
              <w:tc>
                <w:tcPr>
                  <w:tcW w:w="59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lang w:val="en-US" w:eastAsia="zh-CN"/>
                    </w:rPr>
                  </w:pPr>
                  <w:r>
                    <w:rPr>
                      <w:rFonts w:hint="default" w:ascii="Times New Roman" w:hAnsi="Times New Roman" w:cs="Times New Roman"/>
                    </w:rPr>
                    <w:t>/</w:t>
                  </w:r>
                </w:p>
              </w:tc>
              <w:tc>
                <w:tcPr>
                  <w:tcW w:w="55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w:t>
                  </w:r>
                </w:p>
              </w:tc>
              <w:tc>
                <w:tcPr>
                  <w:tcW w:w="775"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eastAsia="宋体" w:cs="Times New Roman"/>
                      <w:lang w:val="en-US" w:eastAsia="zh-CN"/>
                    </w:rPr>
                  </w:pPr>
                  <w:r>
                    <w:rPr>
                      <w:rFonts w:hint="eastAsia" w:cs="Times New Roman"/>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合计</w:t>
                  </w:r>
                </w:p>
              </w:tc>
              <w:tc>
                <w:tcPr>
                  <w:tcW w:w="246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w:t>
                  </w:r>
                </w:p>
              </w:tc>
              <w:tc>
                <w:tcPr>
                  <w:tcW w:w="598"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w:t>
                  </w:r>
                </w:p>
              </w:tc>
              <w:tc>
                <w:tcPr>
                  <w:tcW w:w="553"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cs="Times New Roman"/>
                    </w:rPr>
                  </w:pPr>
                  <w:r>
                    <w:rPr>
                      <w:rFonts w:hint="default" w:ascii="Times New Roman" w:hAnsi="Times New Roman" w:cs="Times New Roman"/>
                    </w:rPr>
                    <w:t>/</w:t>
                  </w:r>
                </w:p>
              </w:tc>
              <w:tc>
                <w:tcPr>
                  <w:tcW w:w="775" w:type="pct"/>
                  <w:tcBorders>
                    <w:top w:val="single" w:color="auto" w:sz="4" w:space="0"/>
                    <w:left w:val="single" w:color="auto" w:sz="4" w:space="0"/>
                    <w:bottom w:val="single" w:color="auto" w:sz="4" w:space="0"/>
                    <w:right w:val="single" w:color="auto" w:sz="4" w:space="0"/>
                  </w:tcBorders>
                  <w:noWrap w:val="0"/>
                  <w:vAlign w:val="center"/>
                </w:tcPr>
                <w:p>
                  <w:pPr>
                    <w:pStyle w:val="26"/>
                    <w:bidi w:val="0"/>
                    <w:jc w:val="center"/>
                    <w:rPr>
                      <w:rFonts w:hint="default" w:ascii="Times New Roman" w:hAnsi="Times New Roman" w:eastAsia="宋体" w:cs="Times New Roman"/>
                      <w:lang w:val="en-US" w:eastAsia="zh-CN"/>
                    </w:rPr>
                  </w:pPr>
                  <w:r>
                    <w:rPr>
                      <w:rFonts w:hint="eastAsia" w:cs="Times New Roman"/>
                      <w:lang w:val="en-US" w:eastAsia="zh-CN"/>
                    </w:rPr>
                    <w:t>278</w:t>
                  </w:r>
                </w:p>
              </w:tc>
            </w:tr>
          </w:tbl>
          <w:p>
            <w:pPr>
              <w:ind w:left="0" w:leftChars="0" w:firstLine="0" w:firstLineChars="0"/>
              <w:rPr>
                <w:rFonts w:hint="default" w:ascii="Times New Roman" w:hAnsi="Times New Roman" w:eastAsia="宋体" w:cs="Times New Roman"/>
                <w:bCs/>
                <w:color w:val="FF0000"/>
                <w:spacing w:val="-10"/>
                <w:sz w:val="24"/>
                <w:szCs w:val="24"/>
              </w:rPr>
            </w:pPr>
          </w:p>
        </w:tc>
      </w:tr>
    </w:tbl>
    <w:p>
      <w:pPr>
        <w:pStyle w:val="5"/>
        <w:bidi w:val="0"/>
        <w:jc w:val="center"/>
      </w:pPr>
      <w:bookmarkStart w:id="9" w:name="_Toc4705"/>
      <w:r>
        <w:rPr>
          <w:rFonts w:hint="eastAsia"/>
        </w:rPr>
        <w:t>五、</w:t>
      </w:r>
      <w:bookmarkStart w:id="10" w:name="_Hlk54167917"/>
      <w:r>
        <w:rPr>
          <w:rFonts w:hint="eastAsia"/>
        </w:rPr>
        <w:t>环境保护措施监督检查清单</w:t>
      </w:r>
      <w:bookmarkEnd w:id="9"/>
      <w:bookmarkEnd w:id="10"/>
    </w:p>
    <w:tbl>
      <w:tblPr>
        <w:tblStyle w:val="17"/>
        <w:tblW w:w="92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97"/>
        <w:gridCol w:w="1313"/>
        <w:gridCol w:w="1335"/>
        <w:gridCol w:w="1756"/>
        <w:gridCol w:w="28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97" w:type="dxa"/>
            <w:tcBorders>
              <w:tl2br w:val="single" w:color="auto" w:sz="4" w:space="0"/>
            </w:tcBorders>
            <w:noWrap w:val="0"/>
            <w:vAlign w:val="top"/>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内容</w:t>
            </w:r>
          </w:p>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p>
            <w:pPr>
              <w:adjustRightInd w:val="0"/>
              <w:snapToGrid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要素</w:t>
            </w:r>
          </w:p>
        </w:tc>
        <w:tc>
          <w:tcPr>
            <w:tcW w:w="131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排放口</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编号、名称</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/污染源</w:t>
            </w:r>
          </w:p>
        </w:tc>
        <w:tc>
          <w:tcPr>
            <w:tcW w:w="133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污染物项目</w:t>
            </w:r>
          </w:p>
        </w:tc>
        <w:tc>
          <w:tcPr>
            <w:tcW w:w="175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环境保护措施</w:t>
            </w:r>
          </w:p>
        </w:tc>
        <w:tc>
          <w:tcPr>
            <w:tcW w:w="281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97"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大气环境</w:t>
            </w:r>
          </w:p>
        </w:tc>
        <w:tc>
          <w:tcPr>
            <w:tcW w:w="131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DA001生产车间排放口</w:t>
            </w:r>
          </w:p>
        </w:tc>
        <w:tc>
          <w:tcPr>
            <w:tcW w:w="133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颗粒物</w:t>
            </w:r>
          </w:p>
        </w:tc>
        <w:tc>
          <w:tcPr>
            <w:tcW w:w="1756"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生产设备自带布袋除尘器+车间整体通风除尘系统+DA001排气筒（20m）</w:t>
            </w:r>
          </w:p>
        </w:tc>
        <w:tc>
          <w:tcPr>
            <w:tcW w:w="281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《制药工业大气污染物排放标准》（GB37823-2019）表</w:t>
            </w:r>
            <w:r>
              <w:rPr>
                <w:rFonts w:hint="eastAsia" w:ascii="Times New Roman" w:hAnsi="Times New Roman" w:eastAsia="宋体" w:cs="Times New Roman"/>
                <w:color w:val="auto"/>
                <w:sz w:val="21"/>
                <w:szCs w:val="21"/>
                <w:u w:val="single"/>
                <w:vertAlign w:val="baseline"/>
                <w:lang w:val="en-US" w:eastAsia="zh-CN"/>
              </w:rPr>
              <w:t>1</w:t>
            </w:r>
            <w:r>
              <w:rPr>
                <w:rFonts w:hint="default" w:ascii="Times New Roman" w:hAnsi="Times New Roman" w:eastAsia="宋体" w:cs="Times New Roman"/>
                <w:color w:val="auto"/>
                <w:sz w:val="21"/>
                <w:szCs w:val="21"/>
                <w:u w:val="single"/>
                <w:vertAlign w:val="baseline"/>
                <w:lang w:val="en-US" w:eastAsia="zh-CN"/>
              </w:rPr>
              <w:t>标准要求</w:t>
            </w:r>
            <w:r>
              <w:rPr>
                <w:rFonts w:hint="eastAsia" w:ascii="Times New Roman" w:hAnsi="Times New Roman" w:eastAsia="宋体" w:cs="Times New Roman"/>
                <w:color w:val="auto"/>
                <w:sz w:val="21"/>
                <w:szCs w:val="21"/>
                <w:u w:val="single"/>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9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31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生产车间无组织排放</w:t>
            </w:r>
          </w:p>
        </w:tc>
        <w:tc>
          <w:tcPr>
            <w:tcW w:w="133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175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81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《大气污染物综合排放标准》（GB16297-1996）表2标准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31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DA002实验室排放口</w:t>
            </w:r>
          </w:p>
        </w:tc>
        <w:tc>
          <w:tcPr>
            <w:tcW w:w="133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非甲烷总烃</w:t>
            </w:r>
          </w:p>
        </w:tc>
        <w:tc>
          <w:tcPr>
            <w:tcW w:w="175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过滤棉除湿+活性炭吸附装置</w:t>
            </w:r>
            <w:r>
              <w:rPr>
                <w:rFonts w:hint="eastAsia" w:ascii="Times New Roman" w:hAnsi="Times New Roman" w:eastAsia="宋体" w:cs="Times New Roman"/>
                <w:color w:val="auto"/>
                <w:sz w:val="21"/>
                <w:szCs w:val="21"/>
                <w:u w:val="single"/>
                <w:vertAlign w:val="baseline"/>
                <w:lang w:val="en-US" w:eastAsia="zh-CN"/>
              </w:rPr>
              <w:t>+DA002排气筒（25m）</w:t>
            </w:r>
          </w:p>
        </w:tc>
        <w:tc>
          <w:tcPr>
            <w:tcW w:w="281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《制药工业大气污染物排放标准》（GB37823-2019）表</w:t>
            </w:r>
            <w:r>
              <w:rPr>
                <w:rFonts w:hint="eastAsia" w:ascii="Times New Roman" w:hAnsi="Times New Roman" w:eastAsia="宋体" w:cs="Times New Roman"/>
                <w:color w:val="auto"/>
                <w:sz w:val="21"/>
                <w:szCs w:val="21"/>
                <w:u w:val="single"/>
                <w:vertAlign w:val="baseline"/>
                <w:lang w:val="en-US" w:eastAsia="zh-CN"/>
              </w:rPr>
              <w:t>1</w:t>
            </w:r>
            <w:r>
              <w:rPr>
                <w:rFonts w:hint="default" w:ascii="Times New Roman" w:hAnsi="Times New Roman" w:eastAsia="宋体" w:cs="Times New Roman"/>
                <w:color w:val="auto"/>
                <w:sz w:val="21"/>
                <w:szCs w:val="21"/>
                <w:u w:val="single"/>
                <w:vertAlign w:val="baseline"/>
                <w:lang w:val="en-US" w:eastAsia="zh-CN"/>
              </w:rPr>
              <w:t>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313"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实验室无组织排放</w:t>
            </w:r>
          </w:p>
        </w:tc>
        <w:tc>
          <w:tcPr>
            <w:tcW w:w="1335"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非甲烷总烃</w:t>
            </w:r>
          </w:p>
        </w:tc>
        <w:tc>
          <w:tcPr>
            <w:tcW w:w="175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81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99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313" w:type="dxa"/>
            <w:vMerge w:val="restar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污水处理站废气无组织排放</w:t>
            </w:r>
          </w:p>
        </w:tc>
        <w:tc>
          <w:tcPr>
            <w:tcW w:w="1335"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氨气</w:t>
            </w:r>
          </w:p>
        </w:tc>
        <w:tc>
          <w:tcPr>
            <w:tcW w:w="1756"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818"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《恶臭污染物排放标准》（GB14554-93）表1二级标准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313"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1335"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硫化氢</w:t>
            </w:r>
          </w:p>
        </w:tc>
        <w:tc>
          <w:tcPr>
            <w:tcW w:w="1756"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2818"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地表水环境</w:t>
            </w:r>
          </w:p>
        </w:tc>
        <w:tc>
          <w:tcPr>
            <w:tcW w:w="131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DW001</w:t>
            </w:r>
            <w:r>
              <w:rPr>
                <w:rFonts w:hint="default" w:ascii="Times New Roman" w:hAnsi="Times New Roman" w:eastAsia="宋体" w:cs="Times New Roman"/>
                <w:color w:val="auto"/>
                <w:sz w:val="21"/>
                <w:szCs w:val="21"/>
                <w:vertAlign w:val="baseline"/>
                <w:lang w:val="en-US" w:eastAsia="zh-CN"/>
              </w:rPr>
              <w:t>废水总排口</w:t>
            </w:r>
          </w:p>
        </w:tc>
        <w:tc>
          <w:tcPr>
            <w:tcW w:w="133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pH值、化学需氧量、氨氮</w:t>
            </w:r>
            <w:r>
              <w:rPr>
                <w:rFonts w:hint="eastAsia" w:ascii="Times New Roman" w:hAnsi="Times New Roman" w:eastAsia="宋体" w:cs="Times New Roman"/>
                <w:color w:val="auto"/>
                <w:sz w:val="21"/>
                <w:szCs w:val="21"/>
                <w:vertAlign w:val="baseline"/>
                <w:lang w:val="en-US" w:eastAsia="zh-CN"/>
              </w:rPr>
              <w:t>、总磷、总氮、悬浮物、五日生化需氧量</w:t>
            </w:r>
          </w:p>
        </w:tc>
        <w:tc>
          <w:tcPr>
            <w:tcW w:w="175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混凝沉淀+厌氧水解+A/O</w:t>
            </w:r>
            <w:r>
              <w:rPr>
                <w:rFonts w:hint="eastAsia" w:ascii="Times New Roman" w:hAnsi="Times New Roman" w:eastAsia="宋体" w:cs="Times New Roman"/>
                <w:color w:val="auto"/>
                <w:sz w:val="21"/>
                <w:szCs w:val="21"/>
                <w:vertAlign w:val="baseline"/>
                <w:lang w:val="en-US" w:eastAsia="zh-CN"/>
              </w:rPr>
              <w:t>处理后</w:t>
            </w:r>
            <w:r>
              <w:rPr>
                <w:rFonts w:hint="default" w:ascii="Times New Roman" w:hAnsi="Times New Roman" w:eastAsia="宋体" w:cs="Times New Roman"/>
                <w:color w:val="auto"/>
                <w:sz w:val="21"/>
                <w:szCs w:val="21"/>
                <w:vertAlign w:val="baseline"/>
                <w:lang w:val="en-US" w:eastAsia="zh-CN"/>
              </w:rPr>
              <w:t>排入园区</w:t>
            </w:r>
            <w:r>
              <w:rPr>
                <w:rFonts w:hint="eastAsia" w:ascii="Times New Roman" w:hAnsi="Times New Roman" w:eastAsia="宋体" w:cs="Times New Roman"/>
                <w:color w:val="auto"/>
                <w:sz w:val="21"/>
                <w:szCs w:val="21"/>
                <w:vertAlign w:val="baseline"/>
                <w:lang w:val="en-US" w:eastAsia="zh-CN"/>
              </w:rPr>
              <w:t>污</w:t>
            </w:r>
            <w:r>
              <w:rPr>
                <w:rFonts w:hint="default" w:ascii="Times New Roman" w:hAnsi="Times New Roman" w:eastAsia="宋体" w:cs="Times New Roman"/>
                <w:color w:val="auto"/>
                <w:sz w:val="21"/>
                <w:szCs w:val="21"/>
                <w:vertAlign w:val="baseline"/>
                <w:lang w:val="en-US" w:eastAsia="zh-CN"/>
              </w:rPr>
              <w:t>水管网</w:t>
            </w:r>
          </w:p>
        </w:tc>
        <w:tc>
          <w:tcPr>
            <w:tcW w:w="281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满足</w:t>
            </w:r>
            <w:r>
              <w:rPr>
                <w:rFonts w:hint="default" w:ascii="Times New Roman" w:hAnsi="Times New Roman" w:eastAsia="宋体" w:cs="Times New Roman"/>
                <w:color w:val="auto"/>
                <w:sz w:val="21"/>
                <w:szCs w:val="21"/>
                <w:vertAlign w:val="baseline"/>
                <w:lang w:val="en-US" w:eastAsia="zh-CN"/>
              </w:rPr>
              <w:t>德山污水处理厂进水水质标准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声环境</w:t>
            </w:r>
          </w:p>
        </w:tc>
        <w:tc>
          <w:tcPr>
            <w:tcW w:w="131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厂区生产设备</w:t>
            </w:r>
          </w:p>
        </w:tc>
        <w:tc>
          <w:tcPr>
            <w:tcW w:w="133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等效A声级</w:t>
            </w:r>
          </w:p>
        </w:tc>
        <w:tc>
          <w:tcPr>
            <w:tcW w:w="175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基础减震、厂房隔声等措施</w:t>
            </w:r>
          </w:p>
        </w:tc>
        <w:tc>
          <w:tcPr>
            <w:tcW w:w="281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厂界声环境满足《工业企业厂界环境噪声排放标准》3、4类标准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电磁辐射</w:t>
            </w:r>
          </w:p>
        </w:tc>
        <w:tc>
          <w:tcPr>
            <w:tcW w:w="131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33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756"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281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9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固体废物</w:t>
            </w:r>
          </w:p>
        </w:tc>
        <w:tc>
          <w:tcPr>
            <w:tcW w:w="7222" w:type="dxa"/>
            <w:gridSpan w:val="4"/>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一般固废交由环卫部门处理，普通废包装材料外售处置，淤泥委托相关单位定期清运，危险废物委托有资质单位处理。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19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土壤及地下水污染防治措施</w:t>
            </w:r>
          </w:p>
        </w:tc>
        <w:tc>
          <w:tcPr>
            <w:tcW w:w="7222" w:type="dxa"/>
            <w:gridSpan w:val="4"/>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根据《环境影响评价技术导则-地下水环境》（HJ610-2016）关于分区防控</w:t>
            </w:r>
          </w:p>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措施的相关规定，危废暂存间</w:t>
            </w:r>
            <w:r>
              <w:rPr>
                <w:rFonts w:hint="eastAsia" w:ascii="Times New Roman" w:hAnsi="Times New Roman" w:eastAsia="宋体" w:cs="Times New Roman"/>
                <w:color w:val="auto"/>
                <w:sz w:val="21"/>
                <w:szCs w:val="21"/>
                <w:vertAlign w:val="baseline"/>
                <w:lang w:val="en-US" w:eastAsia="zh-CN"/>
              </w:rPr>
              <w:t>、污水处理站</w:t>
            </w:r>
            <w:r>
              <w:rPr>
                <w:rFonts w:hint="default" w:ascii="Times New Roman" w:hAnsi="Times New Roman" w:eastAsia="宋体" w:cs="Times New Roman"/>
                <w:color w:val="auto"/>
                <w:sz w:val="21"/>
                <w:szCs w:val="21"/>
                <w:vertAlign w:val="baseline"/>
                <w:lang w:val="en-US" w:eastAsia="zh-CN"/>
              </w:rPr>
              <w:t>等处划分为重点防渗区，</w:t>
            </w:r>
            <w:r>
              <w:rPr>
                <w:rFonts w:hint="eastAsia" w:ascii="Times New Roman" w:hAnsi="Times New Roman" w:eastAsia="宋体" w:cs="Times New Roman"/>
                <w:color w:val="auto"/>
                <w:sz w:val="21"/>
                <w:szCs w:val="21"/>
                <w:vertAlign w:val="baseline"/>
                <w:lang w:val="en-US" w:eastAsia="zh-CN"/>
              </w:rPr>
              <w:t>生产</w:t>
            </w:r>
            <w:r>
              <w:rPr>
                <w:rFonts w:hint="default" w:ascii="Times New Roman" w:hAnsi="Times New Roman" w:eastAsia="宋体" w:cs="Times New Roman"/>
                <w:color w:val="auto"/>
                <w:sz w:val="21"/>
                <w:szCs w:val="21"/>
                <w:vertAlign w:val="baseline"/>
                <w:lang w:val="en-US" w:eastAsia="zh-CN"/>
              </w:rPr>
              <w:t>车间、仓库划分为一般防渗区，其他区域划分为简单防渗区，分区防渗。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19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生态保护措施</w:t>
            </w:r>
          </w:p>
        </w:tc>
        <w:tc>
          <w:tcPr>
            <w:tcW w:w="7222" w:type="dxa"/>
            <w:gridSpan w:val="4"/>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营运期：本项目</w:t>
            </w:r>
            <w:r>
              <w:rPr>
                <w:rFonts w:hint="eastAsia" w:ascii="Times New Roman" w:hAnsi="Times New Roman" w:eastAsia="宋体" w:cs="Times New Roman"/>
                <w:color w:val="auto"/>
                <w:sz w:val="21"/>
                <w:szCs w:val="21"/>
                <w:vertAlign w:val="baseline"/>
                <w:lang w:val="en-US" w:eastAsia="zh-CN"/>
              </w:rPr>
              <w:t>施工期完成</w:t>
            </w:r>
            <w:r>
              <w:rPr>
                <w:rFonts w:hint="default" w:ascii="Times New Roman" w:hAnsi="Times New Roman" w:eastAsia="宋体" w:cs="Times New Roman"/>
                <w:color w:val="auto"/>
                <w:sz w:val="21"/>
                <w:szCs w:val="21"/>
                <w:vertAlign w:val="baseline"/>
                <w:lang w:val="en-US" w:eastAsia="zh-CN"/>
              </w:rPr>
              <w:t>后，环评建议将厂区的植被进行完善，增加厂界四周的人工绿化，增加优质树种，使建筑与绿化相衬一体。优化设计，采用本地树种，合理绿化，有利于噪声、废气的控制。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9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环境风险</w:t>
            </w:r>
          </w:p>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防范措施</w:t>
            </w:r>
          </w:p>
        </w:tc>
        <w:tc>
          <w:tcPr>
            <w:tcW w:w="7222" w:type="dxa"/>
            <w:gridSpan w:val="4"/>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企业应根据湖南省生态环境厅印发《湖南省突发环境事件应急预案管理办法（2024修订版）》（湘环发[2024]49号）相关要求，开展企业突发环境事件应急预案编制及备案工作，设置专门的负责人；建设单位应</w:t>
            </w:r>
          </w:p>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准备充足的应急物资，保证发生突发环境事件时，能够有物资控制事故；保证事故发生时，工作人员能够积极应对；加强全员教育和培训，增强安全意识，提高安全操作技能和事故应急处理能力。危废的贮存应符合《危险废物暂存污染控制标准》规范等。建设单位需委托有资质单位进行安全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99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其他环境</w:t>
            </w:r>
          </w:p>
          <w:p>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管理要求</w:t>
            </w:r>
          </w:p>
        </w:tc>
        <w:tc>
          <w:tcPr>
            <w:tcW w:w="7222" w:type="dxa"/>
            <w:gridSpan w:val="4"/>
            <w:noWrap w:val="0"/>
            <w:vAlign w:val="center"/>
          </w:tcPr>
          <w:p>
            <w:pPr>
              <w:adjustRightInd w:val="0"/>
              <w:snapToGrid w:val="0"/>
              <w:spacing w:line="240" w:lineRule="auto"/>
              <w:jc w:val="left"/>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规范化排污口建设：</w:t>
            </w:r>
          </w:p>
          <w:p>
            <w:pPr>
              <w:adjustRightInd w:val="0"/>
              <w:snapToGrid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（1）排放口设置要求</w:t>
            </w:r>
          </w:p>
          <w:p>
            <w:pPr>
              <w:adjustRightInd w:val="0"/>
              <w:snapToGrid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根据《关于开展排放口规范化整治工作的通知》（环发〔1999〕24号），凡生产经营场所集中在一个地点的单位，原则上只允许设污水和“清下水”排污口各一个。确因特殊原因需要增加排污口，须报经环保部门审核同意。本项目设置一个污水排放口。污水排放口位置设置在厂区东面，设置一段长度不小于1米长的明渠（长、宽、高要规则，便于测量）。</w:t>
            </w:r>
          </w:p>
          <w:p>
            <w:pPr>
              <w:adjustRightInd w:val="0"/>
              <w:snapToGrid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排气筒（烟囱）应设置便于采样、监测的采样口和采样监测平台。有净化设施的，应在其进出口分别设置采样口及采样监测平台。</w:t>
            </w:r>
          </w:p>
          <w:p>
            <w:pPr>
              <w:adjustRightInd w:val="0"/>
              <w:snapToGrid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有毒有害固体废物等危险废物，必须设置专用堆放场地，有防扬散、防流失、防渗漏等防治措施并符合国家标准的要求。</w:t>
            </w:r>
          </w:p>
          <w:p>
            <w:pPr>
              <w:adjustRightInd w:val="0"/>
              <w:snapToGrid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（2）排污口标志设置的基本要求：</w:t>
            </w:r>
          </w:p>
          <w:p>
            <w:pPr>
              <w:adjustRightInd w:val="0"/>
              <w:snapToGrid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①一切排污者的排污口（源）和固体废物贮存、处置场所，必须按照国家标准《环境保护图形标志》（GB15562.1-1995、GB15562.2-1995）的规定，设置与之相适应的环境保护图形标志牌。标志牌按标准制作。</w:t>
            </w:r>
          </w:p>
          <w:p>
            <w:pPr>
              <w:adjustRightInd w:val="0"/>
              <w:snapToGrid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②环境保护图形标志牌应设置在距排污口（源）及固体废物贮存（处置）场所或采样点较近且醒目处，并能长久保留。设置高度一般为：环境保护图形标志牌上缘距离地面2米。</w:t>
            </w:r>
          </w:p>
          <w:p>
            <w:pPr>
              <w:adjustRightInd w:val="0"/>
              <w:snapToGrid w:val="0"/>
              <w:spacing w:line="240" w:lineRule="auto"/>
              <w:jc w:val="left"/>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排污许可证申领：</w:t>
            </w:r>
          </w:p>
          <w:p>
            <w:pPr>
              <w:adjustRightInd w:val="0"/>
              <w:snapToGrid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根据《固定污染源排污许可分类管理名录（2019年版）》，本项目属于</w:t>
            </w:r>
            <w:r>
              <w:rPr>
                <w:rFonts w:hint="eastAsia" w:ascii="Times New Roman" w:hAnsi="Times New Roman" w:eastAsia="宋体" w:cs="Times New Roman"/>
                <w:color w:val="auto"/>
                <w:sz w:val="21"/>
                <w:szCs w:val="21"/>
                <w:vertAlign w:val="baseline"/>
                <w:lang w:val="en-US" w:eastAsia="zh-CN"/>
              </w:rPr>
              <w:t>“二十二、医药制造业27—</w:t>
            </w:r>
            <w:r>
              <w:rPr>
                <w:rFonts w:hint="default" w:ascii="Times New Roman" w:hAnsi="Times New Roman" w:eastAsia="宋体" w:cs="Times New Roman"/>
                <w:color w:val="auto"/>
                <w:sz w:val="21"/>
                <w:szCs w:val="21"/>
                <w:vertAlign w:val="baseline"/>
                <w:lang w:val="en-US" w:eastAsia="zh-CN"/>
              </w:rPr>
              <w:t>化学药品制剂制造272</w:t>
            </w:r>
            <w:r>
              <w:rPr>
                <w:rFonts w:hint="eastAsia" w:ascii="Times New Roman" w:hAnsi="Times New Roman" w:eastAsia="宋体" w:cs="Times New Roman"/>
                <w:color w:val="auto"/>
                <w:sz w:val="21"/>
                <w:szCs w:val="21"/>
                <w:vertAlign w:val="baseline"/>
                <w:lang w:val="en-US" w:eastAsia="zh-CN"/>
              </w:rPr>
              <w:t>中的单纯混合及分装的”</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均属于登记</w:t>
            </w:r>
            <w:r>
              <w:rPr>
                <w:rFonts w:hint="default" w:ascii="Times New Roman" w:hAnsi="Times New Roman" w:eastAsia="宋体" w:cs="Times New Roman"/>
                <w:color w:val="auto"/>
                <w:sz w:val="21"/>
                <w:szCs w:val="21"/>
                <w:vertAlign w:val="baseline"/>
                <w:lang w:val="en-US" w:eastAsia="zh-CN"/>
              </w:rPr>
              <w:t>管理</w:t>
            </w:r>
            <w:r>
              <w:rPr>
                <w:rFonts w:hint="eastAsia" w:ascii="Times New Roman" w:hAnsi="Times New Roman" w:eastAsia="宋体" w:cs="Times New Roman"/>
                <w:color w:val="auto"/>
                <w:sz w:val="21"/>
                <w:szCs w:val="21"/>
                <w:vertAlign w:val="baseline"/>
                <w:lang w:val="en-US" w:eastAsia="zh-CN"/>
              </w:rPr>
              <w:t>范畴</w:t>
            </w:r>
            <w:r>
              <w:rPr>
                <w:rFonts w:hint="default" w:ascii="Times New Roman" w:hAnsi="Times New Roman" w:eastAsia="宋体" w:cs="Times New Roman"/>
                <w:color w:val="auto"/>
                <w:sz w:val="21"/>
                <w:szCs w:val="21"/>
                <w:vertAlign w:val="baseline"/>
                <w:lang w:val="en-US" w:eastAsia="zh-CN"/>
              </w:rPr>
              <w:t>。</w:t>
            </w:r>
          </w:p>
          <w:p>
            <w:pPr>
              <w:adjustRightInd w:val="0"/>
              <w:snapToGrid w:val="0"/>
              <w:spacing w:line="240" w:lineRule="auto"/>
              <w:jc w:val="left"/>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环评要求本项目建成投产前，建设单位应按照《排污许可管理条例》、《排污许可证申请与核发技术规范制药工业—化学药品制剂制造》完成排污许可</w:t>
            </w:r>
            <w:r>
              <w:rPr>
                <w:rFonts w:hint="eastAsia" w:ascii="Times New Roman" w:hAnsi="Times New Roman" w:eastAsia="宋体" w:cs="Times New Roman"/>
                <w:color w:val="auto"/>
                <w:sz w:val="21"/>
                <w:szCs w:val="21"/>
                <w:vertAlign w:val="baseline"/>
                <w:lang w:val="en-US" w:eastAsia="zh-CN"/>
              </w:rPr>
              <w:t>登记填报</w:t>
            </w:r>
            <w:r>
              <w:rPr>
                <w:rFonts w:hint="default" w:ascii="Times New Roman" w:hAnsi="Times New Roman" w:eastAsia="宋体" w:cs="Times New Roman"/>
                <w:color w:val="auto"/>
                <w:sz w:val="21"/>
                <w:szCs w:val="21"/>
                <w:vertAlign w:val="baseline"/>
                <w:lang w:val="en-US" w:eastAsia="zh-CN"/>
              </w:rPr>
              <w:t>。</w:t>
            </w:r>
          </w:p>
          <w:p>
            <w:pPr>
              <w:adjustRightInd w:val="0"/>
              <w:snapToGrid w:val="0"/>
              <w:spacing w:line="240" w:lineRule="auto"/>
              <w:jc w:val="left"/>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竣工环保验收：</w:t>
            </w:r>
          </w:p>
          <w:p>
            <w:pPr>
              <w:adjustRightInd w:val="0"/>
              <w:snapToGrid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按照《建设项目竣工环境保护验收暂行办法》中的要求，</w:t>
            </w:r>
          </w:p>
          <w:p>
            <w:pPr>
              <w:adjustRightInd w:val="0"/>
              <w:snapToGrid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（1）在建设项目竣工后、正式投入生产或运行前，企业按照环境影响报告表及其批复文件要求，对与主体工程配套建设的环境保护设施落实情况进行查验。</w:t>
            </w:r>
          </w:p>
          <w:p>
            <w:pPr>
              <w:adjustRightInd w:val="0"/>
              <w:snapToGrid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按照环境保护主管部门制定的竣工环境保护验收技术规范，企业自行编制或委托具备相应技术能力的机构，对建设项目环境保护设施落实情况进行调查，开展相关环境监测，编制竣工环境保护验收调查（监测）报告。企业、验收调查（监测）机构及其相关人员对验收调查（监测）报告结论终身负责。</w:t>
            </w:r>
          </w:p>
          <w:p>
            <w:pPr>
              <w:adjustRightInd w:val="0"/>
              <w:snapToGrid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（3）验收调查（监测）报告编制完成后，由企业法人组织对建设项目环境保护设施和环境保护措施进行验收，形成书面报告备查，并向社会公开。</w:t>
            </w:r>
          </w:p>
          <w:p>
            <w:pPr>
              <w:adjustRightInd w:val="0"/>
              <w:snapToGrid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企业自行组织竣工环境保护验收时，应成立验收组，对建设项目环境保护设施及其他环境保护措施进行资料审查、现场踏勘，形成验收意见，验收组成员名单附后。验收意见应经三分之二以上验收组成员同意。</w:t>
            </w:r>
          </w:p>
          <w:p>
            <w:pPr>
              <w:pStyle w:val="2"/>
              <w:rPr>
                <w:rFonts w:hint="default" w:ascii="Times New Roman" w:hAnsi="Times New Roman" w:eastAsia="宋体" w:cs="Times New Roman"/>
                <w:color w:val="auto"/>
                <w:sz w:val="21"/>
                <w:szCs w:val="21"/>
                <w:vertAlign w:val="baseline"/>
                <w:lang w:val="en-US" w:eastAsia="zh-CN"/>
              </w:rPr>
            </w:pPr>
          </w:p>
          <w:p>
            <w:pPr>
              <w:pStyle w:val="3"/>
              <w:rPr>
                <w:rFonts w:hint="default" w:ascii="Times New Roman" w:hAnsi="Times New Roman" w:eastAsia="宋体" w:cs="Times New Roman"/>
                <w:color w:val="auto"/>
                <w:sz w:val="21"/>
                <w:szCs w:val="21"/>
                <w:vertAlign w:val="baseline"/>
                <w:lang w:val="en-US" w:eastAsia="zh-CN"/>
              </w:rPr>
            </w:pPr>
          </w:p>
          <w:p>
            <w:pPr>
              <w:rPr>
                <w:rFonts w:hint="default" w:ascii="Times New Roman" w:hAnsi="Times New Roman" w:eastAsia="宋体" w:cs="Times New Roman"/>
                <w:color w:val="auto"/>
                <w:sz w:val="21"/>
                <w:szCs w:val="21"/>
                <w:vertAlign w:val="baseline"/>
                <w:lang w:val="en-US" w:eastAsia="zh-CN"/>
              </w:rPr>
            </w:pPr>
          </w:p>
          <w:p>
            <w:pPr>
              <w:pStyle w:val="3"/>
              <w:ind w:left="0" w:leftChars="0" w:firstLine="0" w:firstLineChars="0"/>
              <w:rPr>
                <w:rFonts w:hint="default"/>
                <w:sz w:val="21"/>
                <w:szCs w:val="21"/>
                <w:lang w:val="en-US" w:eastAsia="zh-CN"/>
              </w:rPr>
            </w:pPr>
          </w:p>
        </w:tc>
      </w:tr>
    </w:tbl>
    <w:p>
      <w:pPr>
        <w:pStyle w:val="3"/>
        <w:rPr>
          <w:color w:val="FF0000"/>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pStyle w:val="5"/>
        <w:bidi w:val="0"/>
      </w:pPr>
      <w:bookmarkStart w:id="11" w:name="_Toc24338"/>
      <w:r>
        <w:rPr>
          <w:rFonts w:hint="eastAsia"/>
        </w:rPr>
        <w:t>附表</w:t>
      </w:r>
      <w:bookmarkEnd w:id="11"/>
    </w:p>
    <w:p>
      <w:pPr>
        <w:pStyle w:val="5"/>
        <w:bidi w:val="0"/>
        <w:jc w:val="center"/>
        <w:rPr>
          <w:rFonts w:hint="eastAsia"/>
        </w:rPr>
      </w:pPr>
      <w:bookmarkStart w:id="12" w:name="_Toc23216"/>
      <w:r>
        <w:rPr>
          <w:rFonts w:hint="eastAsia"/>
        </w:rPr>
        <w:t>建设项目污染物排放量汇总表</w:t>
      </w:r>
      <w:bookmarkEnd w:id="12"/>
    </w:p>
    <w:tbl>
      <w:tblPr>
        <w:tblStyle w:val="1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2430"/>
        <w:gridCol w:w="1590"/>
        <w:gridCol w:w="1200"/>
        <w:gridCol w:w="1349"/>
        <w:gridCol w:w="1559"/>
        <w:gridCol w:w="1761"/>
        <w:gridCol w:w="1696"/>
        <w:gridCol w:w="10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14" w:type="dxa"/>
            <w:tcBorders>
              <w:tl2br w:val="single" w:color="auto" w:sz="4" w:space="0"/>
            </w:tcBorders>
            <w:noWrap w:val="0"/>
            <w:tcMar>
              <w:left w:w="28" w:type="dxa"/>
              <w:right w:w="28" w:type="dxa"/>
            </w:tcMar>
            <w:vAlign w:val="center"/>
          </w:tcPr>
          <w:p>
            <w:pPr>
              <w:pStyle w:val="26"/>
              <w:spacing w:beforeLines="0" w:afterLines="0" w:line="240" w:lineRule="auto"/>
              <w:jc w:val="center"/>
              <w:rPr>
                <w:rFonts w:hint="default" w:ascii="Times New Roman" w:hAnsi="Times New Roman" w:eastAsia="黑体" w:cs="Times New Roman"/>
                <w:snapToGrid w:val="0"/>
                <w:color w:val="auto"/>
                <w:spacing w:val="-6"/>
                <w:kern w:val="21"/>
                <w:szCs w:val="21"/>
              </w:rPr>
            </w:pPr>
            <w:r>
              <w:rPr>
                <w:rFonts w:hint="eastAsia" w:eastAsia="黑体" w:cs="Times New Roman"/>
                <w:snapToGrid w:val="0"/>
                <w:color w:val="auto"/>
                <w:spacing w:val="-6"/>
                <w:kern w:val="21"/>
                <w:szCs w:val="21"/>
                <w:lang w:val="en-US" w:eastAsia="zh-CN"/>
              </w:rPr>
              <w:t xml:space="preserve">      </w:t>
            </w:r>
            <w:r>
              <w:rPr>
                <w:rFonts w:hint="default" w:ascii="Times New Roman" w:hAnsi="Times New Roman" w:eastAsia="黑体" w:cs="Times New Roman"/>
                <w:snapToGrid w:val="0"/>
                <w:color w:val="auto"/>
                <w:spacing w:val="-6"/>
                <w:kern w:val="21"/>
                <w:szCs w:val="21"/>
              </w:rPr>
              <w:t>项目</w:t>
            </w:r>
          </w:p>
          <w:p>
            <w:pPr>
              <w:pStyle w:val="26"/>
              <w:spacing w:beforeLines="0" w:afterLines="0" w:line="240" w:lineRule="auto"/>
              <w:jc w:val="both"/>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2430" w:type="dxa"/>
            <w:noWrap w:val="0"/>
            <w:tcMar>
              <w:left w:w="28" w:type="dxa"/>
              <w:right w:w="28" w:type="dxa"/>
            </w:tcMar>
            <w:vAlign w:val="center"/>
          </w:tcPr>
          <w:p>
            <w:pPr>
              <w:pStyle w:val="26"/>
              <w:spacing w:beforeLines="0" w:afterLines="0" w:line="240" w:lineRule="auto"/>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590" w:type="dxa"/>
            <w:noWrap w:val="0"/>
            <w:tcMar>
              <w:left w:w="28" w:type="dxa"/>
              <w:right w:w="28" w:type="dxa"/>
            </w:tcMar>
            <w:vAlign w:val="center"/>
          </w:tcPr>
          <w:p>
            <w:pPr>
              <w:pStyle w:val="26"/>
              <w:spacing w:beforeLines="0" w:afterLines="0" w:line="240" w:lineRule="auto"/>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26"/>
              <w:spacing w:beforeLines="0" w:afterLines="0" w:line="240" w:lineRule="auto"/>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200" w:type="dxa"/>
            <w:noWrap w:val="0"/>
            <w:tcMar>
              <w:left w:w="28" w:type="dxa"/>
              <w:right w:w="28" w:type="dxa"/>
            </w:tcMar>
            <w:vAlign w:val="center"/>
          </w:tcPr>
          <w:p>
            <w:pPr>
              <w:pStyle w:val="26"/>
              <w:spacing w:beforeLines="0" w:afterLines="0" w:line="240" w:lineRule="auto"/>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26"/>
              <w:spacing w:beforeLines="0" w:afterLines="0" w:line="240" w:lineRule="auto"/>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pStyle w:val="26"/>
              <w:spacing w:beforeLines="0" w:afterLines="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349" w:type="dxa"/>
            <w:noWrap w:val="0"/>
            <w:tcMar>
              <w:left w:w="28" w:type="dxa"/>
              <w:right w:w="28" w:type="dxa"/>
            </w:tcMar>
            <w:vAlign w:val="center"/>
          </w:tcPr>
          <w:p>
            <w:pPr>
              <w:pStyle w:val="26"/>
              <w:spacing w:beforeLines="0" w:afterLines="0" w:line="240" w:lineRule="auto"/>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pPr>
              <w:pStyle w:val="26"/>
              <w:spacing w:beforeLines="0" w:afterLines="0" w:line="240" w:lineRule="auto"/>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noWrap w:val="0"/>
            <w:tcMar>
              <w:left w:w="28" w:type="dxa"/>
              <w:right w:w="28" w:type="dxa"/>
            </w:tcMar>
            <w:vAlign w:val="center"/>
          </w:tcPr>
          <w:p>
            <w:pPr>
              <w:pStyle w:val="26"/>
              <w:spacing w:beforeLines="0" w:afterLines="0" w:line="240" w:lineRule="auto"/>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pPr>
              <w:pStyle w:val="26"/>
              <w:spacing w:beforeLines="0" w:afterLines="0" w:line="240" w:lineRule="auto"/>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761" w:type="dxa"/>
            <w:noWrap w:val="0"/>
            <w:tcMar>
              <w:left w:w="28" w:type="dxa"/>
              <w:right w:w="28" w:type="dxa"/>
            </w:tcMar>
            <w:vAlign w:val="center"/>
          </w:tcPr>
          <w:p>
            <w:pPr>
              <w:pStyle w:val="26"/>
              <w:spacing w:beforeLines="0" w:afterLines="0" w:line="240" w:lineRule="auto"/>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pStyle w:val="26"/>
              <w:spacing w:beforeLines="0" w:afterLines="0" w:line="240" w:lineRule="auto"/>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696" w:type="dxa"/>
            <w:noWrap w:val="0"/>
            <w:tcMar>
              <w:left w:w="28" w:type="dxa"/>
              <w:right w:w="28" w:type="dxa"/>
            </w:tcMar>
            <w:vAlign w:val="center"/>
          </w:tcPr>
          <w:p>
            <w:pPr>
              <w:pStyle w:val="26"/>
              <w:spacing w:beforeLines="0" w:afterLines="0" w:line="240" w:lineRule="auto"/>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pPr>
              <w:pStyle w:val="26"/>
              <w:spacing w:beforeLines="0" w:afterLines="0" w:line="240" w:lineRule="auto"/>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089" w:type="dxa"/>
            <w:noWrap w:val="0"/>
            <w:tcMar>
              <w:left w:w="28" w:type="dxa"/>
              <w:right w:w="28" w:type="dxa"/>
            </w:tcMar>
            <w:vAlign w:val="center"/>
          </w:tcPr>
          <w:p>
            <w:pPr>
              <w:pStyle w:val="26"/>
              <w:spacing w:beforeLines="0" w:afterLines="0" w:line="240" w:lineRule="auto"/>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pStyle w:val="26"/>
              <w:spacing w:beforeLines="0" w:afterLines="0" w:line="240" w:lineRule="auto"/>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vMerge w:val="restart"/>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default" w:ascii="Times New Roman" w:hAnsi="宋体" w:eastAsia="宋体" w:cs="Times New Roman"/>
                <w:snapToGrid w:val="0"/>
                <w:color w:val="auto"/>
                <w:kern w:val="21"/>
                <w:szCs w:val="21"/>
                <w:lang w:val="en-US" w:eastAsia="zh-CN"/>
              </w:rPr>
              <w:t>废气</w:t>
            </w:r>
          </w:p>
        </w:tc>
        <w:tc>
          <w:tcPr>
            <w:tcW w:w="243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颗粒物</w:t>
            </w:r>
          </w:p>
        </w:tc>
        <w:tc>
          <w:tcPr>
            <w:tcW w:w="159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eastAsia"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0.008</w:t>
            </w:r>
            <w:r>
              <w:rPr>
                <w:rFonts w:hint="eastAsia" w:ascii="Times New Roman" w:hAnsi="Times New Roman" w:eastAsia="宋体" w:cs="Times New Roman"/>
                <w:snapToGrid w:val="0"/>
                <w:color w:val="auto"/>
                <w:kern w:val="21"/>
                <w:szCs w:val="21"/>
                <w:lang w:val="en-US" w:eastAsia="zh-CN"/>
              </w:rPr>
              <w:t>t/a</w:t>
            </w:r>
          </w:p>
        </w:tc>
        <w:tc>
          <w:tcPr>
            <w:tcW w:w="1761"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0.008</w:t>
            </w:r>
            <w:r>
              <w:rPr>
                <w:rFonts w:hint="eastAsia" w:ascii="Times New Roman" w:hAnsi="Times New Roman" w:eastAsia="宋体" w:cs="Times New Roman"/>
                <w:snapToGrid w:val="0"/>
                <w:color w:val="auto"/>
                <w:kern w:val="21"/>
                <w:szCs w:val="21"/>
                <w:lang w:val="en-US" w:eastAsia="zh-CN"/>
              </w:rPr>
              <w:t>t/a</w:t>
            </w:r>
          </w:p>
        </w:tc>
        <w:tc>
          <w:tcPr>
            <w:tcW w:w="108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+0.008</w:t>
            </w:r>
            <w:r>
              <w:rPr>
                <w:rFonts w:hint="eastAsia" w:ascii="Times New Roman" w:hAnsi="Times New Roman" w:eastAsia="宋体" w:cs="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vMerge w:val="continue"/>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p>
        </w:tc>
        <w:tc>
          <w:tcPr>
            <w:tcW w:w="243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非甲烷总烃</w:t>
            </w:r>
          </w:p>
        </w:tc>
        <w:tc>
          <w:tcPr>
            <w:tcW w:w="159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0.017</w:t>
            </w:r>
            <w:r>
              <w:rPr>
                <w:rFonts w:hint="eastAsia" w:ascii="Times New Roman" w:hAnsi="Times New Roman" w:eastAsia="宋体" w:cs="Times New Roman"/>
                <w:snapToGrid w:val="0"/>
                <w:color w:val="auto"/>
                <w:kern w:val="21"/>
                <w:szCs w:val="21"/>
                <w:lang w:val="en-US" w:eastAsia="zh-CN"/>
              </w:rPr>
              <w:t>t/a</w:t>
            </w:r>
          </w:p>
        </w:tc>
        <w:tc>
          <w:tcPr>
            <w:tcW w:w="1761"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0.017</w:t>
            </w:r>
            <w:r>
              <w:rPr>
                <w:rFonts w:hint="eastAsia" w:ascii="Times New Roman" w:hAnsi="Times New Roman" w:eastAsia="宋体" w:cs="Times New Roman"/>
                <w:snapToGrid w:val="0"/>
                <w:color w:val="auto"/>
                <w:kern w:val="21"/>
                <w:szCs w:val="21"/>
                <w:lang w:val="en-US" w:eastAsia="zh-CN"/>
              </w:rPr>
              <w:t>t/a</w:t>
            </w:r>
          </w:p>
        </w:tc>
        <w:tc>
          <w:tcPr>
            <w:tcW w:w="108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+0.017</w:t>
            </w:r>
            <w:r>
              <w:rPr>
                <w:rFonts w:hint="eastAsia" w:ascii="Times New Roman" w:hAnsi="Times New Roman" w:eastAsia="宋体" w:cs="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vMerge w:val="continue"/>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p>
        </w:tc>
        <w:tc>
          <w:tcPr>
            <w:tcW w:w="243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氨气</w:t>
            </w:r>
          </w:p>
        </w:tc>
        <w:tc>
          <w:tcPr>
            <w:tcW w:w="159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0.00301</w:t>
            </w:r>
            <w:r>
              <w:rPr>
                <w:rFonts w:hint="eastAsia" w:ascii="Times New Roman" w:hAnsi="Times New Roman" w:eastAsia="宋体" w:cs="Times New Roman"/>
                <w:snapToGrid w:val="0"/>
                <w:color w:val="auto"/>
                <w:kern w:val="21"/>
                <w:szCs w:val="21"/>
                <w:lang w:val="en-US" w:eastAsia="zh-CN"/>
              </w:rPr>
              <w:t>t/a</w:t>
            </w:r>
          </w:p>
        </w:tc>
        <w:tc>
          <w:tcPr>
            <w:tcW w:w="1761"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0.00301</w:t>
            </w:r>
            <w:r>
              <w:rPr>
                <w:rFonts w:hint="eastAsia" w:ascii="Times New Roman" w:hAnsi="Times New Roman" w:eastAsia="宋体" w:cs="Times New Roman"/>
                <w:snapToGrid w:val="0"/>
                <w:color w:val="auto"/>
                <w:kern w:val="21"/>
                <w:szCs w:val="21"/>
                <w:lang w:val="en-US" w:eastAsia="zh-CN"/>
              </w:rPr>
              <w:t>t/a</w:t>
            </w:r>
          </w:p>
        </w:tc>
        <w:tc>
          <w:tcPr>
            <w:tcW w:w="108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w:t>
            </w:r>
            <w:r>
              <w:rPr>
                <w:rFonts w:hint="eastAsia" w:eastAsia="宋体" w:cs="Times New Roman"/>
                <w:snapToGrid w:val="0"/>
                <w:color w:val="auto"/>
                <w:kern w:val="21"/>
                <w:szCs w:val="21"/>
                <w:lang w:val="en-US" w:eastAsia="zh-CN"/>
              </w:rPr>
              <w:t>0.00301</w:t>
            </w:r>
            <w:r>
              <w:rPr>
                <w:rFonts w:hint="eastAsia" w:ascii="Times New Roman" w:hAnsi="Times New Roman" w:eastAsia="宋体" w:cs="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vMerge w:val="continue"/>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p>
        </w:tc>
        <w:tc>
          <w:tcPr>
            <w:tcW w:w="243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硫化氢</w:t>
            </w:r>
          </w:p>
        </w:tc>
        <w:tc>
          <w:tcPr>
            <w:tcW w:w="159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0.00012</w:t>
            </w:r>
            <w:r>
              <w:rPr>
                <w:rFonts w:hint="eastAsia" w:ascii="Times New Roman" w:hAnsi="Times New Roman" w:eastAsia="宋体" w:cs="Times New Roman"/>
                <w:snapToGrid w:val="0"/>
                <w:color w:val="auto"/>
                <w:kern w:val="21"/>
                <w:szCs w:val="21"/>
                <w:lang w:val="en-US" w:eastAsia="zh-CN"/>
              </w:rPr>
              <w:t>t/a</w:t>
            </w:r>
          </w:p>
        </w:tc>
        <w:tc>
          <w:tcPr>
            <w:tcW w:w="1761"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eastAsia="宋体" w:cs="Times New Roman"/>
                <w:snapToGrid w:val="0"/>
                <w:color w:val="auto"/>
                <w:kern w:val="21"/>
                <w:szCs w:val="21"/>
                <w:lang w:val="en-US" w:eastAsia="zh-CN"/>
              </w:rPr>
              <w:t>0.00012</w:t>
            </w:r>
            <w:r>
              <w:rPr>
                <w:rFonts w:hint="eastAsia" w:ascii="Times New Roman" w:hAnsi="Times New Roman" w:eastAsia="宋体" w:cs="Times New Roman"/>
                <w:snapToGrid w:val="0"/>
                <w:color w:val="auto"/>
                <w:kern w:val="21"/>
                <w:szCs w:val="21"/>
                <w:lang w:val="en-US" w:eastAsia="zh-CN"/>
              </w:rPr>
              <w:t>t/a</w:t>
            </w:r>
          </w:p>
        </w:tc>
        <w:tc>
          <w:tcPr>
            <w:tcW w:w="108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w:t>
            </w:r>
            <w:r>
              <w:rPr>
                <w:rFonts w:hint="eastAsia" w:eastAsia="宋体" w:cs="Times New Roman"/>
                <w:snapToGrid w:val="0"/>
                <w:color w:val="auto"/>
                <w:kern w:val="21"/>
                <w:szCs w:val="21"/>
                <w:lang w:val="en-US" w:eastAsia="zh-CN"/>
              </w:rPr>
              <w:t>0.00012</w:t>
            </w:r>
            <w:r>
              <w:rPr>
                <w:rFonts w:hint="eastAsia" w:ascii="Times New Roman" w:hAnsi="Times New Roman" w:eastAsia="宋体" w:cs="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vMerge w:val="restart"/>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default" w:ascii="Times New Roman" w:hAnsi="宋体" w:eastAsia="宋体" w:cs="Times New Roman"/>
                <w:snapToGrid w:val="0"/>
                <w:color w:val="auto"/>
                <w:kern w:val="21"/>
                <w:szCs w:val="21"/>
                <w:lang w:val="en-US" w:eastAsia="zh-CN"/>
              </w:rPr>
              <w:t>废水</w:t>
            </w:r>
          </w:p>
        </w:tc>
        <w:tc>
          <w:tcPr>
            <w:tcW w:w="243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COD</w:t>
            </w:r>
          </w:p>
        </w:tc>
        <w:tc>
          <w:tcPr>
            <w:tcW w:w="159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3.82</w:t>
            </w:r>
            <w:r>
              <w:rPr>
                <w:rFonts w:hint="eastAsia" w:ascii="Times New Roman" w:hAnsi="Times New Roman" w:eastAsia="宋体" w:cs="Times New Roman"/>
                <w:snapToGrid w:val="0"/>
                <w:color w:val="auto"/>
                <w:kern w:val="21"/>
                <w:szCs w:val="21"/>
                <w:lang w:val="en-US" w:eastAsia="zh-CN"/>
              </w:rPr>
              <w:t>t/a</w:t>
            </w:r>
          </w:p>
        </w:tc>
        <w:tc>
          <w:tcPr>
            <w:tcW w:w="1761"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3.82</w:t>
            </w:r>
            <w:r>
              <w:rPr>
                <w:rFonts w:hint="eastAsia" w:ascii="Times New Roman" w:hAnsi="Times New Roman" w:eastAsia="宋体" w:cs="Times New Roman"/>
                <w:snapToGrid w:val="0"/>
                <w:color w:val="auto"/>
                <w:kern w:val="21"/>
                <w:szCs w:val="21"/>
                <w:lang w:val="en-US" w:eastAsia="zh-CN"/>
              </w:rPr>
              <w:t>t/a</w:t>
            </w:r>
          </w:p>
        </w:tc>
        <w:tc>
          <w:tcPr>
            <w:tcW w:w="108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+3.82</w:t>
            </w:r>
            <w:r>
              <w:rPr>
                <w:rFonts w:hint="eastAsia" w:ascii="Times New Roman" w:hAnsi="Times New Roman" w:eastAsia="宋体" w:cs="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vMerge w:val="continue"/>
            <w:noWrap w:val="0"/>
            <w:vAlign w:val="center"/>
          </w:tcPr>
          <w:p>
            <w:pPr>
              <w:pStyle w:val="26"/>
              <w:spacing w:beforeLines="0" w:afterLines="0" w:line="240" w:lineRule="auto"/>
              <w:jc w:val="center"/>
              <w:rPr>
                <w:rFonts w:hint="default" w:ascii="Times New Roman" w:hAnsi="Times New Roman" w:cs="Times New Roman"/>
                <w:snapToGrid w:val="0"/>
                <w:color w:val="auto"/>
                <w:kern w:val="21"/>
                <w:szCs w:val="21"/>
              </w:rPr>
            </w:pPr>
          </w:p>
        </w:tc>
        <w:tc>
          <w:tcPr>
            <w:tcW w:w="2430" w:type="dxa"/>
            <w:noWrap w:val="0"/>
            <w:vAlign w:val="center"/>
          </w:tcPr>
          <w:p>
            <w:pPr>
              <w:pStyle w:val="26"/>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氨氮</w:t>
            </w:r>
          </w:p>
        </w:tc>
        <w:tc>
          <w:tcPr>
            <w:tcW w:w="1590"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0.082t/a</w:t>
            </w:r>
          </w:p>
        </w:tc>
        <w:tc>
          <w:tcPr>
            <w:tcW w:w="176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0.082t/a</w:t>
            </w:r>
          </w:p>
        </w:tc>
        <w:tc>
          <w:tcPr>
            <w:tcW w:w="108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w:t>
            </w:r>
            <w:r>
              <w:rPr>
                <w:rFonts w:hint="eastAsia" w:ascii="Times New Roman" w:hAnsi="Times New Roman" w:eastAsia="宋体" w:cs="Times New Roman"/>
                <w:snapToGrid w:val="0"/>
                <w:color w:val="auto"/>
                <w:kern w:val="21"/>
                <w:szCs w:val="21"/>
                <w:lang w:val="en-US" w:eastAsia="zh-CN"/>
              </w:rPr>
              <w:t>0.082t/a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14" w:type="dxa"/>
            <w:vMerge w:val="restart"/>
            <w:noWrap w:val="0"/>
            <w:vAlign w:val="center"/>
          </w:tcPr>
          <w:p>
            <w:pPr>
              <w:pStyle w:val="26"/>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pPr>
              <w:pStyle w:val="26"/>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2430" w:type="dxa"/>
            <w:noWrap w:val="0"/>
            <w:vAlign w:val="center"/>
          </w:tcPr>
          <w:p>
            <w:pPr>
              <w:pStyle w:val="26"/>
              <w:bidi w:val="0"/>
              <w:jc w:val="center"/>
              <w:rPr>
                <w:rFonts w:hint="default" w:ascii="Times New Roman" w:hAnsi="Times New Roman" w:eastAsia="宋体" w:cs="Times New Roman"/>
                <w:snapToGrid w:val="0"/>
                <w:color w:val="FF0000"/>
                <w:kern w:val="21"/>
                <w:szCs w:val="21"/>
                <w:lang w:val="en-US" w:eastAsia="zh-CN"/>
              </w:rPr>
            </w:pPr>
            <w:r>
              <w:rPr>
                <w:rFonts w:hint="eastAsia"/>
                <w:lang w:val="en-US" w:eastAsia="zh-CN"/>
              </w:rPr>
              <w:t>生活垃圾</w:t>
            </w:r>
          </w:p>
        </w:tc>
        <w:tc>
          <w:tcPr>
            <w:tcW w:w="1590"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30t/a</w:t>
            </w:r>
          </w:p>
        </w:tc>
        <w:tc>
          <w:tcPr>
            <w:tcW w:w="176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30t/a</w:t>
            </w:r>
          </w:p>
        </w:tc>
        <w:tc>
          <w:tcPr>
            <w:tcW w:w="108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+30t/a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14" w:type="dxa"/>
            <w:vMerge w:val="continue"/>
            <w:noWrap w:val="0"/>
            <w:vAlign w:val="center"/>
          </w:tcPr>
          <w:p>
            <w:pPr>
              <w:pStyle w:val="26"/>
              <w:spacing w:beforeLines="0" w:afterLines="0" w:line="240" w:lineRule="auto"/>
              <w:jc w:val="center"/>
              <w:rPr>
                <w:rFonts w:hint="default" w:ascii="Times New Roman" w:hAnsi="Times New Roman" w:cs="Times New Roman"/>
                <w:snapToGrid w:val="0"/>
                <w:color w:val="auto"/>
                <w:kern w:val="21"/>
                <w:szCs w:val="21"/>
              </w:rPr>
            </w:pPr>
          </w:p>
        </w:tc>
        <w:tc>
          <w:tcPr>
            <w:tcW w:w="2430" w:type="dxa"/>
            <w:noWrap w:val="0"/>
            <w:vAlign w:val="center"/>
          </w:tcPr>
          <w:p>
            <w:pPr>
              <w:pStyle w:val="26"/>
              <w:bidi w:val="0"/>
              <w:jc w:val="center"/>
              <w:rPr>
                <w:rFonts w:hint="eastAsia" w:ascii="Times New Roman" w:cs="Times New Roman"/>
                <w:snapToGrid w:val="0"/>
                <w:color w:val="FF0000"/>
                <w:kern w:val="21"/>
                <w:szCs w:val="21"/>
                <w:lang w:val="en-US" w:eastAsia="zh-CN"/>
              </w:rPr>
            </w:pPr>
            <w:r>
              <w:rPr>
                <w:rFonts w:hint="eastAsia"/>
                <w:lang w:val="en-US" w:eastAsia="zh-CN"/>
              </w:rPr>
              <w:t>普通废包装材料</w:t>
            </w:r>
          </w:p>
        </w:tc>
        <w:tc>
          <w:tcPr>
            <w:tcW w:w="1590" w:type="dxa"/>
            <w:noWrap w:val="0"/>
            <w:vAlign w:val="center"/>
          </w:tcPr>
          <w:p>
            <w:pPr>
              <w:pStyle w:val="26"/>
              <w:spacing w:beforeLines="0" w:afterLines="0" w:line="240" w:lineRule="auto"/>
              <w:jc w:val="center"/>
              <w:rPr>
                <w:rFonts w:hint="eastAsia" w:ascii="Times New Roman"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eastAsia"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eastAsia"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eastAsia"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2t/a</w:t>
            </w:r>
          </w:p>
        </w:tc>
        <w:tc>
          <w:tcPr>
            <w:tcW w:w="176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eastAsia"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2t/a</w:t>
            </w:r>
          </w:p>
        </w:tc>
        <w:tc>
          <w:tcPr>
            <w:tcW w:w="1089" w:type="dxa"/>
            <w:noWrap w:val="0"/>
            <w:vAlign w:val="center"/>
          </w:tcPr>
          <w:p>
            <w:pPr>
              <w:pStyle w:val="26"/>
              <w:spacing w:beforeLines="0" w:afterLines="0" w:line="240" w:lineRule="auto"/>
              <w:jc w:val="center"/>
              <w:rPr>
                <w:rFonts w:hint="eastAsia"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14" w:type="dxa"/>
            <w:vMerge w:val="continue"/>
            <w:noWrap w:val="0"/>
            <w:vAlign w:val="center"/>
          </w:tcPr>
          <w:p>
            <w:pPr>
              <w:pStyle w:val="26"/>
              <w:spacing w:beforeLines="0" w:afterLines="0" w:line="240" w:lineRule="auto"/>
              <w:jc w:val="center"/>
              <w:rPr>
                <w:rFonts w:hint="default" w:ascii="Times New Roman" w:hAnsi="Times New Roman" w:cs="Times New Roman"/>
                <w:snapToGrid w:val="0"/>
                <w:color w:val="auto"/>
                <w:kern w:val="21"/>
                <w:szCs w:val="21"/>
              </w:rPr>
            </w:pPr>
          </w:p>
        </w:tc>
        <w:tc>
          <w:tcPr>
            <w:tcW w:w="2430" w:type="dxa"/>
            <w:noWrap w:val="0"/>
            <w:vAlign w:val="center"/>
          </w:tcPr>
          <w:p>
            <w:pPr>
              <w:pStyle w:val="26"/>
              <w:bidi w:val="0"/>
              <w:jc w:val="center"/>
              <w:rPr>
                <w:rFonts w:hint="eastAsia" w:ascii="Times New Roman" w:cs="Times New Roman"/>
                <w:snapToGrid w:val="0"/>
                <w:color w:val="FF0000"/>
                <w:kern w:val="21"/>
                <w:szCs w:val="21"/>
                <w:lang w:val="en-US" w:eastAsia="zh-CN"/>
              </w:rPr>
            </w:pPr>
            <w:r>
              <w:rPr>
                <w:rFonts w:hint="eastAsia"/>
                <w:lang w:val="en-US" w:eastAsia="zh-CN"/>
              </w:rPr>
              <w:t>纯水系统废滤料</w:t>
            </w:r>
          </w:p>
        </w:tc>
        <w:tc>
          <w:tcPr>
            <w:tcW w:w="1590" w:type="dxa"/>
            <w:noWrap w:val="0"/>
            <w:vAlign w:val="center"/>
          </w:tcPr>
          <w:p>
            <w:pPr>
              <w:pStyle w:val="26"/>
              <w:spacing w:beforeLines="0" w:afterLines="0" w:line="240" w:lineRule="auto"/>
              <w:jc w:val="center"/>
              <w:rPr>
                <w:rFonts w:hint="eastAsia" w:ascii="Times New Roman"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eastAsia"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eastAsia"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eastAsia"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0.5t/a</w:t>
            </w:r>
          </w:p>
        </w:tc>
        <w:tc>
          <w:tcPr>
            <w:tcW w:w="176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eastAsia"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0.5t/a</w:t>
            </w:r>
          </w:p>
        </w:tc>
        <w:tc>
          <w:tcPr>
            <w:tcW w:w="1089" w:type="dxa"/>
            <w:noWrap w:val="0"/>
            <w:vAlign w:val="center"/>
          </w:tcPr>
          <w:p>
            <w:pPr>
              <w:pStyle w:val="26"/>
              <w:spacing w:beforeLines="0" w:afterLines="0" w:line="240" w:lineRule="auto"/>
              <w:jc w:val="center"/>
              <w:rPr>
                <w:rFonts w:hint="eastAsia"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14" w:type="dxa"/>
            <w:vMerge w:val="continue"/>
            <w:noWrap w:val="0"/>
            <w:vAlign w:val="center"/>
          </w:tcPr>
          <w:p>
            <w:pPr>
              <w:pStyle w:val="26"/>
              <w:spacing w:beforeLines="0" w:afterLines="0" w:line="240" w:lineRule="auto"/>
              <w:jc w:val="center"/>
              <w:rPr>
                <w:rFonts w:hint="default" w:ascii="Times New Roman" w:hAnsi="Times New Roman" w:cs="Times New Roman"/>
                <w:snapToGrid w:val="0"/>
                <w:color w:val="auto"/>
                <w:kern w:val="21"/>
                <w:szCs w:val="21"/>
              </w:rPr>
            </w:pPr>
          </w:p>
        </w:tc>
        <w:tc>
          <w:tcPr>
            <w:tcW w:w="2430" w:type="dxa"/>
            <w:noWrap w:val="0"/>
            <w:vAlign w:val="center"/>
          </w:tcPr>
          <w:p>
            <w:pPr>
              <w:pStyle w:val="26"/>
              <w:bidi w:val="0"/>
              <w:jc w:val="center"/>
              <w:rPr>
                <w:rFonts w:hint="eastAsia" w:ascii="Times New Roman" w:cs="Times New Roman"/>
                <w:snapToGrid w:val="0"/>
                <w:color w:val="FF0000"/>
                <w:kern w:val="21"/>
                <w:szCs w:val="21"/>
                <w:lang w:val="en-US" w:eastAsia="zh-CN"/>
              </w:rPr>
            </w:pPr>
            <w:r>
              <w:rPr>
                <w:rFonts w:hint="eastAsia"/>
                <w:lang w:val="en-US" w:eastAsia="zh-CN"/>
              </w:rPr>
              <w:t>淤泥</w:t>
            </w:r>
          </w:p>
        </w:tc>
        <w:tc>
          <w:tcPr>
            <w:tcW w:w="1590" w:type="dxa"/>
            <w:noWrap w:val="0"/>
            <w:vAlign w:val="center"/>
          </w:tcPr>
          <w:p>
            <w:pPr>
              <w:pStyle w:val="26"/>
              <w:spacing w:beforeLines="0" w:afterLines="0" w:line="240" w:lineRule="auto"/>
              <w:jc w:val="center"/>
              <w:rPr>
                <w:rFonts w:hint="eastAsia" w:ascii="Times New Roman" w:cs="Times New Roman"/>
                <w:snapToGrid w:val="0"/>
                <w:color w:val="FF0000"/>
                <w:kern w:val="21"/>
                <w:szCs w:val="21"/>
                <w:lang w:val="en-US" w:eastAsia="zh-CN"/>
              </w:rPr>
            </w:pPr>
            <w:r>
              <w:rPr>
                <w:rFonts w:hint="eastAsia" w:ascii="Times New Roman"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eastAsia" w:ascii="Times New Roman" w:hAnsi="宋体"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eastAsia" w:ascii="Times New Roman" w:hAnsi="宋体"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eastAsia"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10t/a</w:t>
            </w:r>
          </w:p>
        </w:tc>
        <w:tc>
          <w:tcPr>
            <w:tcW w:w="176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eastAsia"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10t/a</w:t>
            </w:r>
          </w:p>
        </w:tc>
        <w:tc>
          <w:tcPr>
            <w:tcW w:w="1089" w:type="dxa"/>
            <w:noWrap w:val="0"/>
            <w:vAlign w:val="center"/>
          </w:tcPr>
          <w:p>
            <w:pPr>
              <w:pStyle w:val="26"/>
              <w:spacing w:beforeLines="0" w:afterLines="0" w:line="240" w:lineRule="auto"/>
              <w:jc w:val="center"/>
              <w:rPr>
                <w:rFonts w:hint="eastAsia"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+10t/a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vMerge w:val="restart"/>
            <w:noWrap w:val="0"/>
            <w:vAlign w:val="center"/>
          </w:tcPr>
          <w:p>
            <w:pPr>
              <w:pStyle w:val="26"/>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2430" w:type="dxa"/>
            <w:noWrap w:val="0"/>
            <w:vAlign w:val="center"/>
          </w:tcPr>
          <w:p>
            <w:pPr>
              <w:pStyle w:val="26"/>
              <w:spacing w:beforeLines="0" w:afterLines="0" w:line="240" w:lineRule="auto"/>
              <w:jc w:val="center"/>
              <w:rPr>
                <w:rFonts w:hint="default" w:ascii="Times New Roman" w:hAnsi="Times New Roman" w:eastAsia="宋体" w:cs="Times New Roman"/>
                <w:color w:val="FF0000"/>
                <w:sz w:val="22"/>
                <w:szCs w:val="22"/>
                <w:vertAlign w:val="baseline"/>
                <w:lang w:val="en-US" w:eastAsia="zh-CN"/>
              </w:rPr>
            </w:pPr>
            <w:r>
              <w:rPr>
                <w:rFonts w:hint="eastAsia" w:ascii="Times New Roman" w:hAnsi="宋体" w:eastAsia="宋体" w:cs="Times New Roman"/>
                <w:snapToGrid w:val="0"/>
                <w:color w:val="auto"/>
                <w:kern w:val="21"/>
                <w:szCs w:val="21"/>
                <w:lang w:val="en-US" w:eastAsia="zh-CN"/>
              </w:rPr>
              <w:t>粉尘</w:t>
            </w:r>
          </w:p>
        </w:tc>
        <w:tc>
          <w:tcPr>
            <w:tcW w:w="1590" w:type="dxa"/>
            <w:noWrap w:val="0"/>
            <w:vAlign w:val="center"/>
          </w:tcPr>
          <w:p>
            <w:pPr>
              <w:pStyle w:val="26"/>
              <w:spacing w:beforeLines="0" w:afterLines="0" w:line="240" w:lineRule="auto"/>
              <w:jc w:val="center"/>
              <w:rPr>
                <w:rFonts w:hint="default" w:ascii="Times New Roman" w:hAnsi="Times New Roman" w:eastAsia="宋体" w:cs="Times New Roman"/>
                <w:color w:val="FF0000"/>
                <w:sz w:val="22"/>
                <w:szCs w:val="22"/>
                <w:vertAlign w:val="baseline"/>
                <w:lang w:val="en-US" w:eastAsia="zh-CN"/>
              </w:rPr>
            </w:pPr>
            <w:r>
              <w:rPr>
                <w:rFonts w:hint="eastAsia" w:ascii="Times New Roman" w:hAnsi="宋体" w:eastAsia="宋体"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0.005t/a</w:t>
            </w:r>
          </w:p>
        </w:tc>
        <w:tc>
          <w:tcPr>
            <w:tcW w:w="176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0.005t/a</w:t>
            </w:r>
          </w:p>
        </w:tc>
        <w:tc>
          <w:tcPr>
            <w:tcW w:w="108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+0.005t/a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vMerge w:val="continue"/>
            <w:noWrap w:val="0"/>
            <w:vAlign w:val="center"/>
          </w:tcPr>
          <w:p>
            <w:pPr>
              <w:pStyle w:val="26"/>
              <w:spacing w:beforeLines="0" w:afterLines="0" w:line="240" w:lineRule="auto"/>
              <w:jc w:val="center"/>
              <w:rPr>
                <w:rFonts w:hint="default" w:ascii="Times New Roman" w:hAnsi="Times New Roman" w:cs="Times New Roman"/>
                <w:snapToGrid w:val="0"/>
                <w:color w:val="FF0000"/>
                <w:kern w:val="21"/>
                <w:szCs w:val="21"/>
              </w:rPr>
            </w:pPr>
          </w:p>
        </w:tc>
        <w:tc>
          <w:tcPr>
            <w:tcW w:w="2430" w:type="dxa"/>
            <w:noWrap w:val="0"/>
            <w:vAlign w:val="center"/>
          </w:tcPr>
          <w:p>
            <w:pPr>
              <w:pStyle w:val="26"/>
              <w:spacing w:beforeLines="0" w:afterLines="0" w:line="240" w:lineRule="auto"/>
              <w:jc w:val="center"/>
              <w:rPr>
                <w:rFonts w:hint="eastAsia" w:ascii="Times New Roman" w:hAnsi="Times New Roman" w:eastAsia="宋体" w:cs="Times New Roman"/>
                <w:color w:val="FF0000"/>
                <w:sz w:val="22"/>
                <w:szCs w:val="22"/>
                <w:vertAlign w:val="baseline"/>
                <w:lang w:val="en-US" w:eastAsia="zh-CN"/>
              </w:rPr>
            </w:pPr>
            <w:r>
              <w:rPr>
                <w:rFonts w:hint="eastAsia" w:ascii="Times New Roman" w:hAnsi="宋体" w:eastAsia="宋体" w:cs="Times New Roman"/>
                <w:snapToGrid w:val="0"/>
                <w:color w:val="auto"/>
                <w:kern w:val="21"/>
                <w:szCs w:val="21"/>
                <w:lang w:val="en-US" w:eastAsia="zh-CN"/>
              </w:rPr>
              <w:t>废药品、废产品</w:t>
            </w:r>
          </w:p>
        </w:tc>
        <w:tc>
          <w:tcPr>
            <w:tcW w:w="1590" w:type="dxa"/>
            <w:noWrap w:val="0"/>
            <w:vAlign w:val="center"/>
          </w:tcPr>
          <w:p>
            <w:pPr>
              <w:pStyle w:val="26"/>
              <w:spacing w:beforeLines="0" w:afterLines="0" w:line="240" w:lineRule="auto"/>
              <w:jc w:val="center"/>
              <w:rPr>
                <w:rFonts w:hint="default" w:ascii="Times New Roman" w:hAnsi="Times New Roman" w:eastAsia="宋体" w:cs="Times New Roman"/>
                <w:color w:val="FF0000"/>
                <w:sz w:val="22"/>
                <w:szCs w:val="22"/>
                <w:vertAlign w:val="baseline"/>
                <w:lang w:val="en-US" w:eastAsia="zh-CN"/>
              </w:rPr>
            </w:pPr>
            <w:r>
              <w:rPr>
                <w:rFonts w:hint="eastAsia" w:ascii="Times New Roman"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0.21t/a</w:t>
            </w:r>
          </w:p>
        </w:tc>
        <w:tc>
          <w:tcPr>
            <w:tcW w:w="176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0.21t/a</w:t>
            </w:r>
          </w:p>
        </w:tc>
        <w:tc>
          <w:tcPr>
            <w:tcW w:w="108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+0.21t/a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vMerge w:val="continue"/>
            <w:noWrap w:val="0"/>
            <w:vAlign w:val="center"/>
          </w:tcPr>
          <w:p>
            <w:pPr>
              <w:pStyle w:val="26"/>
              <w:spacing w:beforeLines="0" w:afterLines="0" w:line="240" w:lineRule="auto"/>
              <w:jc w:val="center"/>
              <w:rPr>
                <w:rFonts w:hint="default" w:ascii="Times New Roman" w:hAnsi="Times New Roman" w:cs="Times New Roman"/>
                <w:snapToGrid w:val="0"/>
                <w:color w:val="FF0000"/>
                <w:kern w:val="21"/>
                <w:szCs w:val="21"/>
              </w:rPr>
            </w:pPr>
          </w:p>
        </w:tc>
        <w:tc>
          <w:tcPr>
            <w:tcW w:w="2430" w:type="dxa"/>
            <w:noWrap w:val="0"/>
            <w:vAlign w:val="center"/>
          </w:tcPr>
          <w:p>
            <w:pPr>
              <w:pStyle w:val="26"/>
              <w:spacing w:beforeLines="0" w:afterLines="0" w:line="240" w:lineRule="auto"/>
              <w:jc w:val="center"/>
              <w:rPr>
                <w:rFonts w:hint="default" w:ascii="Times New Roman" w:hAnsi="Times New Roman" w:eastAsia="宋体" w:cs="Times New Roman"/>
                <w:color w:val="FF0000"/>
                <w:sz w:val="22"/>
                <w:szCs w:val="22"/>
                <w:vertAlign w:val="baseline"/>
                <w:lang w:val="en-US" w:eastAsia="zh-CN"/>
              </w:rPr>
            </w:pPr>
            <w:r>
              <w:rPr>
                <w:rFonts w:hint="eastAsia" w:ascii="Times New Roman" w:hAnsi="宋体" w:eastAsia="宋体" w:cs="Times New Roman"/>
                <w:snapToGrid w:val="0"/>
                <w:color w:val="auto"/>
                <w:kern w:val="21"/>
                <w:szCs w:val="21"/>
                <w:lang w:val="en-US" w:eastAsia="zh-CN"/>
              </w:rPr>
              <w:t>实验固废</w:t>
            </w:r>
          </w:p>
        </w:tc>
        <w:tc>
          <w:tcPr>
            <w:tcW w:w="1590" w:type="dxa"/>
            <w:noWrap w:val="0"/>
            <w:vAlign w:val="center"/>
          </w:tcPr>
          <w:p>
            <w:pPr>
              <w:pStyle w:val="26"/>
              <w:spacing w:beforeLines="0" w:afterLines="0" w:line="240" w:lineRule="auto"/>
              <w:jc w:val="center"/>
              <w:rPr>
                <w:rFonts w:hint="default" w:ascii="Times New Roman" w:hAnsi="Times New Roman" w:eastAsia="宋体" w:cs="Times New Roman"/>
                <w:color w:val="FF0000"/>
                <w:sz w:val="22"/>
                <w:szCs w:val="22"/>
                <w:vertAlign w:val="baseline"/>
                <w:lang w:val="en-US" w:eastAsia="zh-CN"/>
              </w:rPr>
            </w:pPr>
            <w:r>
              <w:rPr>
                <w:rFonts w:hint="eastAsia" w:ascii="Times New Roman" w:hAnsi="宋体" w:eastAsia="宋体"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0.1t/a</w:t>
            </w:r>
          </w:p>
        </w:tc>
        <w:tc>
          <w:tcPr>
            <w:tcW w:w="176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0.1t/a</w:t>
            </w:r>
          </w:p>
        </w:tc>
        <w:tc>
          <w:tcPr>
            <w:tcW w:w="108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vMerge w:val="continue"/>
            <w:noWrap w:val="0"/>
            <w:vAlign w:val="center"/>
          </w:tcPr>
          <w:p>
            <w:pPr>
              <w:pStyle w:val="26"/>
              <w:spacing w:beforeLines="0" w:afterLines="0" w:line="240" w:lineRule="auto"/>
              <w:jc w:val="center"/>
              <w:rPr>
                <w:rFonts w:hint="default" w:ascii="Times New Roman" w:hAnsi="Times New Roman" w:cs="Times New Roman"/>
                <w:snapToGrid w:val="0"/>
                <w:color w:val="FF0000"/>
                <w:kern w:val="21"/>
                <w:szCs w:val="21"/>
              </w:rPr>
            </w:pPr>
            <w:bookmarkStart w:id="13" w:name="_Toc16115"/>
          </w:p>
        </w:tc>
        <w:tc>
          <w:tcPr>
            <w:tcW w:w="2430" w:type="dxa"/>
            <w:noWrap w:val="0"/>
            <w:vAlign w:val="center"/>
          </w:tcPr>
          <w:p>
            <w:pPr>
              <w:pStyle w:val="26"/>
              <w:spacing w:beforeLines="0" w:afterLines="0" w:line="240" w:lineRule="auto"/>
              <w:jc w:val="center"/>
              <w:rPr>
                <w:rFonts w:hint="default" w:ascii="Times New Roman" w:hAnsi="Times New Roman" w:eastAsia="宋体" w:cs="Times New Roman"/>
                <w:color w:val="FF0000"/>
                <w:sz w:val="22"/>
                <w:szCs w:val="22"/>
                <w:vertAlign w:val="baseline"/>
                <w:lang w:val="en-US" w:eastAsia="zh-CN"/>
              </w:rPr>
            </w:pPr>
            <w:r>
              <w:rPr>
                <w:rFonts w:hint="eastAsia" w:ascii="Times New Roman" w:hAnsi="宋体" w:eastAsia="宋体" w:cs="Times New Roman"/>
                <w:snapToGrid w:val="0"/>
                <w:color w:val="auto"/>
                <w:kern w:val="21"/>
                <w:szCs w:val="21"/>
                <w:lang w:val="en-US" w:eastAsia="zh-CN"/>
              </w:rPr>
              <w:t>实验废液</w:t>
            </w:r>
          </w:p>
        </w:tc>
        <w:tc>
          <w:tcPr>
            <w:tcW w:w="1590" w:type="dxa"/>
            <w:noWrap w:val="0"/>
            <w:vAlign w:val="center"/>
          </w:tcPr>
          <w:p>
            <w:pPr>
              <w:pStyle w:val="26"/>
              <w:spacing w:beforeLines="0" w:afterLines="0" w:line="240" w:lineRule="auto"/>
              <w:jc w:val="center"/>
              <w:rPr>
                <w:rFonts w:hint="default" w:ascii="Times New Roman" w:hAnsi="Times New Roman" w:eastAsia="宋体" w:cs="Times New Roman"/>
                <w:color w:val="FF0000"/>
                <w:sz w:val="22"/>
                <w:szCs w:val="22"/>
                <w:vertAlign w:val="baseline"/>
                <w:lang w:val="en-US" w:eastAsia="zh-CN"/>
              </w:rPr>
            </w:pPr>
            <w:r>
              <w:rPr>
                <w:rFonts w:hint="eastAsia" w:ascii="Times New Roman" w:hAnsi="宋体" w:eastAsia="宋体"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6t/a</w:t>
            </w:r>
          </w:p>
        </w:tc>
        <w:tc>
          <w:tcPr>
            <w:tcW w:w="176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6t/a</w:t>
            </w:r>
          </w:p>
        </w:tc>
        <w:tc>
          <w:tcPr>
            <w:tcW w:w="108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vMerge w:val="continue"/>
            <w:noWrap w:val="0"/>
            <w:vAlign w:val="center"/>
          </w:tcPr>
          <w:p>
            <w:pPr>
              <w:pStyle w:val="26"/>
              <w:spacing w:beforeLines="0" w:afterLines="0" w:line="240" w:lineRule="auto"/>
              <w:jc w:val="center"/>
              <w:rPr>
                <w:rFonts w:hint="default" w:ascii="Times New Roman" w:hAnsi="Times New Roman" w:cs="Times New Roman"/>
                <w:snapToGrid w:val="0"/>
                <w:color w:val="FF0000"/>
                <w:kern w:val="21"/>
                <w:szCs w:val="21"/>
              </w:rPr>
            </w:pPr>
          </w:p>
        </w:tc>
        <w:tc>
          <w:tcPr>
            <w:tcW w:w="2430" w:type="dxa"/>
            <w:noWrap w:val="0"/>
            <w:vAlign w:val="center"/>
          </w:tcPr>
          <w:p>
            <w:pPr>
              <w:pStyle w:val="26"/>
              <w:spacing w:beforeLines="0" w:afterLines="0" w:line="240" w:lineRule="auto"/>
              <w:jc w:val="center"/>
              <w:rPr>
                <w:rFonts w:hint="default" w:ascii="Times New Roman" w:hAnsi="Times New Roman" w:eastAsia="宋体" w:cs="Times New Roman"/>
                <w:color w:val="FF0000"/>
                <w:sz w:val="22"/>
                <w:szCs w:val="22"/>
                <w:vertAlign w:val="baseline"/>
                <w:lang w:val="en-US" w:eastAsia="zh-CN"/>
              </w:rPr>
            </w:pPr>
            <w:r>
              <w:rPr>
                <w:rFonts w:hint="eastAsia" w:ascii="Times New Roman" w:hAnsi="宋体" w:eastAsia="宋体" w:cs="Times New Roman"/>
                <w:snapToGrid w:val="0"/>
                <w:color w:val="auto"/>
                <w:kern w:val="21"/>
                <w:szCs w:val="21"/>
                <w:lang w:val="en-US" w:eastAsia="zh-CN"/>
              </w:rPr>
              <w:t>废过滤棉和废活性炭</w:t>
            </w:r>
          </w:p>
        </w:tc>
        <w:tc>
          <w:tcPr>
            <w:tcW w:w="1590" w:type="dxa"/>
            <w:noWrap w:val="0"/>
            <w:vAlign w:val="center"/>
          </w:tcPr>
          <w:p>
            <w:pPr>
              <w:pStyle w:val="26"/>
              <w:spacing w:beforeLines="0" w:afterLines="0" w:line="240" w:lineRule="auto"/>
              <w:jc w:val="center"/>
              <w:rPr>
                <w:rFonts w:hint="default" w:ascii="Times New Roman" w:hAnsi="Times New Roman" w:eastAsia="宋体" w:cs="Times New Roman"/>
                <w:color w:val="FF0000"/>
                <w:sz w:val="22"/>
                <w:szCs w:val="22"/>
                <w:vertAlign w:val="baseline"/>
                <w:lang w:val="en-US" w:eastAsia="zh-CN"/>
              </w:rPr>
            </w:pPr>
            <w:r>
              <w:rPr>
                <w:rFonts w:hint="eastAsia" w:ascii="Times New Roman" w:hAnsi="宋体" w:eastAsia="宋体"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0.02t/a</w:t>
            </w:r>
          </w:p>
        </w:tc>
        <w:tc>
          <w:tcPr>
            <w:tcW w:w="176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0.02t/a</w:t>
            </w:r>
          </w:p>
        </w:tc>
        <w:tc>
          <w:tcPr>
            <w:tcW w:w="108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vMerge w:val="continue"/>
            <w:noWrap w:val="0"/>
            <w:vAlign w:val="center"/>
          </w:tcPr>
          <w:p>
            <w:pPr>
              <w:pStyle w:val="26"/>
              <w:spacing w:beforeLines="0" w:afterLines="0" w:line="240" w:lineRule="auto"/>
              <w:jc w:val="center"/>
              <w:rPr>
                <w:rFonts w:hint="default" w:ascii="Times New Roman" w:hAnsi="Times New Roman" w:cs="Times New Roman"/>
                <w:snapToGrid w:val="0"/>
                <w:color w:val="FF0000"/>
                <w:kern w:val="21"/>
                <w:szCs w:val="21"/>
              </w:rPr>
            </w:pPr>
          </w:p>
        </w:tc>
        <w:tc>
          <w:tcPr>
            <w:tcW w:w="2430" w:type="dxa"/>
            <w:noWrap w:val="0"/>
            <w:vAlign w:val="center"/>
          </w:tcPr>
          <w:p>
            <w:pPr>
              <w:pStyle w:val="26"/>
              <w:spacing w:beforeLines="0" w:afterLines="0" w:line="240" w:lineRule="auto"/>
              <w:jc w:val="center"/>
              <w:rPr>
                <w:rFonts w:hint="default" w:ascii="Times New Roman" w:hAnsi="Times New Roman" w:eastAsia="宋体" w:cs="Times New Roman"/>
                <w:color w:val="FF0000"/>
                <w:sz w:val="22"/>
                <w:szCs w:val="22"/>
                <w:vertAlign w:val="baseline"/>
                <w:lang w:val="en-US" w:eastAsia="zh-CN"/>
              </w:rPr>
            </w:pPr>
            <w:r>
              <w:rPr>
                <w:rFonts w:hint="eastAsia" w:ascii="Times New Roman" w:hAnsi="宋体" w:eastAsia="宋体" w:cs="Times New Roman"/>
                <w:snapToGrid w:val="0"/>
                <w:color w:val="auto"/>
                <w:kern w:val="21"/>
                <w:szCs w:val="21"/>
                <w:lang w:val="en-US" w:eastAsia="zh-CN"/>
              </w:rPr>
              <w:t>沾染化学品的包装材料</w:t>
            </w:r>
          </w:p>
        </w:tc>
        <w:tc>
          <w:tcPr>
            <w:tcW w:w="1590" w:type="dxa"/>
            <w:noWrap w:val="0"/>
            <w:vAlign w:val="center"/>
          </w:tcPr>
          <w:p>
            <w:pPr>
              <w:pStyle w:val="26"/>
              <w:spacing w:beforeLines="0" w:afterLines="0" w:line="240" w:lineRule="auto"/>
              <w:jc w:val="center"/>
              <w:rPr>
                <w:rFonts w:hint="default" w:ascii="Times New Roman" w:hAnsi="Times New Roman" w:eastAsia="宋体" w:cs="Times New Roman"/>
                <w:color w:val="FF0000"/>
                <w:sz w:val="22"/>
                <w:szCs w:val="22"/>
                <w:vertAlign w:val="baseline"/>
                <w:lang w:val="en-US" w:eastAsia="zh-CN"/>
              </w:rPr>
            </w:pPr>
            <w:r>
              <w:rPr>
                <w:rFonts w:hint="eastAsia" w:ascii="Times New Roman" w:cs="Times New Roman"/>
                <w:snapToGrid w:val="0"/>
                <w:color w:val="auto"/>
                <w:kern w:val="21"/>
                <w:szCs w:val="21"/>
                <w:lang w:val="en-US" w:eastAsia="zh-CN"/>
              </w:rPr>
              <w:t>0</w:t>
            </w:r>
          </w:p>
        </w:tc>
        <w:tc>
          <w:tcPr>
            <w:tcW w:w="1200" w:type="dxa"/>
            <w:noWrap w:val="0"/>
            <w:vAlign w:val="center"/>
          </w:tcPr>
          <w:p>
            <w:pPr>
              <w:pStyle w:val="26"/>
              <w:spacing w:beforeLines="0" w:afterLines="0" w:line="240" w:lineRule="auto"/>
              <w:jc w:val="center"/>
              <w:rPr>
                <w:rFonts w:hint="default" w:ascii="Times New Roman" w:hAnsi="宋体" w:eastAsia="宋体" w:cs="Times New Roman"/>
                <w:snapToGrid w:val="0"/>
                <w:color w:val="auto"/>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0</w:t>
            </w:r>
          </w:p>
        </w:tc>
        <w:tc>
          <w:tcPr>
            <w:tcW w:w="134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55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0.5t/a</w:t>
            </w:r>
          </w:p>
        </w:tc>
        <w:tc>
          <w:tcPr>
            <w:tcW w:w="1761"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w:t>
            </w:r>
          </w:p>
        </w:tc>
        <w:tc>
          <w:tcPr>
            <w:tcW w:w="1696"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宋体" w:eastAsia="宋体" w:cs="Times New Roman"/>
                <w:snapToGrid w:val="0"/>
                <w:color w:val="auto"/>
                <w:kern w:val="21"/>
                <w:szCs w:val="21"/>
                <w:lang w:val="en-US" w:eastAsia="zh-CN"/>
              </w:rPr>
              <w:t>0.5t/a</w:t>
            </w:r>
          </w:p>
        </w:tc>
        <w:tc>
          <w:tcPr>
            <w:tcW w:w="1089" w:type="dxa"/>
            <w:noWrap w:val="0"/>
            <w:vAlign w:val="center"/>
          </w:tcPr>
          <w:p>
            <w:pPr>
              <w:pStyle w:val="26"/>
              <w:spacing w:beforeLines="0" w:afterLines="0" w:line="240" w:lineRule="auto"/>
              <w:jc w:val="center"/>
              <w:rPr>
                <w:rFonts w:hint="default" w:ascii="Times New Roman" w:hAnsi="Times New Roman" w:eastAsia="宋体" w:cs="Times New Roman"/>
                <w:snapToGrid w:val="0"/>
                <w:color w:val="FF0000"/>
                <w:kern w:val="21"/>
                <w:sz w:val="21"/>
                <w:szCs w:val="21"/>
                <w:lang w:val="en-US" w:eastAsia="zh-CN" w:bidi="ar-SA"/>
              </w:rPr>
            </w:pPr>
            <w:r>
              <w:rPr>
                <w:rFonts w:hint="eastAsia" w:ascii="Times New Roman" w:hAnsi="宋体" w:eastAsia="宋体" w:cs="Times New Roman"/>
                <w:snapToGrid w:val="0"/>
                <w:color w:val="auto"/>
                <w:kern w:val="21"/>
                <w:szCs w:val="21"/>
                <w:lang w:val="en-US" w:eastAsia="zh-CN"/>
              </w:rPr>
              <w:t>+0.5t/a</w:t>
            </w:r>
          </w:p>
        </w:tc>
      </w:tr>
    </w:tbl>
    <w:p>
      <w:pPr>
        <w:pStyle w:val="26"/>
        <w:spacing w:before="192" w:beforeLines="80" w:after="24"/>
        <w:jc w:val="left"/>
        <w:outlineLvl w:val="0"/>
        <w:rPr>
          <w:rFonts w:ascii="宋体" w:hAnsi="宋体" w:eastAsia="黑体"/>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bookmarkEnd w:id="13"/>
    </w:p>
    <w:p>
      <w:pPr>
        <w:pStyle w:val="3"/>
        <w:rPr>
          <w:color w:val="FF0000"/>
        </w:rPr>
      </w:pPr>
    </w:p>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华文仿宋"/>
    <w:panose1 w:val="02010600030101010101"/>
    <w:charset w:val="00"/>
    <w:family w:val="auto"/>
    <w:pitch w:val="default"/>
    <w:sig w:usb0="A00002BF" w:usb1="38CF7CFA" w:usb2="00000016" w:usb3="00000000" w:csb0="0004000F" w:csb1="00000000"/>
  </w:font>
  <w:font w:name="Arial">
    <w:panose1 w:val="020B0604020202020204"/>
    <w:charset w:val="00"/>
    <w:family w:val="swiss"/>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0"/>
      </w:rPr>
    </w:pPr>
    <w:r>
      <w:fldChar w:fldCharType="begin"/>
    </w:r>
    <w:r>
      <w:rPr>
        <w:rStyle w:val="20"/>
      </w:rPr>
      <w:instrText xml:space="preserve">PAGE  </w:instrText>
    </w:r>
    <w:r>
      <w:fldChar w:fldCharType="end"/>
    </w:r>
  </w:p>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JM77+4QEAAMIDAAAOAAAA&#10;AAAAAAEAIAAAAB4BAABkcnMvZTJvRG9jLnhtbFBLBQYAAAAABgAGAFkBAABx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83</w:t>
                          </w:r>
                          <w:r>
                            <w:fldChar w:fldCharType="end"/>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9h3KX4QEAAMIDAAAOAAAA&#10;AAAAAAEAIAAAAB4BAABkcnMvZTJvRG9jLnhtbFBLBQYAAAAABgAGAFkBAABx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iZWE0MWFlZWIyYWQxYzg4MmZmYjcyZDkzZDZlMDAifQ=="/>
  </w:docVars>
  <w:rsids>
    <w:rsidRoot w:val="00000000"/>
    <w:rsid w:val="002044CB"/>
    <w:rsid w:val="002F74E1"/>
    <w:rsid w:val="00663559"/>
    <w:rsid w:val="009A150A"/>
    <w:rsid w:val="00A60C5F"/>
    <w:rsid w:val="00B43359"/>
    <w:rsid w:val="00C162D8"/>
    <w:rsid w:val="00D62CC9"/>
    <w:rsid w:val="00ED5986"/>
    <w:rsid w:val="013060A2"/>
    <w:rsid w:val="014E7A36"/>
    <w:rsid w:val="014F55C0"/>
    <w:rsid w:val="01536476"/>
    <w:rsid w:val="015D71CF"/>
    <w:rsid w:val="01AB42B5"/>
    <w:rsid w:val="01B6221C"/>
    <w:rsid w:val="01D17056"/>
    <w:rsid w:val="01F01BD2"/>
    <w:rsid w:val="023265FB"/>
    <w:rsid w:val="02451942"/>
    <w:rsid w:val="024E30DA"/>
    <w:rsid w:val="027B0156"/>
    <w:rsid w:val="0294378C"/>
    <w:rsid w:val="02AC68DE"/>
    <w:rsid w:val="02BD28BB"/>
    <w:rsid w:val="02F52676"/>
    <w:rsid w:val="032E609C"/>
    <w:rsid w:val="033330F0"/>
    <w:rsid w:val="034F1347"/>
    <w:rsid w:val="0365741F"/>
    <w:rsid w:val="03E968D5"/>
    <w:rsid w:val="04556620"/>
    <w:rsid w:val="047168CE"/>
    <w:rsid w:val="0505571B"/>
    <w:rsid w:val="051B326D"/>
    <w:rsid w:val="053C04C8"/>
    <w:rsid w:val="05416AD2"/>
    <w:rsid w:val="05616373"/>
    <w:rsid w:val="058F525E"/>
    <w:rsid w:val="05C84C51"/>
    <w:rsid w:val="05E84B26"/>
    <w:rsid w:val="06252A6E"/>
    <w:rsid w:val="0687339A"/>
    <w:rsid w:val="06A15C47"/>
    <w:rsid w:val="06E337F1"/>
    <w:rsid w:val="06EF1CE5"/>
    <w:rsid w:val="06F25221"/>
    <w:rsid w:val="06FD380E"/>
    <w:rsid w:val="06FD7006"/>
    <w:rsid w:val="07067916"/>
    <w:rsid w:val="074B6F37"/>
    <w:rsid w:val="0751009E"/>
    <w:rsid w:val="07724C40"/>
    <w:rsid w:val="07751C03"/>
    <w:rsid w:val="079A613C"/>
    <w:rsid w:val="07A56FBB"/>
    <w:rsid w:val="07BD6D6B"/>
    <w:rsid w:val="07C573A5"/>
    <w:rsid w:val="07D835C7"/>
    <w:rsid w:val="07F60CB9"/>
    <w:rsid w:val="083C20B8"/>
    <w:rsid w:val="088A468B"/>
    <w:rsid w:val="08BF0398"/>
    <w:rsid w:val="08C510A1"/>
    <w:rsid w:val="08DC62DA"/>
    <w:rsid w:val="08EC4BDE"/>
    <w:rsid w:val="08F16945"/>
    <w:rsid w:val="0902458F"/>
    <w:rsid w:val="09031D95"/>
    <w:rsid w:val="090A5A61"/>
    <w:rsid w:val="090B747A"/>
    <w:rsid w:val="09107FB8"/>
    <w:rsid w:val="09263868"/>
    <w:rsid w:val="092F6558"/>
    <w:rsid w:val="09386E80"/>
    <w:rsid w:val="094920A9"/>
    <w:rsid w:val="095F57C8"/>
    <w:rsid w:val="097D337A"/>
    <w:rsid w:val="0994433E"/>
    <w:rsid w:val="09AD381B"/>
    <w:rsid w:val="09DA27FE"/>
    <w:rsid w:val="09E15AC5"/>
    <w:rsid w:val="09F605F0"/>
    <w:rsid w:val="0A002BCE"/>
    <w:rsid w:val="0A242E8F"/>
    <w:rsid w:val="0A4472B5"/>
    <w:rsid w:val="0AAE1995"/>
    <w:rsid w:val="0ABF28B4"/>
    <w:rsid w:val="0AC8473D"/>
    <w:rsid w:val="0AD64B85"/>
    <w:rsid w:val="0B500570"/>
    <w:rsid w:val="0BCF309E"/>
    <w:rsid w:val="0BF56298"/>
    <w:rsid w:val="0BF91683"/>
    <w:rsid w:val="0C01054E"/>
    <w:rsid w:val="0C14152E"/>
    <w:rsid w:val="0C536D2F"/>
    <w:rsid w:val="0C6A2796"/>
    <w:rsid w:val="0C774C9E"/>
    <w:rsid w:val="0C8B1F5E"/>
    <w:rsid w:val="0C9C3DA6"/>
    <w:rsid w:val="0D381648"/>
    <w:rsid w:val="0D3B78DF"/>
    <w:rsid w:val="0D6867BF"/>
    <w:rsid w:val="0D855FD5"/>
    <w:rsid w:val="0DA05C1B"/>
    <w:rsid w:val="0DA63A8D"/>
    <w:rsid w:val="0DD37EFF"/>
    <w:rsid w:val="0DEB76F2"/>
    <w:rsid w:val="0DF46F68"/>
    <w:rsid w:val="0DFB3293"/>
    <w:rsid w:val="0E433DCE"/>
    <w:rsid w:val="0E6179B4"/>
    <w:rsid w:val="0E731162"/>
    <w:rsid w:val="0E872379"/>
    <w:rsid w:val="0EBC5296"/>
    <w:rsid w:val="0EF9321E"/>
    <w:rsid w:val="0EFF2990"/>
    <w:rsid w:val="0F8E6586"/>
    <w:rsid w:val="0F976BB2"/>
    <w:rsid w:val="0FA06CC8"/>
    <w:rsid w:val="0FA20881"/>
    <w:rsid w:val="0FE305FE"/>
    <w:rsid w:val="0FEB365F"/>
    <w:rsid w:val="10123A80"/>
    <w:rsid w:val="101D77D9"/>
    <w:rsid w:val="10741C20"/>
    <w:rsid w:val="107D09A0"/>
    <w:rsid w:val="10B34A8B"/>
    <w:rsid w:val="10C20557"/>
    <w:rsid w:val="10ED66D5"/>
    <w:rsid w:val="11263370"/>
    <w:rsid w:val="113A2B1E"/>
    <w:rsid w:val="115B1BA8"/>
    <w:rsid w:val="1186757E"/>
    <w:rsid w:val="1187573A"/>
    <w:rsid w:val="11886388"/>
    <w:rsid w:val="11E429C5"/>
    <w:rsid w:val="11EB0315"/>
    <w:rsid w:val="11EC5658"/>
    <w:rsid w:val="12071881"/>
    <w:rsid w:val="121C203C"/>
    <w:rsid w:val="121F6EC5"/>
    <w:rsid w:val="125775E6"/>
    <w:rsid w:val="128017C0"/>
    <w:rsid w:val="12A609D1"/>
    <w:rsid w:val="12E93908"/>
    <w:rsid w:val="12F86B39"/>
    <w:rsid w:val="130328E2"/>
    <w:rsid w:val="1308476A"/>
    <w:rsid w:val="130D2F59"/>
    <w:rsid w:val="132D564E"/>
    <w:rsid w:val="134E0890"/>
    <w:rsid w:val="1355139E"/>
    <w:rsid w:val="13FD22DE"/>
    <w:rsid w:val="14224A30"/>
    <w:rsid w:val="14994DFB"/>
    <w:rsid w:val="14A566F8"/>
    <w:rsid w:val="14A975E7"/>
    <w:rsid w:val="14AC429B"/>
    <w:rsid w:val="14B30F54"/>
    <w:rsid w:val="152022C3"/>
    <w:rsid w:val="15273D1D"/>
    <w:rsid w:val="154020D1"/>
    <w:rsid w:val="155C6B39"/>
    <w:rsid w:val="15787A38"/>
    <w:rsid w:val="1580377E"/>
    <w:rsid w:val="15AA0DB9"/>
    <w:rsid w:val="15BD37CE"/>
    <w:rsid w:val="15BD5123"/>
    <w:rsid w:val="15CF0D89"/>
    <w:rsid w:val="15E70349"/>
    <w:rsid w:val="15F75724"/>
    <w:rsid w:val="161844A8"/>
    <w:rsid w:val="16375AAD"/>
    <w:rsid w:val="163A2906"/>
    <w:rsid w:val="1649189C"/>
    <w:rsid w:val="1666025D"/>
    <w:rsid w:val="16781440"/>
    <w:rsid w:val="16892307"/>
    <w:rsid w:val="169F4829"/>
    <w:rsid w:val="16AA02CE"/>
    <w:rsid w:val="16E06BE2"/>
    <w:rsid w:val="17382033"/>
    <w:rsid w:val="174A2F69"/>
    <w:rsid w:val="174D6D27"/>
    <w:rsid w:val="1766203B"/>
    <w:rsid w:val="177B1022"/>
    <w:rsid w:val="177B4537"/>
    <w:rsid w:val="178A286F"/>
    <w:rsid w:val="179E21CE"/>
    <w:rsid w:val="17AF09B5"/>
    <w:rsid w:val="17C43921"/>
    <w:rsid w:val="17C527F3"/>
    <w:rsid w:val="17DF0011"/>
    <w:rsid w:val="17F43647"/>
    <w:rsid w:val="183326C1"/>
    <w:rsid w:val="18392786"/>
    <w:rsid w:val="18BD0A8D"/>
    <w:rsid w:val="18CE2AA5"/>
    <w:rsid w:val="192D61AC"/>
    <w:rsid w:val="196813EC"/>
    <w:rsid w:val="19943511"/>
    <w:rsid w:val="199C6120"/>
    <w:rsid w:val="19B635EA"/>
    <w:rsid w:val="19ED0C30"/>
    <w:rsid w:val="19F93196"/>
    <w:rsid w:val="1A113A55"/>
    <w:rsid w:val="1A18361C"/>
    <w:rsid w:val="1A35310B"/>
    <w:rsid w:val="1A6432FD"/>
    <w:rsid w:val="1A7D4EFE"/>
    <w:rsid w:val="1AA41354"/>
    <w:rsid w:val="1AC90EF3"/>
    <w:rsid w:val="1ACC4DB0"/>
    <w:rsid w:val="1AD15DB9"/>
    <w:rsid w:val="1B4F371B"/>
    <w:rsid w:val="1B5A1BA8"/>
    <w:rsid w:val="1B5A4D16"/>
    <w:rsid w:val="1B77281E"/>
    <w:rsid w:val="1B831D4D"/>
    <w:rsid w:val="1BBE5289"/>
    <w:rsid w:val="1BDF1522"/>
    <w:rsid w:val="1BE35EAC"/>
    <w:rsid w:val="1BF155F5"/>
    <w:rsid w:val="1BFC2A77"/>
    <w:rsid w:val="1C061F3A"/>
    <w:rsid w:val="1CAD2C0B"/>
    <w:rsid w:val="1CEE265B"/>
    <w:rsid w:val="1D3823E6"/>
    <w:rsid w:val="1D532BBD"/>
    <w:rsid w:val="1D583DF1"/>
    <w:rsid w:val="1D880AB9"/>
    <w:rsid w:val="1D930211"/>
    <w:rsid w:val="1DA70C8C"/>
    <w:rsid w:val="1DAE415E"/>
    <w:rsid w:val="1DB13FB4"/>
    <w:rsid w:val="1DE55F0B"/>
    <w:rsid w:val="1E1A3944"/>
    <w:rsid w:val="1E3F2B12"/>
    <w:rsid w:val="1E4A14A1"/>
    <w:rsid w:val="1EBA6808"/>
    <w:rsid w:val="1EE249AE"/>
    <w:rsid w:val="1EFB596D"/>
    <w:rsid w:val="1F2B2044"/>
    <w:rsid w:val="1F41544F"/>
    <w:rsid w:val="1F761ACF"/>
    <w:rsid w:val="1F8B19CE"/>
    <w:rsid w:val="1F9904AA"/>
    <w:rsid w:val="1F9F6B3E"/>
    <w:rsid w:val="1FDD2518"/>
    <w:rsid w:val="1FFF7819"/>
    <w:rsid w:val="20097E44"/>
    <w:rsid w:val="204F50ED"/>
    <w:rsid w:val="204F5E2F"/>
    <w:rsid w:val="206104AB"/>
    <w:rsid w:val="208445B0"/>
    <w:rsid w:val="208621AD"/>
    <w:rsid w:val="20905E5B"/>
    <w:rsid w:val="20AF2801"/>
    <w:rsid w:val="20B7775D"/>
    <w:rsid w:val="20CD6F28"/>
    <w:rsid w:val="20E93740"/>
    <w:rsid w:val="21042B4C"/>
    <w:rsid w:val="21244F9D"/>
    <w:rsid w:val="215D5AE0"/>
    <w:rsid w:val="21B55F95"/>
    <w:rsid w:val="21B5759E"/>
    <w:rsid w:val="21E137EC"/>
    <w:rsid w:val="222330BA"/>
    <w:rsid w:val="226B6340"/>
    <w:rsid w:val="2272687A"/>
    <w:rsid w:val="228906A7"/>
    <w:rsid w:val="229408A4"/>
    <w:rsid w:val="22FB5E73"/>
    <w:rsid w:val="23166730"/>
    <w:rsid w:val="231D7E1D"/>
    <w:rsid w:val="232C54D7"/>
    <w:rsid w:val="2351600E"/>
    <w:rsid w:val="23575EA4"/>
    <w:rsid w:val="23931A49"/>
    <w:rsid w:val="23A2597A"/>
    <w:rsid w:val="23C562A3"/>
    <w:rsid w:val="23E63FFC"/>
    <w:rsid w:val="24107A5A"/>
    <w:rsid w:val="24190C44"/>
    <w:rsid w:val="241A38D7"/>
    <w:rsid w:val="244439A2"/>
    <w:rsid w:val="24EA11A8"/>
    <w:rsid w:val="25335CFB"/>
    <w:rsid w:val="255F17AC"/>
    <w:rsid w:val="25652A69"/>
    <w:rsid w:val="25A450E0"/>
    <w:rsid w:val="25BC1C48"/>
    <w:rsid w:val="25D57C1A"/>
    <w:rsid w:val="25EC5FD1"/>
    <w:rsid w:val="25F306E1"/>
    <w:rsid w:val="26042AEC"/>
    <w:rsid w:val="26066D6F"/>
    <w:rsid w:val="262F72F6"/>
    <w:rsid w:val="26903450"/>
    <w:rsid w:val="26C37006"/>
    <w:rsid w:val="26D27B82"/>
    <w:rsid w:val="27120CCA"/>
    <w:rsid w:val="272E05F3"/>
    <w:rsid w:val="27347067"/>
    <w:rsid w:val="279B2315"/>
    <w:rsid w:val="27C902C4"/>
    <w:rsid w:val="27CD5050"/>
    <w:rsid w:val="27E11B2A"/>
    <w:rsid w:val="27FF7BCA"/>
    <w:rsid w:val="28011B94"/>
    <w:rsid w:val="282704C8"/>
    <w:rsid w:val="28447AAA"/>
    <w:rsid w:val="285B5A20"/>
    <w:rsid w:val="28812990"/>
    <w:rsid w:val="28F64C71"/>
    <w:rsid w:val="290F7FEC"/>
    <w:rsid w:val="29252190"/>
    <w:rsid w:val="29501E90"/>
    <w:rsid w:val="295477BD"/>
    <w:rsid w:val="298D2D56"/>
    <w:rsid w:val="29A1688F"/>
    <w:rsid w:val="29A43E58"/>
    <w:rsid w:val="29A478CD"/>
    <w:rsid w:val="29BD5F8E"/>
    <w:rsid w:val="29C6603A"/>
    <w:rsid w:val="29FD0873"/>
    <w:rsid w:val="2A15331C"/>
    <w:rsid w:val="2A2E29C2"/>
    <w:rsid w:val="2A31449A"/>
    <w:rsid w:val="2A3224C5"/>
    <w:rsid w:val="2AAF3FAD"/>
    <w:rsid w:val="2B1829BC"/>
    <w:rsid w:val="2B1C7CC4"/>
    <w:rsid w:val="2B210561"/>
    <w:rsid w:val="2B2F3EE2"/>
    <w:rsid w:val="2B3669D1"/>
    <w:rsid w:val="2B9C641C"/>
    <w:rsid w:val="2BC55F5B"/>
    <w:rsid w:val="2BC628A0"/>
    <w:rsid w:val="2BD54077"/>
    <w:rsid w:val="2BD65187"/>
    <w:rsid w:val="2BE05529"/>
    <w:rsid w:val="2BE325A6"/>
    <w:rsid w:val="2C0E56CF"/>
    <w:rsid w:val="2C177AF2"/>
    <w:rsid w:val="2C192006"/>
    <w:rsid w:val="2C295D59"/>
    <w:rsid w:val="2C5F3AE7"/>
    <w:rsid w:val="2C6922ED"/>
    <w:rsid w:val="2C91723F"/>
    <w:rsid w:val="2CB3174D"/>
    <w:rsid w:val="2CB92267"/>
    <w:rsid w:val="2CCA2C8D"/>
    <w:rsid w:val="2CE1542E"/>
    <w:rsid w:val="2D0363AE"/>
    <w:rsid w:val="2D051BB3"/>
    <w:rsid w:val="2D71156A"/>
    <w:rsid w:val="2DDB2AC3"/>
    <w:rsid w:val="2DE71976"/>
    <w:rsid w:val="2DED6716"/>
    <w:rsid w:val="2EAE607B"/>
    <w:rsid w:val="2EEF707B"/>
    <w:rsid w:val="2F035057"/>
    <w:rsid w:val="2F043E2F"/>
    <w:rsid w:val="2F3146C4"/>
    <w:rsid w:val="2F5F4047"/>
    <w:rsid w:val="2F685560"/>
    <w:rsid w:val="2F8F5CD7"/>
    <w:rsid w:val="2FC46825"/>
    <w:rsid w:val="2FD811EC"/>
    <w:rsid w:val="2FDD5A67"/>
    <w:rsid w:val="300316F7"/>
    <w:rsid w:val="303D06B3"/>
    <w:rsid w:val="306D6E48"/>
    <w:rsid w:val="30862E8B"/>
    <w:rsid w:val="30880F1D"/>
    <w:rsid w:val="30952249"/>
    <w:rsid w:val="309B68D7"/>
    <w:rsid w:val="309E5AD2"/>
    <w:rsid w:val="310F1FC7"/>
    <w:rsid w:val="311E2606"/>
    <w:rsid w:val="31245BB5"/>
    <w:rsid w:val="31937418"/>
    <w:rsid w:val="31A90BA5"/>
    <w:rsid w:val="31B27272"/>
    <w:rsid w:val="31C51434"/>
    <w:rsid w:val="32304478"/>
    <w:rsid w:val="3234463C"/>
    <w:rsid w:val="32450CF4"/>
    <w:rsid w:val="324619E1"/>
    <w:rsid w:val="32586001"/>
    <w:rsid w:val="327F3792"/>
    <w:rsid w:val="329C1497"/>
    <w:rsid w:val="32E375F8"/>
    <w:rsid w:val="333C2526"/>
    <w:rsid w:val="33434991"/>
    <w:rsid w:val="33B12246"/>
    <w:rsid w:val="33B37AA4"/>
    <w:rsid w:val="33D733E2"/>
    <w:rsid w:val="33DB3457"/>
    <w:rsid w:val="34073862"/>
    <w:rsid w:val="341B003C"/>
    <w:rsid w:val="342305CC"/>
    <w:rsid w:val="347D775E"/>
    <w:rsid w:val="34831576"/>
    <w:rsid w:val="34A3524A"/>
    <w:rsid w:val="34C115E7"/>
    <w:rsid w:val="34CC68CB"/>
    <w:rsid w:val="34F8294C"/>
    <w:rsid w:val="35133103"/>
    <w:rsid w:val="35462603"/>
    <w:rsid w:val="357716E7"/>
    <w:rsid w:val="35927056"/>
    <w:rsid w:val="35CA73B6"/>
    <w:rsid w:val="35F83386"/>
    <w:rsid w:val="36114B44"/>
    <w:rsid w:val="365E1574"/>
    <w:rsid w:val="36851BED"/>
    <w:rsid w:val="368C657C"/>
    <w:rsid w:val="36924988"/>
    <w:rsid w:val="36971331"/>
    <w:rsid w:val="36A6383E"/>
    <w:rsid w:val="36B125E3"/>
    <w:rsid w:val="36BC50FA"/>
    <w:rsid w:val="36CE51E4"/>
    <w:rsid w:val="36D45F41"/>
    <w:rsid w:val="36ED756A"/>
    <w:rsid w:val="36F249C1"/>
    <w:rsid w:val="36FF01FE"/>
    <w:rsid w:val="37604067"/>
    <w:rsid w:val="37672CBF"/>
    <w:rsid w:val="37767A85"/>
    <w:rsid w:val="37A14871"/>
    <w:rsid w:val="37D26760"/>
    <w:rsid w:val="37D44DFA"/>
    <w:rsid w:val="37DF1F1A"/>
    <w:rsid w:val="37E06B19"/>
    <w:rsid w:val="37EA0216"/>
    <w:rsid w:val="37F343F6"/>
    <w:rsid w:val="37FA3A6D"/>
    <w:rsid w:val="37FA5C5B"/>
    <w:rsid w:val="384B1A5B"/>
    <w:rsid w:val="38507409"/>
    <w:rsid w:val="386048C9"/>
    <w:rsid w:val="387E2D8D"/>
    <w:rsid w:val="388C54AA"/>
    <w:rsid w:val="389C5904"/>
    <w:rsid w:val="38BB654B"/>
    <w:rsid w:val="38EF5A38"/>
    <w:rsid w:val="39083C99"/>
    <w:rsid w:val="39124D4B"/>
    <w:rsid w:val="394A0EC1"/>
    <w:rsid w:val="395F1C11"/>
    <w:rsid w:val="398408EC"/>
    <w:rsid w:val="398D68A4"/>
    <w:rsid w:val="39C92D7F"/>
    <w:rsid w:val="39D5466D"/>
    <w:rsid w:val="39E62997"/>
    <w:rsid w:val="39FD76C3"/>
    <w:rsid w:val="3A1C0B17"/>
    <w:rsid w:val="3A3E001E"/>
    <w:rsid w:val="3A402F86"/>
    <w:rsid w:val="3A4F3BCA"/>
    <w:rsid w:val="3A505559"/>
    <w:rsid w:val="3A560529"/>
    <w:rsid w:val="3A7F4B06"/>
    <w:rsid w:val="3A836D1C"/>
    <w:rsid w:val="3A856C18"/>
    <w:rsid w:val="3A8D18BE"/>
    <w:rsid w:val="3AA56888"/>
    <w:rsid w:val="3ADA6DA0"/>
    <w:rsid w:val="3AE62523"/>
    <w:rsid w:val="3B6013C3"/>
    <w:rsid w:val="3B697D24"/>
    <w:rsid w:val="3B7D5F09"/>
    <w:rsid w:val="3B800BCA"/>
    <w:rsid w:val="3B822B94"/>
    <w:rsid w:val="3B8754F3"/>
    <w:rsid w:val="3B8763FC"/>
    <w:rsid w:val="3B9F4B63"/>
    <w:rsid w:val="3BE30533"/>
    <w:rsid w:val="3BF00020"/>
    <w:rsid w:val="3BF860E4"/>
    <w:rsid w:val="3BFC698B"/>
    <w:rsid w:val="3C0059B2"/>
    <w:rsid w:val="3C0D5558"/>
    <w:rsid w:val="3C5454E9"/>
    <w:rsid w:val="3C5A6958"/>
    <w:rsid w:val="3C7A5184"/>
    <w:rsid w:val="3C8D6DA9"/>
    <w:rsid w:val="3C8F7316"/>
    <w:rsid w:val="3C9402F5"/>
    <w:rsid w:val="3C9D00B7"/>
    <w:rsid w:val="3CAD1E92"/>
    <w:rsid w:val="3CB52527"/>
    <w:rsid w:val="3CBC4302"/>
    <w:rsid w:val="3CEA74F7"/>
    <w:rsid w:val="3CEB7A7F"/>
    <w:rsid w:val="3CF81CA4"/>
    <w:rsid w:val="3D0C2F35"/>
    <w:rsid w:val="3D3007E0"/>
    <w:rsid w:val="3D3744CF"/>
    <w:rsid w:val="3D3879AE"/>
    <w:rsid w:val="3D423563"/>
    <w:rsid w:val="3D4520CB"/>
    <w:rsid w:val="3D7C6112"/>
    <w:rsid w:val="3DFA2DEF"/>
    <w:rsid w:val="3E1A329F"/>
    <w:rsid w:val="3E216801"/>
    <w:rsid w:val="3E3C796E"/>
    <w:rsid w:val="3E4D055F"/>
    <w:rsid w:val="3E706080"/>
    <w:rsid w:val="3E8168E4"/>
    <w:rsid w:val="3E8A0FA4"/>
    <w:rsid w:val="3E900306"/>
    <w:rsid w:val="3E9F4AAD"/>
    <w:rsid w:val="3F0A47E3"/>
    <w:rsid w:val="3F0D77B8"/>
    <w:rsid w:val="3F1F03E6"/>
    <w:rsid w:val="3F392D82"/>
    <w:rsid w:val="3F4D4669"/>
    <w:rsid w:val="3F610F6B"/>
    <w:rsid w:val="3F6A0CBB"/>
    <w:rsid w:val="3F826096"/>
    <w:rsid w:val="3F912386"/>
    <w:rsid w:val="3F9262D9"/>
    <w:rsid w:val="3FE45BCB"/>
    <w:rsid w:val="3FF3732F"/>
    <w:rsid w:val="40111F29"/>
    <w:rsid w:val="40313CBF"/>
    <w:rsid w:val="40367E36"/>
    <w:rsid w:val="406578FB"/>
    <w:rsid w:val="40682937"/>
    <w:rsid w:val="40AD147F"/>
    <w:rsid w:val="40C34607"/>
    <w:rsid w:val="40DA56D9"/>
    <w:rsid w:val="40E16D7E"/>
    <w:rsid w:val="40EE28C0"/>
    <w:rsid w:val="40F117ED"/>
    <w:rsid w:val="40F80B23"/>
    <w:rsid w:val="411B05E3"/>
    <w:rsid w:val="412011F6"/>
    <w:rsid w:val="41276645"/>
    <w:rsid w:val="4128072B"/>
    <w:rsid w:val="41566976"/>
    <w:rsid w:val="415B15A7"/>
    <w:rsid w:val="41962EF5"/>
    <w:rsid w:val="41E6212A"/>
    <w:rsid w:val="42051E29"/>
    <w:rsid w:val="42095795"/>
    <w:rsid w:val="42185F7C"/>
    <w:rsid w:val="4248024C"/>
    <w:rsid w:val="426A1D66"/>
    <w:rsid w:val="427E76F1"/>
    <w:rsid w:val="429D02B3"/>
    <w:rsid w:val="42CC683C"/>
    <w:rsid w:val="42D956C8"/>
    <w:rsid w:val="4309548A"/>
    <w:rsid w:val="43104AE7"/>
    <w:rsid w:val="433724B6"/>
    <w:rsid w:val="43480388"/>
    <w:rsid w:val="437E7F53"/>
    <w:rsid w:val="443F5506"/>
    <w:rsid w:val="44547706"/>
    <w:rsid w:val="44784C6C"/>
    <w:rsid w:val="44992996"/>
    <w:rsid w:val="44A0011B"/>
    <w:rsid w:val="44B40F84"/>
    <w:rsid w:val="44C00D1C"/>
    <w:rsid w:val="44ED1DC7"/>
    <w:rsid w:val="45060392"/>
    <w:rsid w:val="451216B7"/>
    <w:rsid w:val="452122B5"/>
    <w:rsid w:val="45335A8A"/>
    <w:rsid w:val="453D1AAB"/>
    <w:rsid w:val="454765B5"/>
    <w:rsid w:val="4557299E"/>
    <w:rsid w:val="456F50FF"/>
    <w:rsid w:val="457C323B"/>
    <w:rsid w:val="457E57DD"/>
    <w:rsid w:val="45B01990"/>
    <w:rsid w:val="45E357AB"/>
    <w:rsid w:val="45F25EFA"/>
    <w:rsid w:val="46012F11"/>
    <w:rsid w:val="46220326"/>
    <w:rsid w:val="463159A3"/>
    <w:rsid w:val="46A44EEF"/>
    <w:rsid w:val="46AC6D17"/>
    <w:rsid w:val="46D3282B"/>
    <w:rsid w:val="46D52CF0"/>
    <w:rsid w:val="46FF778E"/>
    <w:rsid w:val="47060B1D"/>
    <w:rsid w:val="473B018A"/>
    <w:rsid w:val="47794142"/>
    <w:rsid w:val="47BC268C"/>
    <w:rsid w:val="47C03CD2"/>
    <w:rsid w:val="47D31C64"/>
    <w:rsid w:val="47D60C7A"/>
    <w:rsid w:val="47ED5839"/>
    <w:rsid w:val="480078A2"/>
    <w:rsid w:val="484550FF"/>
    <w:rsid w:val="484A7915"/>
    <w:rsid w:val="48AD446D"/>
    <w:rsid w:val="48E44B81"/>
    <w:rsid w:val="49021398"/>
    <w:rsid w:val="49270BA9"/>
    <w:rsid w:val="49496A9F"/>
    <w:rsid w:val="49B71558"/>
    <w:rsid w:val="4A0B5F87"/>
    <w:rsid w:val="4A1251F7"/>
    <w:rsid w:val="4A161D99"/>
    <w:rsid w:val="4A193AFB"/>
    <w:rsid w:val="4A405D06"/>
    <w:rsid w:val="4A651C58"/>
    <w:rsid w:val="4A7472DD"/>
    <w:rsid w:val="4A761B16"/>
    <w:rsid w:val="4ABD6D0A"/>
    <w:rsid w:val="4ABD76A3"/>
    <w:rsid w:val="4ADB58D2"/>
    <w:rsid w:val="4AE470B6"/>
    <w:rsid w:val="4B092817"/>
    <w:rsid w:val="4B0D06CC"/>
    <w:rsid w:val="4B173265"/>
    <w:rsid w:val="4B322B2B"/>
    <w:rsid w:val="4B56183A"/>
    <w:rsid w:val="4B8942A1"/>
    <w:rsid w:val="4BAA1F72"/>
    <w:rsid w:val="4BB040B9"/>
    <w:rsid w:val="4BFD7A3B"/>
    <w:rsid w:val="4C2D0CE7"/>
    <w:rsid w:val="4C332C5F"/>
    <w:rsid w:val="4C5900BC"/>
    <w:rsid w:val="4C6F3DEB"/>
    <w:rsid w:val="4C7A2B06"/>
    <w:rsid w:val="4CAA3889"/>
    <w:rsid w:val="4CBA7B38"/>
    <w:rsid w:val="4CCA0782"/>
    <w:rsid w:val="4CE34015"/>
    <w:rsid w:val="4D145493"/>
    <w:rsid w:val="4D3B1641"/>
    <w:rsid w:val="4D747580"/>
    <w:rsid w:val="4D8B3376"/>
    <w:rsid w:val="4D99583C"/>
    <w:rsid w:val="4D9C5D37"/>
    <w:rsid w:val="4DA3038B"/>
    <w:rsid w:val="4DCA4186"/>
    <w:rsid w:val="4DF729BF"/>
    <w:rsid w:val="4E2F389F"/>
    <w:rsid w:val="4E3A63D1"/>
    <w:rsid w:val="4E4F242B"/>
    <w:rsid w:val="4E7A5B40"/>
    <w:rsid w:val="4E943F2C"/>
    <w:rsid w:val="4E9862F9"/>
    <w:rsid w:val="4E9F5608"/>
    <w:rsid w:val="4EE22678"/>
    <w:rsid w:val="4EEB03E5"/>
    <w:rsid w:val="4F382C41"/>
    <w:rsid w:val="4F55431A"/>
    <w:rsid w:val="4F696769"/>
    <w:rsid w:val="4F7F747B"/>
    <w:rsid w:val="4FA07C40"/>
    <w:rsid w:val="50033D8F"/>
    <w:rsid w:val="50103980"/>
    <w:rsid w:val="505770C8"/>
    <w:rsid w:val="50BC7B37"/>
    <w:rsid w:val="50C245B8"/>
    <w:rsid w:val="50D133DB"/>
    <w:rsid w:val="50DB5C26"/>
    <w:rsid w:val="50EF7D6F"/>
    <w:rsid w:val="5106108A"/>
    <w:rsid w:val="510F0E13"/>
    <w:rsid w:val="512173A0"/>
    <w:rsid w:val="51323DDA"/>
    <w:rsid w:val="51453FF0"/>
    <w:rsid w:val="51556929"/>
    <w:rsid w:val="515E4A9F"/>
    <w:rsid w:val="51721D7C"/>
    <w:rsid w:val="51B74294"/>
    <w:rsid w:val="51DF0A82"/>
    <w:rsid w:val="51F05E98"/>
    <w:rsid w:val="52147923"/>
    <w:rsid w:val="525941F7"/>
    <w:rsid w:val="527C1691"/>
    <w:rsid w:val="5292555D"/>
    <w:rsid w:val="52AE3D1B"/>
    <w:rsid w:val="52DE3514"/>
    <w:rsid w:val="53117559"/>
    <w:rsid w:val="534C49F3"/>
    <w:rsid w:val="5357372F"/>
    <w:rsid w:val="53B35A5D"/>
    <w:rsid w:val="53BF27D4"/>
    <w:rsid w:val="53E723A1"/>
    <w:rsid w:val="53F54C2E"/>
    <w:rsid w:val="54222DDD"/>
    <w:rsid w:val="542425E2"/>
    <w:rsid w:val="54344773"/>
    <w:rsid w:val="54394370"/>
    <w:rsid w:val="543E011A"/>
    <w:rsid w:val="54407500"/>
    <w:rsid w:val="54493DF7"/>
    <w:rsid w:val="545929E7"/>
    <w:rsid w:val="549142A8"/>
    <w:rsid w:val="549D6CE0"/>
    <w:rsid w:val="54AD7F7B"/>
    <w:rsid w:val="54B44ECE"/>
    <w:rsid w:val="54C91A0A"/>
    <w:rsid w:val="54DE4D49"/>
    <w:rsid w:val="55000774"/>
    <w:rsid w:val="55060661"/>
    <w:rsid w:val="55376FFB"/>
    <w:rsid w:val="55720FF7"/>
    <w:rsid w:val="557C6707"/>
    <w:rsid w:val="558162AE"/>
    <w:rsid w:val="559429DE"/>
    <w:rsid w:val="55AA05EB"/>
    <w:rsid w:val="55F0410E"/>
    <w:rsid w:val="55F96F9C"/>
    <w:rsid w:val="562B5EAA"/>
    <w:rsid w:val="56472B1F"/>
    <w:rsid w:val="565B1A48"/>
    <w:rsid w:val="566470A3"/>
    <w:rsid w:val="566B3416"/>
    <w:rsid w:val="568709D5"/>
    <w:rsid w:val="56A906C7"/>
    <w:rsid w:val="56C553EB"/>
    <w:rsid w:val="56E23564"/>
    <w:rsid w:val="57007337"/>
    <w:rsid w:val="5717472B"/>
    <w:rsid w:val="572A5B8D"/>
    <w:rsid w:val="57337051"/>
    <w:rsid w:val="57774C26"/>
    <w:rsid w:val="578F0805"/>
    <w:rsid w:val="57BB7E76"/>
    <w:rsid w:val="57D60BF4"/>
    <w:rsid w:val="58186787"/>
    <w:rsid w:val="5828737D"/>
    <w:rsid w:val="58467231"/>
    <w:rsid w:val="586D09FC"/>
    <w:rsid w:val="58716105"/>
    <w:rsid w:val="5889759D"/>
    <w:rsid w:val="588E161E"/>
    <w:rsid w:val="589A2E73"/>
    <w:rsid w:val="589B2B6B"/>
    <w:rsid w:val="58D7394C"/>
    <w:rsid w:val="58DE502E"/>
    <w:rsid w:val="58F00CE5"/>
    <w:rsid w:val="592B4B52"/>
    <w:rsid w:val="593F7462"/>
    <w:rsid w:val="59444F8D"/>
    <w:rsid w:val="5978263A"/>
    <w:rsid w:val="597E01B2"/>
    <w:rsid w:val="597F1FCE"/>
    <w:rsid w:val="59D10454"/>
    <w:rsid w:val="5A1D3BA6"/>
    <w:rsid w:val="5A4200BC"/>
    <w:rsid w:val="5A561D6A"/>
    <w:rsid w:val="5A895371"/>
    <w:rsid w:val="5A9D22C1"/>
    <w:rsid w:val="5AAC1325"/>
    <w:rsid w:val="5AB7379A"/>
    <w:rsid w:val="5AC35A59"/>
    <w:rsid w:val="5ADE12BE"/>
    <w:rsid w:val="5B296E65"/>
    <w:rsid w:val="5B6C3B0B"/>
    <w:rsid w:val="5BB01B6E"/>
    <w:rsid w:val="5BE91621"/>
    <w:rsid w:val="5C134676"/>
    <w:rsid w:val="5C272C70"/>
    <w:rsid w:val="5C5F523E"/>
    <w:rsid w:val="5C6866AB"/>
    <w:rsid w:val="5C717B87"/>
    <w:rsid w:val="5C8B068D"/>
    <w:rsid w:val="5CB56981"/>
    <w:rsid w:val="5CDA602F"/>
    <w:rsid w:val="5CFE3E03"/>
    <w:rsid w:val="5D3158A9"/>
    <w:rsid w:val="5D791B03"/>
    <w:rsid w:val="5D7A30E3"/>
    <w:rsid w:val="5D9E0E98"/>
    <w:rsid w:val="5DA06621"/>
    <w:rsid w:val="5E21151A"/>
    <w:rsid w:val="5E826883"/>
    <w:rsid w:val="5EBB05F2"/>
    <w:rsid w:val="5EC07E90"/>
    <w:rsid w:val="5EDC564E"/>
    <w:rsid w:val="5EE52C75"/>
    <w:rsid w:val="5F05455A"/>
    <w:rsid w:val="5F3F4774"/>
    <w:rsid w:val="5F4B2762"/>
    <w:rsid w:val="5F96175A"/>
    <w:rsid w:val="5F983DCE"/>
    <w:rsid w:val="5FB15C3A"/>
    <w:rsid w:val="5FBF7663"/>
    <w:rsid w:val="5FED343B"/>
    <w:rsid w:val="600458B7"/>
    <w:rsid w:val="601E790B"/>
    <w:rsid w:val="602237BF"/>
    <w:rsid w:val="6024743B"/>
    <w:rsid w:val="605F7F2C"/>
    <w:rsid w:val="60603FAA"/>
    <w:rsid w:val="6077540C"/>
    <w:rsid w:val="60B62717"/>
    <w:rsid w:val="60B87F19"/>
    <w:rsid w:val="60E75B2D"/>
    <w:rsid w:val="60ED7350"/>
    <w:rsid w:val="611D713C"/>
    <w:rsid w:val="61237ADD"/>
    <w:rsid w:val="61700C15"/>
    <w:rsid w:val="61C43A0D"/>
    <w:rsid w:val="61C93BBF"/>
    <w:rsid w:val="61D902F0"/>
    <w:rsid w:val="620A0BC9"/>
    <w:rsid w:val="622B4726"/>
    <w:rsid w:val="62322F68"/>
    <w:rsid w:val="624D0527"/>
    <w:rsid w:val="628C5F22"/>
    <w:rsid w:val="62C87A27"/>
    <w:rsid w:val="62DC16E3"/>
    <w:rsid w:val="630725B1"/>
    <w:rsid w:val="630F1C12"/>
    <w:rsid w:val="631A006C"/>
    <w:rsid w:val="633D546F"/>
    <w:rsid w:val="634F6CBC"/>
    <w:rsid w:val="63610174"/>
    <w:rsid w:val="63696E29"/>
    <w:rsid w:val="636F6613"/>
    <w:rsid w:val="637749B7"/>
    <w:rsid w:val="637E354B"/>
    <w:rsid w:val="63A444E6"/>
    <w:rsid w:val="63A728E8"/>
    <w:rsid w:val="63CB4788"/>
    <w:rsid w:val="63E1229E"/>
    <w:rsid w:val="641129EA"/>
    <w:rsid w:val="642672F2"/>
    <w:rsid w:val="64461C1A"/>
    <w:rsid w:val="6456362D"/>
    <w:rsid w:val="64987EBA"/>
    <w:rsid w:val="64996C5F"/>
    <w:rsid w:val="64D43BB1"/>
    <w:rsid w:val="65235E30"/>
    <w:rsid w:val="652C7AAA"/>
    <w:rsid w:val="653F7BC6"/>
    <w:rsid w:val="655144C3"/>
    <w:rsid w:val="65536205"/>
    <w:rsid w:val="65992695"/>
    <w:rsid w:val="65C362AC"/>
    <w:rsid w:val="66092497"/>
    <w:rsid w:val="66373E6C"/>
    <w:rsid w:val="66602909"/>
    <w:rsid w:val="666B5E4F"/>
    <w:rsid w:val="66D8778C"/>
    <w:rsid w:val="6720484B"/>
    <w:rsid w:val="674B4506"/>
    <w:rsid w:val="67513297"/>
    <w:rsid w:val="678A49CE"/>
    <w:rsid w:val="67A72527"/>
    <w:rsid w:val="67C302A4"/>
    <w:rsid w:val="67C535D3"/>
    <w:rsid w:val="67F00D02"/>
    <w:rsid w:val="67FF2A13"/>
    <w:rsid w:val="680D18B3"/>
    <w:rsid w:val="68130B4F"/>
    <w:rsid w:val="68196220"/>
    <w:rsid w:val="682E1F85"/>
    <w:rsid w:val="683B22DC"/>
    <w:rsid w:val="685D7FD1"/>
    <w:rsid w:val="686A7177"/>
    <w:rsid w:val="689428D2"/>
    <w:rsid w:val="68C84DAC"/>
    <w:rsid w:val="68E8522C"/>
    <w:rsid w:val="68FD36D6"/>
    <w:rsid w:val="69071205"/>
    <w:rsid w:val="694B07F4"/>
    <w:rsid w:val="696F5C56"/>
    <w:rsid w:val="69841830"/>
    <w:rsid w:val="69C064B2"/>
    <w:rsid w:val="69D22DF1"/>
    <w:rsid w:val="6A0013D3"/>
    <w:rsid w:val="6A28604B"/>
    <w:rsid w:val="6A317D67"/>
    <w:rsid w:val="6A335654"/>
    <w:rsid w:val="6A336856"/>
    <w:rsid w:val="6A447C84"/>
    <w:rsid w:val="6A780E8D"/>
    <w:rsid w:val="6A7B48DB"/>
    <w:rsid w:val="6A9401DE"/>
    <w:rsid w:val="6AD10AF9"/>
    <w:rsid w:val="6B30362A"/>
    <w:rsid w:val="6B473025"/>
    <w:rsid w:val="6B5A1A48"/>
    <w:rsid w:val="6B8034E5"/>
    <w:rsid w:val="6B9312A9"/>
    <w:rsid w:val="6BAD485D"/>
    <w:rsid w:val="6BD32BF1"/>
    <w:rsid w:val="6BEE37AA"/>
    <w:rsid w:val="6C0E6612"/>
    <w:rsid w:val="6C303DC2"/>
    <w:rsid w:val="6C950C99"/>
    <w:rsid w:val="6D286848"/>
    <w:rsid w:val="6D2E6CF5"/>
    <w:rsid w:val="6D2F5E28"/>
    <w:rsid w:val="6D4168E6"/>
    <w:rsid w:val="6DA560EA"/>
    <w:rsid w:val="6DB64422"/>
    <w:rsid w:val="6DE53C17"/>
    <w:rsid w:val="6DF5118C"/>
    <w:rsid w:val="6E021E51"/>
    <w:rsid w:val="6E0544A4"/>
    <w:rsid w:val="6E1D123B"/>
    <w:rsid w:val="6E2533FB"/>
    <w:rsid w:val="6E5167C7"/>
    <w:rsid w:val="6E6D6C7D"/>
    <w:rsid w:val="6E7E08C6"/>
    <w:rsid w:val="6E961B9A"/>
    <w:rsid w:val="6EF410D7"/>
    <w:rsid w:val="6F03131A"/>
    <w:rsid w:val="6F1A57AF"/>
    <w:rsid w:val="6F1B2A3A"/>
    <w:rsid w:val="6F2C416F"/>
    <w:rsid w:val="6F2D0E30"/>
    <w:rsid w:val="6F415B91"/>
    <w:rsid w:val="6F481FDE"/>
    <w:rsid w:val="6F5B5AA7"/>
    <w:rsid w:val="6F5F1B7B"/>
    <w:rsid w:val="6F8664F0"/>
    <w:rsid w:val="6F8B5668"/>
    <w:rsid w:val="6FBF0CBE"/>
    <w:rsid w:val="6FD77184"/>
    <w:rsid w:val="6FF27577"/>
    <w:rsid w:val="6FFA7E36"/>
    <w:rsid w:val="700A5557"/>
    <w:rsid w:val="70352066"/>
    <w:rsid w:val="704F6088"/>
    <w:rsid w:val="706C6511"/>
    <w:rsid w:val="70794A27"/>
    <w:rsid w:val="70B81260"/>
    <w:rsid w:val="70CD1B9F"/>
    <w:rsid w:val="70F8313B"/>
    <w:rsid w:val="71075701"/>
    <w:rsid w:val="71165496"/>
    <w:rsid w:val="711D15A8"/>
    <w:rsid w:val="712F7A87"/>
    <w:rsid w:val="713003C1"/>
    <w:rsid w:val="714B27BD"/>
    <w:rsid w:val="7153060B"/>
    <w:rsid w:val="716B13F9"/>
    <w:rsid w:val="71900F9C"/>
    <w:rsid w:val="71B765B8"/>
    <w:rsid w:val="72026615"/>
    <w:rsid w:val="72161365"/>
    <w:rsid w:val="72395ED1"/>
    <w:rsid w:val="72777687"/>
    <w:rsid w:val="728C7007"/>
    <w:rsid w:val="72A9667D"/>
    <w:rsid w:val="72C91C70"/>
    <w:rsid w:val="72E26194"/>
    <w:rsid w:val="72F1688A"/>
    <w:rsid w:val="72FD64B4"/>
    <w:rsid w:val="72FD78B5"/>
    <w:rsid w:val="730B4735"/>
    <w:rsid w:val="731E4158"/>
    <w:rsid w:val="73203668"/>
    <w:rsid w:val="732E09B4"/>
    <w:rsid w:val="73442D0C"/>
    <w:rsid w:val="73593BFF"/>
    <w:rsid w:val="73593C88"/>
    <w:rsid w:val="73764755"/>
    <w:rsid w:val="738F594B"/>
    <w:rsid w:val="73952157"/>
    <w:rsid w:val="7395324D"/>
    <w:rsid w:val="73D2750D"/>
    <w:rsid w:val="73D56FFD"/>
    <w:rsid w:val="73FB6A64"/>
    <w:rsid w:val="74067A30"/>
    <w:rsid w:val="741E320F"/>
    <w:rsid w:val="746C1710"/>
    <w:rsid w:val="74B7598C"/>
    <w:rsid w:val="74D04D8D"/>
    <w:rsid w:val="74D51FDA"/>
    <w:rsid w:val="75223E75"/>
    <w:rsid w:val="759A0CE2"/>
    <w:rsid w:val="75C8797B"/>
    <w:rsid w:val="76077F4C"/>
    <w:rsid w:val="761426A7"/>
    <w:rsid w:val="761C259D"/>
    <w:rsid w:val="76361CF9"/>
    <w:rsid w:val="76766FCC"/>
    <w:rsid w:val="76785167"/>
    <w:rsid w:val="769F4608"/>
    <w:rsid w:val="76D2381E"/>
    <w:rsid w:val="76F971C0"/>
    <w:rsid w:val="77085438"/>
    <w:rsid w:val="77176F4C"/>
    <w:rsid w:val="772A62DA"/>
    <w:rsid w:val="77330C34"/>
    <w:rsid w:val="77416E84"/>
    <w:rsid w:val="775A30EF"/>
    <w:rsid w:val="776B221F"/>
    <w:rsid w:val="77723872"/>
    <w:rsid w:val="77CD6969"/>
    <w:rsid w:val="77DD3C24"/>
    <w:rsid w:val="77E32D64"/>
    <w:rsid w:val="77F11324"/>
    <w:rsid w:val="781B440C"/>
    <w:rsid w:val="78266F87"/>
    <w:rsid w:val="782B2C12"/>
    <w:rsid w:val="7836039F"/>
    <w:rsid w:val="784C10F9"/>
    <w:rsid w:val="786D5BDD"/>
    <w:rsid w:val="78E10C2F"/>
    <w:rsid w:val="78F114F9"/>
    <w:rsid w:val="7910102E"/>
    <w:rsid w:val="79166739"/>
    <w:rsid w:val="793E3C35"/>
    <w:rsid w:val="79464C25"/>
    <w:rsid w:val="79492020"/>
    <w:rsid w:val="796C52FC"/>
    <w:rsid w:val="79762852"/>
    <w:rsid w:val="79886A40"/>
    <w:rsid w:val="79A36FCD"/>
    <w:rsid w:val="7A0C3B3A"/>
    <w:rsid w:val="7A0D2F97"/>
    <w:rsid w:val="7A0E53C8"/>
    <w:rsid w:val="7A197CD0"/>
    <w:rsid w:val="7A4132D5"/>
    <w:rsid w:val="7A4E72E7"/>
    <w:rsid w:val="7A6A1622"/>
    <w:rsid w:val="7A70244F"/>
    <w:rsid w:val="7A842F13"/>
    <w:rsid w:val="7A9D69F8"/>
    <w:rsid w:val="7AA11299"/>
    <w:rsid w:val="7AA65250"/>
    <w:rsid w:val="7ABA5383"/>
    <w:rsid w:val="7AC13515"/>
    <w:rsid w:val="7AD53F1B"/>
    <w:rsid w:val="7AE80B08"/>
    <w:rsid w:val="7AF36652"/>
    <w:rsid w:val="7B046B46"/>
    <w:rsid w:val="7B06480D"/>
    <w:rsid w:val="7B1E408D"/>
    <w:rsid w:val="7B5829EE"/>
    <w:rsid w:val="7B5F4D93"/>
    <w:rsid w:val="7B7A0BB6"/>
    <w:rsid w:val="7BA244C4"/>
    <w:rsid w:val="7BBA7205"/>
    <w:rsid w:val="7BCC57E4"/>
    <w:rsid w:val="7BE35CBC"/>
    <w:rsid w:val="7BFC49DF"/>
    <w:rsid w:val="7C122B9D"/>
    <w:rsid w:val="7C1A5EF5"/>
    <w:rsid w:val="7C355D71"/>
    <w:rsid w:val="7C3611F8"/>
    <w:rsid w:val="7C422690"/>
    <w:rsid w:val="7C5331B5"/>
    <w:rsid w:val="7C633257"/>
    <w:rsid w:val="7C6D0D6C"/>
    <w:rsid w:val="7CA852AF"/>
    <w:rsid w:val="7CBA48D4"/>
    <w:rsid w:val="7CBA4FE2"/>
    <w:rsid w:val="7CD37428"/>
    <w:rsid w:val="7CED59E7"/>
    <w:rsid w:val="7CFB5D27"/>
    <w:rsid w:val="7D0B0C7E"/>
    <w:rsid w:val="7D47537F"/>
    <w:rsid w:val="7D4A591B"/>
    <w:rsid w:val="7D4A7640"/>
    <w:rsid w:val="7D9C40A0"/>
    <w:rsid w:val="7DAF0AC7"/>
    <w:rsid w:val="7DC431AB"/>
    <w:rsid w:val="7DE727E7"/>
    <w:rsid w:val="7DE85896"/>
    <w:rsid w:val="7DEB24F4"/>
    <w:rsid w:val="7E2A0D55"/>
    <w:rsid w:val="7E5A3C54"/>
    <w:rsid w:val="7E864CCF"/>
    <w:rsid w:val="7E89169F"/>
    <w:rsid w:val="7E9C30E7"/>
    <w:rsid w:val="7ED25A0D"/>
    <w:rsid w:val="7F144E7E"/>
    <w:rsid w:val="7F271055"/>
    <w:rsid w:val="7F49264D"/>
    <w:rsid w:val="7F631B2A"/>
    <w:rsid w:val="7F97371E"/>
    <w:rsid w:val="7F983AEE"/>
    <w:rsid w:val="7FA13B61"/>
    <w:rsid w:val="7FAC50B6"/>
    <w:rsid w:val="7FDF7F40"/>
    <w:rsid w:val="7FF03A47"/>
    <w:rsid w:val="DFEEA13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25"/>
    <w:qFormat/>
    <w:uiPriority w:val="0"/>
    <w:pPr>
      <w:keepNext/>
      <w:keepLines/>
      <w:spacing w:before="340" w:beforeLines="0" w:beforeAutospacing="0" w:after="330" w:afterLines="0" w:afterAutospacing="0" w:line="576" w:lineRule="auto"/>
      <w:jc w:val="center"/>
      <w:outlineLvl w:val="0"/>
    </w:pPr>
    <w:rPr>
      <w:rFonts w:ascii="等线" w:hAnsi="等线" w:eastAsia="宋体" w:cs="Times New Roman"/>
      <w:b/>
      <w:kern w:val="44"/>
      <w:sz w:val="36"/>
      <w:szCs w:val="22"/>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2">
    <w:name w:val="heading 3"/>
    <w:basedOn w:val="1"/>
    <w:next w:val="3"/>
    <w:qFormat/>
    <w:uiPriority w:val="9"/>
    <w:pPr>
      <w:keepNext/>
      <w:keepLines/>
      <w:spacing w:line="360" w:lineRule="auto"/>
      <w:outlineLvl w:val="2"/>
    </w:pPr>
    <w:rPr>
      <w:rFonts w:cs="Times New Roman"/>
      <w:b/>
      <w:bCs/>
      <w:sz w:val="28"/>
      <w:szCs w:val="32"/>
    </w:rPr>
  </w:style>
  <w:style w:type="paragraph" w:styleId="6">
    <w:name w:val="heading 4"/>
    <w:basedOn w:val="1"/>
    <w:next w:val="1"/>
    <w:unhideWhenUsed/>
    <w:qFormat/>
    <w:uiPriority w:val="0"/>
    <w:pPr>
      <w:keepNext/>
      <w:keepLines/>
      <w:spacing w:beforeLines="0" w:beforeAutospacing="0" w:afterLines="0" w:afterAutospacing="0" w:line="360" w:lineRule="auto"/>
      <w:outlineLvl w:val="3"/>
    </w:pPr>
    <w:rPr>
      <w:rFonts w:ascii="Arial" w:hAnsi="Arial"/>
      <w:b/>
    </w:rPr>
  </w:style>
  <w:style w:type="character" w:default="1" w:styleId="19">
    <w:name w:val="Default Paragraph Font"/>
    <w:uiPriority w:val="0"/>
  </w:style>
  <w:style w:type="table" w:default="1" w:styleId="17">
    <w:name w:val="Normal Table"/>
    <w:semiHidden/>
    <w:uiPriority w:val="0"/>
    <w:tblPr>
      <w:tblStyle w:val="17"/>
      <w:tblCellMar>
        <w:top w:w="0" w:type="dxa"/>
        <w:left w:w="108" w:type="dxa"/>
        <w:bottom w:w="0" w:type="dxa"/>
        <w:right w:w="108" w:type="dxa"/>
      </w:tblCellMar>
    </w:tblPr>
  </w:style>
  <w:style w:type="paragraph" w:styleId="3">
    <w:name w:val="Normal Indent"/>
    <w:basedOn w:val="1"/>
    <w:next w:val="1"/>
    <w:qFormat/>
    <w:uiPriority w:val="99"/>
    <w:pPr>
      <w:ind w:firstLine="420"/>
    </w:pPr>
    <w:rPr>
      <w:rFonts w:ascii="Calibri" w:hAnsi="Calibri"/>
      <w:szCs w:val="20"/>
    </w:rPr>
  </w:style>
  <w:style w:type="paragraph" w:styleId="7">
    <w:name w:val="table of authorities"/>
    <w:basedOn w:val="1"/>
    <w:next w:val="1"/>
    <w:qFormat/>
    <w:uiPriority w:val="0"/>
    <w:pPr>
      <w:ind w:left="420" w:leftChars="200"/>
    </w:pPr>
  </w:style>
  <w:style w:type="paragraph" w:styleId="8">
    <w:name w:val="annotation text"/>
    <w:basedOn w:val="1"/>
    <w:uiPriority w:val="0"/>
    <w:pPr>
      <w:jc w:val="left"/>
    </w:pPr>
  </w:style>
  <w:style w:type="paragraph" w:styleId="9">
    <w:name w:val="Body Text"/>
    <w:basedOn w:val="1"/>
    <w:qFormat/>
    <w:uiPriority w:val="99"/>
    <w:pPr>
      <w:spacing w:after="120"/>
    </w:pPr>
    <w:rPr>
      <w:sz w:val="21"/>
    </w:rPr>
  </w:style>
  <w:style w:type="paragraph" w:styleId="10">
    <w:name w:val="Body Text Indent"/>
    <w:basedOn w:val="1"/>
    <w:next w:val="11"/>
    <w:qFormat/>
    <w:uiPriority w:val="0"/>
    <w:pPr>
      <w:ind w:firstLine="360" w:firstLineChars="150"/>
      <w:jc w:val="left"/>
    </w:pPr>
  </w:style>
  <w:style w:type="paragraph" w:styleId="11">
    <w:name w:val="header"/>
    <w:basedOn w:val="1"/>
    <w:qFormat/>
    <w:uiPriority w:val="99"/>
    <w:pPr>
      <w:pBdr>
        <w:bottom w:val="single" w:color="auto" w:sz="6" w:space="1"/>
      </w:pBdr>
      <w:tabs>
        <w:tab w:val="center" w:pos="4153"/>
        <w:tab w:val="right" w:pos="8306"/>
      </w:tabs>
      <w:snapToGrid w:val="0"/>
      <w:jc w:val="center"/>
    </w:pPr>
    <w:rPr>
      <w:sz w:val="18"/>
    </w:rPr>
  </w:style>
  <w:style w:type="paragraph" w:styleId="12">
    <w:name w:val="footer"/>
    <w:basedOn w:val="1"/>
    <w:qFormat/>
    <w:uiPriority w:val="99"/>
    <w:pPr>
      <w:tabs>
        <w:tab w:val="center" w:pos="4153"/>
        <w:tab w:val="right" w:pos="8306"/>
      </w:tabs>
      <w:snapToGrid w:val="0"/>
      <w:jc w:val="left"/>
    </w:pPr>
    <w:rPr>
      <w:kern w:val="0"/>
      <w:sz w:val="18"/>
      <w:szCs w:val="20"/>
    </w:rPr>
  </w:style>
  <w:style w:type="paragraph" w:styleId="13">
    <w:name w:val="Body Text Indent 3"/>
    <w:basedOn w:val="1"/>
    <w:qFormat/>
    <w:uiPriority w:val="99"/>
    <w:pPr>
      <w:widowControl/>
      <w:ind w:firstLine="552" w:firstLineChars="200"/>
    </w:pPr>
    <w:rPr>
      <w:spacing w:val="-2"/>
      <w:kern w:val="0"/>
      <w:sz w:val="20"/>
      <w:szCs w:val="20"/>
    </w:rPr>
  </w:style>
  <w:style w:type="paragraph" w:styleId="14">
    <w:name w:val="Normal (Web)"/>
    <w:basedOn w:val="1"/>
    <w:uiPriority w:val="0"/>
    <w:pPr>
      <w:widowControl/>
      <w:spacing w:before="100" w:beforeAutospacing="1" w:after="100" w:afterAutospacing="1"/>
      <w:jc w:val="left"/>
    </w:pPr>
    <w:rPr>
      <w:rFonts w:ascii="宋体" w:hAnsi="宋体"/>
      <w:kern w:val="0"/>
      <w:sz w:val="24"/>
      <w:szCs w:val="20"/>
    </w:rPr>
  </w:style>
  <w:style w:type="paragraph" w:styleId="15">
    <w:name w:val="Body Text First Indent"/>
    <w:basedOn w:val="9"/>
    <w:qFormat/>
    <w:uiPriority w:val="0"/>
    <w:pPr>
      <w:adjustRightInd w:val="0"/>
      <w:spacing w:beforeLines="50" w:after="0" w:line="360" w:lineRule="auto"/>
      <w:ind w:firstLine="200" w:firstLineChars="200"/>
    </w:pPr>
    <w:rPr>
      <w:sz w:val="24"/>
    </w:rPr>
  </w:style>
  <w:style w:type="paragraph" w:styleId="16">
    <w:name w:val="Body Text First Indent 2"/>
    <w:basedOn w:val="10"/>
    <w:next w:val="1"/>
    <w:qFormat/>
    <w:uiPriority w:val="99"/>
    <w:pPr>
      <w:adjustRightInd w:val="0"/>
      <w:spacing w:line="360" w:lineRule="atLeast"/>
      <w:ind w:left="0" w:leftChars="0" w:firstLine="210"/>
      <w:jc w:val="left"/>
      <w:textAlignment w:val="baseline"/>
    </w:pPr>
    <w:rPr>
      <w:rFonts w:eastAsia="楷体_GB2312"/>
    </w:rPr>
  </w:style>
  <w:style w:type="table" w:styleId="18">
    <w:name w:val="Table Grid"/>
    <w:basedOn w:val="17"/>
    <w:uiPriority w:val="0"/>
    <w:rPr>
      <w:lang w:val="en-US" w:eastAsia="zh-CN" w:bidi="ar-SA"/>
    </w:rPr>
    <w:tblPr>
      <w:tblStyle w:val="1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FollowedHyperlink"/>
    <w:basedOn w:val="19"/>
    <w:uiPriority w:val="0"/>
    <w:rPr>
      <w:color w:val="000000"/>
      <w:u w:val="none"/>
    </w:rPr>
  </w:style>
  <w:style w:type="character" w:styleId="22">
    <w:name w:val="Emphasis"/>
    <w:basedOn w:val="19"/>
    <w:qFormat/>
    <w:uiPriority w:val="0"/>
  </w:style>
  <w:style w:type="character" w:styleId="23">
    <w:name w:val="Hyperlink"/>
    <w:basedOn w:val="19"/>
    <w:uiPriority w:val="0"/>
    <w:rPr>
      <w:color w:val="000000"/>
      <w:u w:val="none"/>
    </w:rPr>
  </w:style>
  <w:style w:type="character" w:styleId="24">
    <w:name w:val="annotation reference"/>
    <w:basedOn w:val="19"/>
    <w:semiHidden/>
    <w:qFormat/>
    <w:uiPriority w:val="0"/>
    <w:rPr>
      <w:sz w:val="21"/>
    </w:rPr>
  </w:style>
  <w:style w:type="character" w:customStyle="1" w:styleId="25">
    <w:name w:val="标题 1 Char"/>
    <w:link w:val="4"/>
    <w:uiPriority w:val="0"/>
    <w:rPr>
      <w:rFonts w:ascii="等线" w:hAnsi="等线" w:eastAsia="宋体" w:cs="Times New Roman"/>
      <w:b/>
      <w:kern w:val="44"/>
      <w:sz w:val="36"/>
      <w:szCs w:val="22"/>
    </w:rPr>
  </w:style>
  <w:style w:type="paragraph" w:customStyle="1" w:styleId="26">
    <w:name w:val="表格"/>
    <w:basedOn w:val="1"/>
    <w:next w:val="1"/>
    <w:qFormat/>
    <w:uiPriority w:val="0"/>
    <w:pPr>
      <w:adjustRightInd w:val="0"/>
      <w:snapToGrid w:val="0"/>
      <w:spacing w:line="240" w:lineRule="auto"/>
      <w:jc w:val="left"/>
    </w:pPr>
    <w:rPr>
      <w:rFonts w:ascii="Times New Roman" w:hAnsi="Times New Roman"/>
      <w:kern w:val="0"/>
      <w:sz w:val="21"/>
      <w:szCs w:val="20"/>
    </w:rPr>
  </w:style>
  <w:style w:type="paragraph" w:customStyle="1" w:styleId="27">
    <w:name w:val="表头"/>
    <w:basedOn w:val="15"/>
    <w:next w:val="1"/>
    <w:link w:val="28"/>
    <w:qFormat/>
    <w:uiPriority w:val="0"/>
    <w:pPr>
      <w:spacing w:before="50" w:line="240" w:lineRule="auto"/>
      <w:jc w:val="center"/>
    </w:pPr>
    <w:rPr>
      <w:b/>
      <w:sz w:val="21"/>
    </w:rPr>
  </w:style>
  <w:style w:type="character" w:customStyle="1" w:styleId="28">
    <w:name w:val="表头 Char"/>
    <w:link w:val="27"/>
    <w:uiPriority w:val="0"/>
    <w:rPr>
      <w:b/>
      <w:sz w:val="21"/>
    </w:rPr>
  </w:style>
  <w:style w:type="table" w:customStyle="1" w:styleId="29">
    <w:name w:val="Table Normal"/>
    <w:unhideWhenUsed/>
    <w:qFormat/>
    <w:uiPriority w:val="0"/>
    <w:tblPr>
      <w:tblStyle w:val="17"/>
      <w:tblCellMar>
        <w:top w:w="0" w:type="dxa"/>
        <w:left w:w="0" w:type="dxa"/>
        <w:bottom w:w="0" w:type="dxa"/>
        <w:right w:w="0" w:type="dxa"/>
      </w:tblCellMar>
    </w:tblPr>
  </w:style>
  <w:style w:type="paragraph" w:customStyle="1" w:styleId="30">
    <w:name w:val="德宏正文"/>
    <w:basedOn w:val="1"/>
    <w:qFormat/>
    <w:uiPriority w:val="0"/>
    <w:pPr>
      <w:adjustRightInd/>
      <w:snapToGrid/>
      <w:spacing w:line="360" w:lineRule="auto"/>
      <w:ind w:firstLine="200" w:firstLineChars="200"/>
      <w:jc w:val="left"/>
    </w:pPr>
    <w:rPr>
      <w:rFonts w:ascii="宋体" w:hAnsi="宋体" w:eastAsia="宋体" w:cs="宋体"/>
      <w:bCs/>
      <w:sz w:val="24"/>
      <w:szCs w:val="21"/>
    </w:rPr>
  </w:style>
  <w:style w:type="paragraph" w:customStyle="1" w:styleId="31">
    <w:name w:val="表文字"/>
    <w:basedOn w:val="1"/>
    <w:qFormat/>
    <w:uiPriority w:val="0"/>
    <w:pPr>
      <w:overflowPunct w:val="0"/>
      <w:autoSpaceDE w:val="0"/>
      <w:autoSpaceDN w:val="0"/>
      <w:spacing w:line="240" w:lineRule="atLeast"/>
      <w:jc w:val="center"/>
      <w:textAlignment w:val="baseline"/>
    </w:pPr>
    <w:rPr>
      <w:kern w:val="0"/>
      <w:sz w:val="24"/>
      <w:szCs w:val="20"/>
    </w:rPr>
  </w:style>
  <w:style w:type="paragraph" w:customStyle="1" w:styleId="32">
    <w:name w:val="Table Text"/>
    <w:basedOn w:val="1"/>
    <w:semiHidden/>
    <w:qFormat/>
    <w:uiPriority w:val="0"/>
    <w:rPr>
      <w:rFonts w:ascii="宋体" w:hAnsi="宋体" w:eastAsia="宋体" w:cs="宋体"/>
      <w:sz w:val="20"/>
      <w:szCs w:val="20"/>
      <w:lang w:val="en-US" w:eastAsia="en-US" w:bidi="ar-SA"/>
    </w:rPr>
  </w:style>
  <w:style w:type="paragraph" w:customStyle="1" w:styleId="33">
    <w:name w:val="万马"/>
    <w:basedOn w:val="1"/>
    <w:qFormat/>
    <w:uiPriority w:val="0"/>
    <w:pPr>
      <w:adjustRightInd/>
      <w:snapToGrid/>
      <w:spacing w:line="360" w:lineRule="auto"/>
      <w:ind w:firstLine="720" w:firstLineChars="200"/>
      <w:jc w:val="left"/>
    </w:pPr>
    <w:rPr>
      <w:rFonts w:ascii="宋体" w:hAnsi="宋体" w:eastAsia="宋体" w:cs="宋体"/>
      <w:bCs/>
      <w:sz w:val="24"/>
      <w:szCs w:val="21"/>
    </w:rPr>
  </w:style>
  <w:style w:type="paragraph" w:customStyle="1" w:styleId="34">
    <w:name w:val="报告书表格"/>
    <w:basedOn w:val="1"/>
    <w:qFormat/>
    <w:uiPriority w:val="0"/>
    <w:pPr>
      <w:adjustRightInd w:val="0"/>
      <w:snapToGrid w:val="0"/>
      <w:spacing w:line="400" w:lineRule="exact"/>
      <w:ind w:firstLine="0" w:firstLineChars="0"/>
      <w:jc w:val="center"/>
      <w:textAlignment w:val="baseline"/>
    </w:pPr>
    <w:rPr>
      <w:kern w:val="0"/>
      <w:sz w:val="21"/>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9.emf"/><Relationship Id="rId26" Type="http://schemas.openxmlformats.org/officeDocument/2006/relationships/oleObject" Target="embeddings/oleObject8.bin"/><Relationship Id="rId25" Type="http://schemas.openxmlformats.org/officeDocument/2006/relationships/image" Target="media/image8.emf"/><Relationship Id="rId24" Type="http://schemas.openxmlformats.org/officeDocument/2006/relationships/oleObject" Target="embeddings/oleObject7.bin"/><Relationship Id="rId23" Type="http://schemas.openxmlformats.org/officeDocument/2006/relationships/image" Target="media/image7.emf"/><Relationship Id="rId22" Type="http://schemas.openxmlformats.org/officeDocument/2006/relationships/oleObject" Target="embeddings/oleObject6.bin"/><Relationship Id="rId21" Type="http://schemas.openxmlformats.org/officeDocument/2006/relationships/image" Target="media/image6.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4.bin"/><Relationship Id="rId17" Type="http://schemas.openxmlformats.org/officeDocument/2006/relationships/image" Target="media/image4.emf"/><Relationship Id="rId16" Type="http://schemas.openxmlformats.org/officeDocument/2006/relationships/oleObject" Target="embeddings/oleObject3.bin"/><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7602</Words>
  <Characters>7975</Characters>
  <Lines>1</Lines>
  <Paragraphs>1</Paragraphs>
  <TotalTime>0</TotalTime>
  <ScaleCrop>false</ScaleCrop>
  <LinksUpToDate>false</LinksUpToDate>
  <CharactersWithSpaces>8086</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2021-08-13T08:16:28Z</dcterms:created>
  <dc:creator>Administrator</dc:creator>
  <cp:lastModifiedBy>快乐无忧</cp:lastModifiedBy>
  <dcterms:modified xsi:type="dcterms:W3CDTF">2025-07-09T03:50:35Z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1D3A9A5E4B2742D29D27DE4A16E505F5</vt:lpwstr>
  </property>
  <property fmtid="{D5CDD505-2E9C-101B-9397-08002B2CF9AE}" pid="4" name="KSOTemplateDocerSaveRecord">
    <vt:lpwstr>eyJoZGlkIjoiN2RhNmE4YmQ3MmZhMTcxMjNjNDNlZmE2MDBkNGU3MDUiLCJ1c2VySWQiOiI3MzM0NjE1MzEifQ==</vt:lpwstr>
  </property>
</Properties>
</file>