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eastAsia"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常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环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经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建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highlight w:val="none"/>
        </w:rPr>
        <w:t>〔</w:t>
      </w:r>
      <w:r>
        <w:rPr>
          <w:rFonts w:ascii="仿宋_GB2312" w:hAnsi="Times New Roman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highlight w:val="none"/>
        </w:rPr>
        <w:t>〕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号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sz w:val="44"/>
          <w:szCs w:val="44"/>
          <w:highlight w:val="none"/>
          <w:lang w:val="en-US" w:eastAsia="zh-CN"/>
        </w:rPr>
        <w:t>常德市</w:t>
      </w:r>
      <w:r>
        <w:rPr>
          <w:rFonts w:hint="eastAsia" w:ascii="方正小标宋简体" w:hAnsi="宋体" w:eastAsia="方正小标宋简体"/>
          <w:sz w:val="44"/>
          <w:szCs w:val="44"/>
          <w:highlight w:val="none"/>
        </w:rPr>
        <w:t>生态环境局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 w:cs="Times New Roman"/>
          <w:sz w:val="44"/>
          <w:szCs w:val="44"/>
          <w:highlight w:val="none"/>
          <w:lang w:val="en-US" w:eastAsia="zh-CN"/>
        </w:rPr>
        <w:t>关于混凝土搅拌站控制室及结构件制造项目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highlight w:val="none"/>
          <w:lang w:val="en-US" w:eastAsia="zh-CN"/>
        </w:rPr>
        <w:t>环境影响报告表的批复</w:t>
      </w:r>
      <w:bookmarkEnd w:id="0"/>
    </w:p>
    <w:p>
      <w:pPr>
        <w:spacing w:line="60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760" w:firstLineChars="4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</w:pPr>
      <w:r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  <w:t>常德欣福机械制造有限公司：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</w:pPr>
      <w:r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  <w:t>你公司《混凝土搅拌站控制室及结构件制造项目环境影响报告表》及相关附件收悉，根据环评报告结论、专家审查意见，经研究，批复如下：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567" w:firstLineChars="0"/>
        <w:jc w:val="both"/>
        <w:textAlignment w:val="auto"/>
        <w:outlineLvl w:val="9"/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该项目选址于常德经济技术开发区樟木桥街道常安社区三一路266号，租赁欣福智能制造产业园2#生产车间</w:t>
      </w:r>
      <w:r>
        <w:rPr>
          <w:rFonts w:hint="default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，用地性质为工业用地，厂房总占地面19728.23m</w:t>
      </w:r>
      <w:r>
        <w:rPr>
          <w:rFonts w:hint="default" w:ascii="仿宋" w:hAnsi="仿宋" w:eastAsia="仿宋" w:cs="Times New Roman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default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，总建筑面积19728.23m</w:t>
      </w:r>
      <w:r>
        <w:rPr>
          <w:rFonts w:hint="default" w:ascii="仿宋" w:hAnsi="仿宋" w:eastAsia="仿宋" w:cs="Times New Roman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建设内容为2#生产车间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，主要布设焊接区、打磨区、板材下料区、控制室装修区、补漆区/喷漆缓冲区、抛丸区、喷漆房（内含配漆）及烘干房、其他区域</w:t>
      </w:r>
      <w:r>
        <w:rPr>
          <w:rFonts w:hint="default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本项目产能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为控制室720件/年，结构件668件/年</w:t>
      </w:r>
      <w:r>
        <w:rPr>
          <w:rFonts w:hint="default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，总投资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1000</w:t>
      </w:r>
      <w:r>
        <w:rPr>
          <w:rFonts w:hint="default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万元，其中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环保</w:t>
      </w:r>
      <w:r>
        <w:rPr>
          <w:rFonts w:hint="default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投资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55</w:t>
      </w:r>
      <w:r>
        <w:rPr>
          <w:rFonts w:hint="default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。根据湖南德瀚环保科技有限公司</w:t>
      </w:r>
      <w:r>
        <w:rPr>
          <w:rFonts w:hint="eastAsia" w:ascii="仿宋" w:hAnsi="仿宋" w:eastAsia="仿宋" w:cs="Times New Roman"/>
          <w:color w:val="000000"/>
          <w:sz w:val="32"/>
          <w:szCs w:val="32"/>
          <w:highlight w:val="none"/>
          <w:u w:val="none"/>
          <w:lang w:val="en-US" w:eastAsia="zh-CN"/>
        </w:rPr>
        <w:t>编制的报告表的分析结论，在建设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单位认真落实各项污染防治措施，外排污染物实现长期稳定达标排放的情况下，从环境保护的角度分析，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</w:rPr>
        <w:t>我局原则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  <w:lang w:eastAsia="zh-CN"/>
        </w:rPr>
        <w:t>上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同意该项目建设。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  <w:highlight w:val="none"/>
        </w:rPr>
      </w:pP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  <w:highlight w:val="none"/>
        </w:rPr>
        <w:t>二、你单位在</w:t>
      </w: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  <w:highlight w:val="none"/>
        </w:rPr>
        <w:t>设计、建设和运行管理中，须全面落实</w:t>
      </w: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  <w:highlight w:val="none"/>
          <w:lang w:eastAsia="zh-CN"/>
        </w:rPr>
        <w:t>报告表</w:t>
      </w: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  <w:highlight w:val="none"/>
        </w:rPr>
        <w:t>中提出的各项污染防治措施</w:t>
      </w: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  <w:highlight w:val="none"/>
          <w:lang w:val="en-US" w:eastAsia="zh-CN"/>
        </w:rPr>
        <w:t>和环境管理要求</w:t>
      </w: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  <w:highlight w:val="none"/>
        </w:rPr>
        <w:t>，并着重做好以下工作：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国标仿宋-GB/T 2312" w:hAnsi="国标仿宋-GB/T 2312" w:eastAsia="国标仿宋-GB/T 2312" w:cs="国标仿宋-GB/T 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  <w:highlight w:val="none"/>
        </w:rPr>
        <w:t>（一）严格落实</w:t>
      </w: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  <w:highlight w:val="none"/>
          <w:lang w:eastAsia="zh-CN"/>
        </w:rPr>
        <w:t>废气</w:t>
      </w: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  <w:highlight w:val="none"/>
        </w:rPr>
        <w:t>污染防治措施。</w:t>
      </w: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  <w:highlight w:val="none"/>
          <w:lang w:val="en-US" w:eastAsia="zh-CN"/>
        </w:rPr>
        <w:t>配漆/喷漆及烘干废气采用负压收集，经“水喷淋+一次活性炭吸附+二次活性炭吸附”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装置处理后再通过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不低于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15m高排气筒（DA001）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达标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排放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，产生的有机废气、二甲苯排放浓度参照执行湖南省《表面涂装（汽车制造及维修）挥发性有机物、镍排放标准》DB43/1356-2017表1标准限值；产生的</w:t>
      </w:r>
      <w:r>
        <w:rPr>
          <w:rFonts w:hint="default" w:ascii="国标仿宋-GB/T 2312" w:hAnsi="国标仿宋-GB/T 2312" w:eastAsia="国标仿宋-GB/T 2312" w:cs="国标仿宋-GB/T 2312"/>
          <w:color w:val="auto"/>
          <w:sz w:val="32"/>
          <w:szCs w:val="32"/>
          <w:highlight w:val="none"/>
          <w:lang w:val="en-US" w:eastAsia="zh-CN"/>
        </w:rPr>
        <w:t>颗粒物排放浓度满足《大气污染物综合排放标准》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GB16297-1996</w:t>
      </w:r>
      <w:r>
        <w:rPr>
          <w:rFonts w:hint="default" w:ascii="国标仿宋-GB/T 2312" w:hAnsi="国标仿宋-GB/T 2312" w:eastAsia="国标仿宋-GB/T 2312" w:cs="国标仿宋-GB/T 2312"/>
          <w:color w:val="auto"/>
          <w:sz w:val="32"/>
          <w:szCs w:val="32"/>
          <w:highlight w:val="none"/>
          <w:lang w:val="en-US" w:eastAsia="zh-CN"/>
        </w:rPr>
        <w:t>有组织排放标准限值</w:t>
      </w: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抛丸废气经2套“密闭管道+布袋除尘”装置处理后再通过不低于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15m高排气筒（DA00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2、DA003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达标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排放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，产生的</w:t>
      </w:r>
      <w:r>
        <w:rPr>
          <w:rFonts w:hint="default" w:ascii="国标仿宋-GB/T 2312" w:hAnsi="国标仿宋-GB/T 2312" w:eastAsia="国标仿宋-GB/T 2312" w:cs="国标仿宋-GB/T 2312"/>
          <w:color w:val="auto"/>
          <w:sz w:val="32"/>
          <w:szCs w:val="32"/>
          <w:highlight w:val="none"/>
          <w:lang w:val="en-US" w:eastAsia="zh-CN"/>
        </w:rPr>
        <w:t>颗粒物排放浓度满足《大气污染物综合排放标准》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GB16297-1996</w:t>
      </w:r>
      <w:r>
        <w:rPr>
          <w:rFonts w:hint="default" w:ascii="国标仿宋-GB/T 2312" w:hAnsi="国标仿宋-GB/T 2312" w:eastAsia="国标仿宋-GB/T 2312" w:cs="国标仿宋-GB/T 2312"/>
          <w:color w:val="auto"/>
          <w:sz w:val="32"/>
          <w:szCs w:val="32"/>
          <w:highlight w:val="none"/>
          <w:lang w:val="en-US" w:eastAsia="zh-CN"/>
        </w:rPr>
        <w:t>有组织排放标准限值</w:t>
      </w: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  <w:highlight w:val="none"/>
          <w:lang w:val="en-US" w:eastAsia="zh-CN"/>
        </w:rPr>
        <w:t>。下料工序产生的下料粉尘，设备自带除尘装置处置；</w:t>
      </w:r>
      <w:r>
        <w:rPr>
          <w:rFonts w:hint="default" w:ascii="国标仿宋-GB/T 2312" w:hAnsi="国标仿宋-GB/T 2312" w:eastAsia="国标仿宋-GB/T 2312" w:cs="国标仿宋-GB/T 2312"/>
          <w:color w:val="auto"/>
          <w:sz w:val="32"/>
          <w:szCs w:val="32"/>
          <w:highlight w:val="none"/>
          <w:lang w:val="en-US" w:eastAsia="zh-CN"/>
        </w:rPr>
        <w:t>焊接烟尘经移动式焊接烟尘净化器处理；打磨工序产生的颗粒物加强厂区通风</w:t>
      </w: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国标仿宋-GB/T 2312" w:hAnsi="国标仿宋-GB/T 2312" w:eastAsia="国标仿宋-GB/T 2312" w:cs="国标仿宋-GB/T 2312"/>
          <w:color w:val="auto"/>
          <w:sz w:val="32"/>
          <w:szCs w:val="32"/>
          <w:highlight w:val="none"/>
          <w:lang w:val="en-US" w:eastAsia="zh-CN"/>
        </w:rPr>
        <w:t>下料、焊接、打磨</w:t>
      </w: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  <w:highlight w:val="none"/>
          <w:lang w:val="en-US" w:eastAsia="zh-CN"/>
        </w:rPr>
        <w:t>工序产生的</w:t>
      </w:r>
      <w:r>
        <w:rPr>
          <w:rFonts w:hint="default" w:ascii="国标仿宋-GB/T 2312" w:hAnsi="国标仿宋-GB/T 2312" w:eastAsia="国标仿宋-GB/T 2312" w:cs="国标仿宋-GB/T 2312"/>
          <w:color w:val="auto"/>
          <w:sz w:val="32"/>
          <w:szCs w:val="32"/>
          <w:highlight w:val="none"/>
          <w:lang w:val="en-US" w:eastAsia="zh-CN"/>
        </w:rPr>
        <w:t>颗粒物均为无组织排放。配漆/喷漆及烘干房逸散的无组织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TVOC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vertAlign w:val="subscript"/>
          <w:lang w:val="en-US" w:eastAsia="zh-CN"/>
        </w:rPr>
        <w:t>S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国标仿宋-GB/T 2312" w:hAnsi="国标仿宋-GB/T 2312" w:eastAsia="国标仿宋-GB/T 2312" w:cs="国标仿宋-GB/T 2312"/>
          <w:color w:val="auto"/>
          <w:sz w:val="32"/>
          <w:szCs w:val="32"/>
          <w:highlight w:val="none"/>
          <w:lang w:val="en-US" w:eastAsia="zh-CN"/>
        </w:rPr>
        <w:t>非甲烷总烃计）、</w:t>
      </w: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  <w:highlight w:val="none"/>
          <w:lang w:val="en-US" w:eastAsia="zh-CN"/>
        </w:rPr>
        <w:t>二甲苯</w:t>
      </w:r>
      <w:r>
        <w:rPr>
          <w:rFonts w:hint="default" w:ascii="国标仿宋-GB/T 2312" w:hAnsi="国标仿宋-GB/T 2312" w:eastAsia="国标仿宋-GB/T 2312" w:cs="国标仿宋-GB/T 2312"/>
          <w:color w:val="auto"/>
          <w:sz w:val="32"/>
          <w:szCs w:val="32"/>
          <w:highlight w:val="none"/>
          <w:lang w:val="en-US" w:eastAsia="zh-CN"/>
        </w:rPr>
        <w:t>执行湖南省《表面涂装（汽车制造及维修）挥发性有机物、镍排放标准》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DB43/1356-2017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表3中标准限值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国标仿宋-GB/T 2312" w:hAnsi="国标仿宋-GB/T 2312" w:eastAsia="国标仿宋-GB/T 2312" w:cs="国标仿宋-GB/T 2312"/>
          <w:color w:val="auto"/>
          <w:sz w:val="32"/>
          <w:szCs w:val="32"/>
          <w:highlight w:val="none"/>
          <w:lang w:val="en-US" w:eastAsia="zh-CN"/>
        </w:rPr>
        <w:t>无组织颗粒物执行《大气污染物综合排放标准》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GB16297-1996</w:t>
      </w: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  <w:highlight w:val="none"/>
          <w:lang w:val="en-US" w:eastAsia="zh-CN"/>
        </w:rPr>
        <w:t>无</w:t>
      </w:r>
      <w:r>
        <w:rPr>
          <w:rFonts w:hint="default" w:ascii="国标仿宋-GB/T 2312" w:hAnsi="国标仿宋-GB/T 2312" w:eastAsia="国标仿宋-GB/T 2312" w:cs="国标仿宋-GB/T 2312"/>
          <w:color w:val="auto"/>
          <w:sz w:val="32"/>
          <w:szCs w:val="32"/>
          <w:highlight w:val="none"/>
          <w:lang w:val="en-US" w:eastAsia="zh-CN"/>
        </w:rPr>
        <w:t>组织排放标准限值。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line="520" w:lineRule="exact"/>
        <w:ind w:firstLine="640" w:firstLineChars="200"/>
        <w:jc w:val="left"/>
        <w:rPr>
          <w:rFonts w:hint="eastAsia" w:ascii="仿宋" w:hAnsi="仿宋" w:eastAsia="仿宋" w:cs="Times New Roman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</w:rPr>
        <w:t>（二）严格落实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  <w:lang w:eastAsia="zh-CN"/>
        </w:rPr>
        <w:t>废水处理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</w:rPr>
        <w:t>措施。</w:t>
      </w:r>
      <w:r>
        <w:rPr>
          <w:rFonts w:hint="default" w:ascii="仿宋" w:hAnsi="仿宋" w:eastAsia="仿宋" w:cs="Times New Roman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生活</w:t>
      </w:r>
      <w:r>
        <w:rPr>
          <w:rFonts w:hint="eastAsia" w:ascii="仿宋" w:hAnsi="仿宋" w:eastAsia="仿宋" w:cs="Times New Roman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污水</w:t>
      </w:r>
      <w:r>
        <w:rPr>
          <w:rFonts w:hint="default" w:ascii="仿宋" w:hAnsi="仿宋" w:eastAsia="仿宋" w:cs="Times New Roman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及车间地面清洁废水经化粪池处理后经园区管网</w:t>
      </w:r>
      <w:r>
        <w:rPr>
          <w:rFonts w:hint="eastAsia" w:ascii="仿宋" w:hAnsi="仿宋" w:eastAsia="仿宋" w:cs="Times New Roman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最后</w:t>
      </w:r>
      <w:r>
        <w:rPr>
          <w:rFonts w:hint="default" w:ascii="仿宋" w:hAnsi="仿宋" w:eastAsia="仿宋" w:cs="Times New Roman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进入德山污水处理厂处理，满足《污水综合排放标准》（GB8978-1996）表4三级标准以及德山污水处理厂进水水质</w:t>
      </w:r>
      <w:r>
        <w:rPr>
          <w:rFonts w:hint="eastAsia" w:ascii="仿宋" w:hAnsi="仿宋" w:eastAsia="仿宋" w:cs="Times New Roman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</w:rPr>
        <w:t>（三）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  <w:lang w:eastAsia="zh-CN"/>
        </w:rPr>
        <w:t>加强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</w:rPr>
        <w:t>噪声污染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  <w:lang w:eastAsia="zh-CN"/>
        </w:rPr>
        <w:t>控制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</w:rPr>
        <w:t>。</w:t>
      </w:r>
      <w:r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  <w:t>选用低噪声设备，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同时合理布局，加强管理，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</w:rPr>
        <w:t>采取有效的减震、隔声等措施，确保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厂界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</w:rPr>
        <w:t>噪声达到</w:t>
      </w:r>
      <w:r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  <w:t>《工业企业厂界环境噪声排放标准》（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GB12348-2008）</w:t>
      </w:r>
      <w:r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  <w:t>类标准。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禁止高噪声设备夜间(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22:00至次日凌晨6:00)生产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（四）严格落实固体废物处置措施。沾染化学品的废包装、</w:t>
      </w:r>
      <w:r>
        <w:rPr>
          <w:rFonts w:hint="default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漆渣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废活性炭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废矿物油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、废</w:t>
      </w:r>
      <w:r>
        <w:rPr>
          <w:rFonts w:hint="default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含油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及</w:t>
      </w:r>
      <w:r>
        <w:rPr>
          <w:rFonts w:hint="default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含漆手套抹布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、废稀释剂等危险废物</w:t>
      </w:r>
      <w:r>
        <w:rPr>
          <w:rFonts w:hint="default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交由有资质单位进行处置；边角料外售物资回收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单位；</w:t>
      </w:r>
      <w:r>
        <w:rPr>
          <w:rFonts w:hint="default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收集的粉尘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、水性漆废包装</w:t>
      </w:r>
      <w:r>
        <w:rPr>
          <w:rFonts w:hint="default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定期作为废品外售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；废装饰材料、废焊丝定期作为废品外售或供应商回收</w:t>
      </w:r>
      <w:r>
        <w:rPr>
          <w:rFonts w:hint="default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；生活垃圾交由环卫部门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定期清运。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</w:rPr>
        <w:t>（五）严格落实环境管理要求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</w:rPr>
        <w:t>建立生态环境管理体系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</w:rPr>
        <w:t>明确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  <w:lang w:eastAsia="zh-CN"/>
        </w:rPr>
        <w:t>环保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</w:rPr>
        <w:t>机构、人员、职责和制度，确保环保设施运行稳定、所有外排污染物长期稳定达标排放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（六）本项目污染物总量控制指标为COD≤0.09t/a，NH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b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-N≤0.02t/a，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总量指标需向常德市排污权交易中心购买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三、环境影响报告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经批准后，建设项目的性质、规模、地点、采用的生产工艺或者防治污染、防止生态破坏的措施发生重大变动的，建设单位应当重新报批建设项目的环境影响评价文件。项目投产前应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按排污许可管理相关要求办理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排污许可证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或者填报排污登记表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同时建设单位要按规定程序进行环保“三同时”验收，相关信息按规定自行发布。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1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44" w:firstLineChars="1700"/>
        <w:textAlignment w:val="auto"/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44" w:firstLineChars="1700"/>
        <w:textAlignment w:val="auto"/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  <w:t>常德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eastAsia="zh-CN"/>
        </w:rPr>
        <w:t>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/>
    <w:sectPr>
      <w:pgSz w:w="11906" w:h="16838"/>
      <w:pgMar w:top="2098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F60CBF"/>
    <w:multiLevelType w:val="singleLevel"/>
    <w:tmpl w:val="6FF60C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A0D51"/>
    <w:rsid w:val="4F4A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xl27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-18030" w:hAnsi="新宋体-18030" w:eastAsia="新宋体-18030" w:cs="新宋体-18030"/>
      <w:kern w:val="0"/>
    </w:rPr>
  </w:style>
  <w:style w:type="paragraph" w:styleId="4">
    <w:name w:val="Body Text First Indent"/>
    <w:basedOn w:val="2"/>
    <w:next w:val="1"/>
    <w:qFormat/>
    <w:uiPriority w:val="0"/>
    <w:pPr>
      <w:ind w:firstLine="420" w:firstLineChars="100"/>
    </w:pPr>
  </w:style>
  <w:style w:type="paragraph" w:customStyle="1" w:styleId="7">
    <w:name w:val="正文1"/>
    <w:qFormat/>
    <w:uiPriority w:val="0"/>
    <w:pPr>
      <w:widowControl w:val="0"/>
      <w:tabs>
        <w:tab w:val="left" w:pos="22680"/>
      </w:tabs>
      <w:spacing w:line="360" w:lineRule="auto"/>
      <w:ind w:firstLine="602" w:firstLineChars="200"/>
    </w:pPr>
    <w:rPr>
      <w:rFonts w:ascii="宋体" w:hAnsi="宋体" w:eastAsia="宋体" w:cs="Times New Roman"/>
      <w:kern w:val="2"/>
      <w:sz w:val="24"/>
      <w:lang w:val="en-US" w:eastAsia="zh-CN" w:bidi="ar-SA"/>
    </w:rPr>
  </w:style>
  <w:style w:type="paragraph" w:customStyle="1" w:styleId="8">
    <w:name w:val="表（周）"/>
    <w:basedOn w:val="9"/>
    <w:qFormat/>
    <w:uiPriority w:val="0"/>
    <w:pPr>
      <w:tabs>
        <w:tab w:val="left" w:pos="1068"/>
      </w:tabs>
      <w:autoSpaceDE/>
      <w:autoSpaceDN/>
      <w:spacing w:beforeLines="0" w:line="240" w:lineRule="auto"/>
      <w:ind w:firstLine="0" w:firstLineChars="0"/>
      <w:jc w:val="center"/>
    </w:pPr>
    <w:rPr>
      <w:rFonts w:ascii="Times New Roman" w:hAnsi="Times New Roman" w:eastAsia="宋体"/>
      <w:bCs/>
      <w:color w:val="0C0C0C"/>
      <w:kern w:val="0"/>
      <w:sz w:val="21"/>
      <w:szCs w:val="21"/>
    </w:rPr>
  </w:style>
  <w:style w:type="paragraph" w:customStyle="1" w:styleId="9">
    <w:name w:val="正文文字标准"/>
    <w:basedOn w:val="4"/>
    <w:qFormat/>
    <w:uiPriority w:val="0"/>
    <w:pPr>
      <w:snapToGrid/>
      <w:spacing w:after="0" w:line="480" w:lineRule="exact"/>
      <w:ind w:firstLine="200" w:firstLineChars="200"/>
      <w:textAlignment w:val="baseline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2025-07-18T03:54:00Z</dcterms:created>
  <dc:creator>快乐无忧</dc:creator>
  <cp:lastModifiedBy>快乐无忧</cp:lastModifiedBy>
  <dcterms:modified xsi:type="dcterms:W3CDTF">2025-07-18T03:55:07Z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