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建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</w:rPr>
        <w:t>〔</w:t>
      </w:r>
      <w:r>
        <w:rPr>
          <w:rFonts w:ascii="仿宋_GB2312" w:hAnsi="Times New Roman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9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lang w:val="en-US" w:eastAsia="zh-CN"/>
        </w:rPr>
        <w:t xml:space="preserve"> 常德市</w:t>
      </w: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生态环境局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  <w:t>关于年加工1.5万吨大型非标结构件生产项目（重新报批）环境影响报告表的批复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常德卓特机械有限公司：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你公司《年加工1.5万吨大型非标结构件生产项目（重新报批）环境影响报告表》及相关附件收悉，根据环评报告结论、专家审查意见，经研究，批复如下：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7" w:firstLineChars="0"/>
        <w:jc w:val="both"/>
        <w:textAlignment w:val="auto"/>
        <w:outlineLvl w:val="9"/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该项目选址于常德经济技术开发区德山大道319号湖南宝田重工股份有限公司8栋，建设大型非标结构件建设项目。该项目于2024年11月22日由我局审批（常环经建告〔2024〕19号），项目未建设完成，未验收。现由于公司业务需求，对厂区工艺进行调整，且由于现有园区未接通天然气管网，对厂区燃料方式进行变更，由甲醇替代天然气，因此进行重新报批。建设内容为生产车间（包含产品抛丸区、焊接区、成品堆放区以及悬挂链油漆房、整体移动式喷漆房），项目共3条生产线，新增1条喷粉线，产能仍为1.5万件大型非标结构件。总投资5800万元，其中环保投资155.5万元。根据湖南永欣环保科技有限公司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u w:val="none"/>
          <w:lang w:val="en-US" w:eastAsia="zh-CN"/>
        </w:rPr>
        <w:t>编制的报告表的分析结论，在建设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单位认真落实各项污染防治措施，外排污染物实现长期稳定达标排放的情况下，从环境保护的角度分析，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我局原则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上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</w:pP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二、你单位在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设计、建设和运行管理中，须全面落实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eastAsia="zh-CN"/>
        </w:rPr>
        <w:t>报告表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中提出的各项污染防治措施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和环境管理要求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，并着重做好以下工作：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（一）严格落实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eastAsia="zh-CN"/>
        </w:rPr>
        <w:t>废气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</w:rPr>
        <w:t>污染防治措施。</w:t>
      </w:r>
      <w:r>
        <w:rPr>
          <w:rFonts w:hint="eastAsia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喷漆、流平、烘干工序、喷粉烘干固化废气采取的措施为烘干房、底漆房、面漆房、调漆房、均为全封闭，移动式喷漆房底部设置有过滤棉，采用底部抽风的方式通过地沟收集口进入排风管道内，各废气通过管道连接至同一根管道内，处理工艺为干式过滤+活性炭吸附+脱附+催化燃烧”装置处理，再通过不低于15m高排气筒（DA002）排放，TVOCS、二甲苯、非甲烷总烃满足湖南省《表面涂装（汽车制造及维修）挥发性有机物、镍排放标准》“汽车制造”浓度限值（DB43/1356-2017），颗粒物满足《大气污染物综合排放标准》GB16297-1996表2颗粒物有组织排放标准限值；喷粉废气采取的措施为设置密闭的喷粉房，经过通过旋风分离器及回收系统+脉冲式滤芯除尘处理，定期回收树脂粉末，过滤后的废气排放至车间内，满足《大气污染物综合排放标准》（GB16297-1996）颗粒物无组织排放标准；抛丸工序废气经自带布袋除尘器处理后经过不低于15m排气筒排放（DA001)，满足《大气污染物综合排放标准》GB16297-1996表2颗粒物有组织排放标准限值；厂区无组织废气处理措施为切割工序设施移动式收尘装置、打磨工序设置布袋除尘器、焊接工序设置移动式焊接烟尘净化器、车间通风等，TVOCS（非甲烷总烃计）、苯系物满足湖南省《表面涂装（汽车制造及维修）挥发性有机物、镍排放标准》DB43/1356-2017，颗粒物等满足《大气污染物综合排放标准》GB16297-1996无组织排放标准限值</w:t>
      </w:r>
      <w:r>
        <w:rPr>
          <w:rFonts w:hint="default" w:ascii="国标仿宋-GB/T 2312" w:hAnsi="国标仿宋-GB/T 2312" w:eastAsia="国标仿宋-GB/T 2312" w:cs="国标仿宋-GB/T 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line="560" w:lineRule="exact"/>
        <w:ind w:firstLine="640" w:firstLineChars="200"/>
        <w:jc w:val="left"/>
        <w:rPr>
          <w:rFonts w:hint="eastAsia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（二）严格落实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废水处理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措施。</w:t>
      </w:r>
      <w:r>
        <w:rPr>
          <w:rFonts w:hint="default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本项目产生生活废水及地面拖洗废水经化粪池、隔油池处理后经园区管网进入德山污水处理厂处理，满足《污水综合排放标准》（GB8978-1996）表4三级标准以及德山污水处理厂进水水质</w:t>
      </w:r>
      <w:r>
        <w:rPr>
          <w:rFonts w:hint="eastAsia" w:ascii="仿宋" w:hAnsi="仿宋" w:eastAsia="仿宋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（三）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加强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噪声污染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控制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highlight w:val="none"/>
          <w:lang w:val="en-US" w:eastAsia="zh-CN"/>
        </w:rPr>
        <w:t>合理布置噪声设备位置，优化厂区平面布局，对高噪声设备采取基础减震措施，加强设备维护与保养，减少噪声对周边的影响，厂界噪声满足《工业企业厂界环境噪声排放标准》（GB12348-2008）3类标准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严格落实固体废物处置措施。废油性油漆桶、废活性炭、废过滤棉、废催化剂以及废润滑油等危险废物暂存于厂区危废暂存间，交由有危险废物处理资质单位进行处置；收集的金属粉尘及废焊渣建设单位收集后外售；废水性漆漆桶由厂家回收；粉末涂料建设单位收集后回收利用；生活垃圾交由环卫部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（五）严格落实环境管理要求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建立生态环境管理体系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明确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环保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</w:rPr>
        <w:t>机构、人员、职责和制度，确保环保设施运行稳定、所有外排污染物长期稳定达标排放</w:t>
      </w:r>
      <w:r>
        <w:rPr>
          <w:rFonts w:hint="eastAsia" w:ascii="国标仿宋-GB/T 2312" w:hAnsi="国标仿宋-GB/T 2312" w:eastAsia="国标仿宋-GB/T 2312" w:cs="国标仿宋-GB/T 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三、环境影响报告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经批准后，建设项目的性质、规模、地点、采用的生产工艺或者防治污染、防止生态破坏的措施发生重大变动的，建设单位应当重新报批建设项目的环境影响评价文件。项目投产前应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按排污许可管理相关要求办理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排污许可证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或者填报排污登记表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同时建设单位要按规定程序进行环保“三同时”验收，相关信息按规定自行发布。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76" w:firstLineChars="180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76" w:firstLineChars="180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常德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60CBF"/>
    <w:multiLevelType w:val="singleLevel"/>
    <w:tmpl w:val="6FF60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A0D51"/>
    <w:rsid w:val="07EF5D55"/>
    <w:rsid w:val="0F045BBB"/>
    <w:rsid w:val="37E33D8F"/>
    <w:rsid w:val="38A04AB1"/>
    <w:rsid w:val="3FCC9589"/>
    <w:rsid w:val="4F4A0D51"/>
    <w:rsid w:val="6AA67D9D"/>
    <w:rsid w:val="7F771A1C"/>
    <w:rsid w:val="8BBF6B46"/>
    <w:rsid w:val="BA5D6FD0"/>
    <w:rsid w:val="D6F097B0"/>
    <w:rsid w:val="DFDB9221"/>
    <w:rsid w:val="F9FF3E07"/>
    <w:rsid w:val="FB5DE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5">
    <w:name w:val="Body Text First Indent"/>
    <w:basedOn w:val="3"/>
    <w:next w:val="1"/>
    <w:qFormat/>
    <w:uiPriority w:val="0"/>
    <w:pPr>
      <w:ind w:firstLine="420" w:firstLineChars="100"/>
    </w:pPr>
  </w:style>
  <w:style w:type="paragraph" w:customStyle="1" w:styleId="8">
    <w:name w:val="正文1"/>
    <w:qFormat/>
    <w:uiPriority w:val="0"/>
    <w:pPr>
      <w:widowControl w:val="0"/>
      <w:tabs>
        <w:tab w:val="left" w:pos="22680"/>
      </w:tabs>
      <w:spacing w:line="360" w:lineRule="auto"/>
      <w:ind w:firstLine="602" w:firstLineChars="200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paragraph" w:customStyle="1" w:styleId="9">
    <w:name w:val="表（周）"/>
    <w:basedOn w:val="10"/>
    <w:qFormat/>
    <w:uiPriority w:val="0"/>
    <w:pPr>
      <w:tabs>
        <w:tab w:val="left" w:pos="1068"/>
      </w:tabs>
      <w:autoSpaceDE/>
      <w:autoSpaceDN/>
      <w:spacing w:beforeLines="0" w:line="240" w:lineRule="auto"/>
      <w:ind w:firstLine="0" w:firstLineChars="0"/>
      <w:jc w:val="center"/>
    </w:pPr>
    <w:rPr>
      <w:rFonts w:ascii="Times New Roman" w:hAnsi="Times New Roman" w:eastAsia="宋体"/>
      <w:bCs/>
      <w:color w:val="0C0C0C"/>
      <w:kern w:val="0"/>
      <w:sz w:val="21"/>
      <w:szCs w:val="21"/>
    </w:rPr>
  </w:style>
  <w:style w:type="paragraph" w:customStyle="1" w:styleId="10">
    <w:name w:val="正文文字标准"/>
    <w:basedOn w:val="5"/>
    <w:qFormat/>
    <w:uiPriority w:val="0"/>
    <w:pPr>
      <w:snapToGrid/>
      <w:spacing w:after="0" w:line="480" w:lineRule="exact"/>
      <w:ind w:firstLine="200" w:firstLineChars="200"/>
      <w:textAlignment w:val="baseline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1492</Words>
  <Characters>1656</Characters>
  <Lines>0</Lines>
  <Paragraphs>0</Paragraphs>
  <TotalTime>3</TotalTime>
  <ScaleCrop>false</ScaleCrop>
  <LinksUpToDate>false</LinksUpToDate>
  <CharactersWithSpaces>1656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2025-07-19T11:54:00Z</dcterms:created>
  <dc:creator>快乐无忧</dc:creator>
  <cp:lastModifiedBy>快乐无忧</cp:lastModifiedBy>
  <cp:lastPrinted>2025-07-25T17:54:00Z</cp:lastPrinted>
  <dcterms:modified xsi:type="dcterms:W3CDTF">2025-07-25T04:48:29Z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eyJoZGlkIjoiMDMwZDY2ZmE5ZjM4M2ZkY2NiOTU0NDI5Y2YyNzA4YjQiLCJ1c2VySWQiOiIyNjM3NDE5NjgifQ==</vt:lpwstr>
  </property>
  <property fmtid="{D5CDD505-2E9C-101B-9397-08002B2CF9AE}" pid="4" name="ICV">
    <vt:lpwstr>EB9A0579670A40F8BC078526DCA4465B_12</vt:lpwstr>
  </property>
</Properties>
</file>