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18D1E">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_GB2312" w:eastAsia="仿宋_GB2312"/>
          <w:color w:val="auto"/>
          <w:sz w:val="32"/>
          <w:szCs w:val="32"/>
          <w:lang w:val="en-US" w:eastAsia="zh-CN"/>
        </w:rPr>
      </w:pPr>
    </w:p>
    <w:p w14:paraId="45D39257">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eastAsia="仿宋_GB2312"/>
          <w:sz w:val="32"/>
          <w:szCs w:val="32"/>
          <w:highlight w:val="yellow"/>
        </w:rPr>
      </w:pPr>
      <w:r>
        <w:rPr>
          <w:rFonts w:hint="eastAsia" w:ascii="仿宋_GB2312" w:eastAsia="仿宋_GB2312"/>
          <w:color w:val="auto"/>
          <w:sz w:val="32"/>
          <w:szCs w:val="32"/>
          <w:highlight w:val="none"/>
          <w:lang w:val="en-US" w:eastAsia="zh-CN"/>
        </w:rPr>
        <w:t>常</w:t>
      </w:r>
      <w:r>
        <w:rPr>
          <w:rFonts w:hint="eastAsia" w:ascii="仿宋_GB2312" w:eastAsia="仿宋_GB2312"/>
          <w:color w:val="auto"/>
          <w:sz w:val="32"/>
          <w:szCs w:val="32"/>
          <w:highlight w:val="none"/>
        </w:rPr>
        <w:t>环</w:t>
      </w:r>
      <w:r>
        <w:rPr>
          <w:rFonts w:hint="eastAsia" w:ascii="仿宋_GB2312" w:eastAsia="仿宋_GB2312"/>
          <w:color w:val="auto"/>
          <w:sz w:val="32"/>
          <w:szCs w:val="32"/>
          <w:highlight w:val="none"/>
          <w:lang w:eastAsia="zh-CN"/>
        </w:rPr>
        <w:t>经</w:t>
      </w:r>
      <w:r>
        <w:rPr>
          <w:rFonts w:hint="eastAsia" w:ascii="仿宋_GB2312" w:eastAsia="仿宋_GB2312"/>
          <w:color w:val="auto"/>
          <w:sz w:val="32"/>
          <w:szCs w:val="32"/>
          <w:highlight w:val="none"/>
        </w:rPr>
        <w:t>建</w:t>
      </w:r>
      <w:r>
        <w:rPr>
          <w:rFonts w:hint="eastAsia" w:ascii="仿宋_GB2312" w:hAnsi="Times New Roman" w:eastAsia="仿宋_GB2312" w:cs="仿宋_GB2312"/>
          <w:color w:val="auto"/>
          <w:sz w:val="32"/>
          <w:szCs w:val="32"/>
          <w:highlight w:val="none"/>
        </w:rPr>
        <w:t>〔</w:t>
      </w:r>
      <w:r>
        <w:rPr>
          <w:rFonts w:ascii="仿宋_GB2312" w:hAnsi="Times New Roman" w:eastAsia="仿宋_GB2312" w:cs="仿宋_GB2312"/>
          <w:color w:val="auto"/>
          <w:sz w:val="32"/>
          <w:szCs w:val="32"/>
          <w:highlight w:val="none"/>
        </w:rPr>
        <w:t>202</w:t>
      </w:r>
      <w:r>
        <w:rPr>
          <w:rFonts w:hint="eastAsia" w:ascii="仿宋_GB2312" w:hAnsi="Times New Roman" w:eastAsia="仿宋_GB2312" w:cs="仿宋_GB2312"/>
          <w:color w:val="auto"/>
          <w:sz w:val="32"/>
          <w:szCs w:val="32"/>
          <w:highlight w:val="none"/>
          <w:lang w:val="en-US" w:eastAsia="zh-CN"/>
        </w:rPr>
        <w:t>5</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val="en-US" w:eastAsia="zh-CN"/>
        </w:rPr>
        <w:t>12</w:t>
      </w:r>
      <w:r>
        <w:rPr>
          <w:rFonts w:hint="eastAsia" w:ascii="仿宋_GB2312" w:eastAsia="仿宋_GB2312"/>
          <w:color w:val="auto"/>
          <w:sz w:val="32"/>
          <w:szCs w:val="32"/>
          <w:highlight w:val="none"/>
        </w:rPr>
        <w:t>号</w:t>
      </w:r>
    </w:p>
    <w:p w14:paraId="7081D96D">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551A70E3">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5BBC8087">
      <w:pPr>
        <w:spacing w:line="60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lang w:val="en-US" w:eastAsia="zh-CN"/>
        </w:rPr>
        <w:t xml:space="preserve"> 常德市</w:t>
      </w:r>
      <w:r>
        <w:rPr>
          <w:rFonts w:hint="eastAsia" w:ascii="方正小标宋简体" w:hAnsi="宋体" w:eastAsia="方正小标宋简体"/>
          <w:sz w:val="44"/>
          <w:szCs w:val="44"/>
          <w:highlight w:val="none"/>
        </w:rPr>
        <w:t>生态环境局</w:t>
      </w:r>
    </w:p>
    <w:p w14:paraId="52365DCA">
      <w:pPr>
        <w:spacing w:line="600" w:lineRule="exact"/>
        <w:jc w:val="center"/>
        <w:rPr>
          <w:rFonts w:hint="eastAsia" w:ascii="方正小标宋简体" w:hAnsi="宋体" w:eastAsia="方正小标宋简体" w:cs="Times New Roman"/>
          <w:sz w:val="44"/>
          <w:szCs w:val="44"/>
          <w:highlight w:val="none"/>
          <w:lang w:val="en-US" w:eastAsia="zh-CN"/>
        </w:rPr>
      </w:pPr>
      <w:r>
        <w:rPr>
          <w:rFonts w:hint="eastAsia" w:ascii="方正小标宋简体" w:hAnsi="宋体" w:eastAsia="方正小标宋简体" w:cs="Times New Roman"/>
          <w:sz w:val="44"/>
          <w:szCs w:val="44"/>
          <w:highlight w:val="none"/>
          <w:lang w:val="en-US" w:eastAsia="zh-CN"/>
        </w:rPr>
        <w:t>关于常德智见软磁喷带及电感制造项目</w:t>
      </w:r>
    </w:p>
    <w:p w14:paraId="36EBC8A3">
      <w:pPr>
        <w:spacing w:line="600" w:lineRule="exact"/>
        <w:jc w:val="center"/>
        <w:rPr>
          <w:rFonts w:hint="eastAsia" w:ascii="方正小标宋简体" w:hAnsi="宋体" w:eastAsia="方正小标宋简体" w:cs="Times New Roman"/>
          <w:sz w:val="44"/>
          <w:szCs w:val="44"/>
          <w:highlight w:val="none"/>
          <w:lang w:val="en-US" w:eastAsia="zh-CN"/>
        </w:rPr>
      </w:pPr>
      <w:r>
        <w:rPr>
          <w:rFonts w:hint="eastAsia" w:ascii="方正小标宋简体" w:hAnsi="宋体" w:eastAsia="方正小标宋简体" w:cs="Times New Roman"/>
          <w:sz w:val="44"/>
          <w:szCs w:val="44"/>
          <w:highlight w:val="none"/>
          <w:lang w:val="en-US" w:eastAsia="zh-CN"/>
        </w:rPr>
        <w:t>（重新报批）环境影响报告表的批复</w:t>
      </w:r>
    </w:p>
    <w:p w14:paraId="7E6E89C2">
      <w:pPr>
        <w:pageBreakBefore w:val="0"/>
        <w:kinsoku/>
        <w:wordWrap/>
        <w:overflowPunct/>
        <w:topLinePunct w:val="0"/>
        <w:autoSpaceDE/>
        <w:autoSpaceDN/>
        <w:bidi w:val="0"/>
        <w:adjustRightInd/>
        <w:snapToGrid/>
        <w:spacing w:line="560" w:lineRule="exact"/>
        <w:textAlignment w:val="auto"/>
        <w:rPr>
          <w:rFonts w:hint="eastAsia" w:ascii="国标仿宋-GB/T 2312" w:hAnsi="国标仿宋-GB/T 2312" w:eastAsia="国标仿宋-GB/T 2312" w:cs="国标仿宋-GB/T 2312"/>
          <w:sz w:val="32"/>
          <w:szCs w:val="32"/>
          <w:highlight w:val="none"/>
          <w:lang w:val="en-US" w:eastAsia="zh-CN"/>
        </w:rPr>
      </w:pPr>
    </w:p>
    <w:p w14:paraId="1CA06E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国标仿宋-GB/T 2312" w:hAnsi="国标仿宋-GB/T 2312" w:eastAsia="国标仿宋-GB/T 2312" w:cs="国标仿宋-GB/T 2312"/>
          <w:sz w:val="32"/>
          <w:szCs w:val="32"/>
          <w:highlight w:val="none"/>
          <w:lang w:val="en-US" w:eastAsia="zh-CN"/>
        </w:rPr>
      </w:pPr>
      <w:r>
        <w:rPr>
          <w:rFonts w:hint="eastAsia" w:ascii="国标仿宋-GB/T 2312" w:hAnsi="国标仿宋-GB/T 2312" w:eastAsia="国标仿宋-GB/T 2312" w:cs="国标仿宋-GB/T 2312"/>
          <w:sz w:val="32"/>
          <w:szCs w:val="32"/>
          <w:highlight w:val="none"/>
          <w:lang w:val="en-US" w:eastAsia="zh-CN"/>
        </w:rPr>
        <w:t>常德智见新材料有限公司：</w:t>
      </w:r>
    </w:p>
    <w:p w14:paraId="019DC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sz w:val="32"/>
          <w:szCs w:val="32"/>
          <w:highlight w:val="none"/>
          <w:lang w:val="en-US" w:eastAsia="zh-CN"/>
        </w:rPr>
      </w:pPr>
      <w:r>
        <w:rPr>
          <w:rFonts w:hint="eastAsia" w:ascii="国标仿宋-GB/T 2312" w:hAnsi="国标仿宋-GB/T 2312" w:eastAsia="国标仿宋-GB/T 2312" w:cs="国标仿宋-GB/T 2312"/>
          <w:sz w:val="32"/>
          <w:szCs w:val="32"/>
          <w:highlight w:val="none"/>
          <w:lang w:val="en-US" w:eastAsia="zh-CN"/>
        </w:rPr>
        <w:t>你公司《常德智见软磁喷带及电感制造项目（重新报批）环境影响报告表》（以下简称“报告表”）及相关附件收悉，根据环评报告结论、专家审查意见，经研究，批复如下：</w:t>
      </w:r>
    </w:p>
    <w:p w14:paraId="54295A50">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7" w:firstLineChars="0"/>
        <w:jc w:val="both"/>
        <w:textAlignment w:val="auto"/>
        <w:outlineLvl w:val="9"/>
        <w:rPr>
          <w:rFonts w:hint="eastAsia" w:ascii="国标仿宋-GB/T 2312" w:hAnsi="国标仿宋-GB/T 2312" w:eastAsia="国标仿宋-GB/T 2312" w:cs="国标仿宋-GB/T 2312"/>
          <w:b w:val="0"/>
          <w:bCs w:val="0"/>
          <w:color w:val="auto"/>
          <w:sz w:val="32"/>
          <w:szCs w:val="32"/>
          <w:highlight w:val="none"/>
        </w:rPr>
      </w:pPr>
      <w:r>
        <w:rPr>
          <w:rFonts w:hint="eastAsia" w:ascii="国标仿宋-GB/T 2312" w:hAnsi="国标仿宋-GB/T 2312" w:eastAsia="国标仿宋-GB/T 2312" w:cs="国标仿宋-GB/T 2312"/>
          <w:sz w:val="32"/>
          <w:szCs w:val="32"/>
          <w:highlight w:val="none"/>
          <w:lang w:val="en-US" w:eastAsia="zh-CN"/>
        </w:rPr>
        <w:t>常德智见软磁喷带及电感制造项目（重新报批）</w:t>
      </w:r>
      <w:r>
        <w:rPr>
          <w:rFonts w:hint="eastAsia" w:ascii="仿宋" w:hAnsi="仿宋" w:eastAsia="仿宋" w:cs="Times New Roman"/>
          <w:color w:val="auto"/>
          <w:sz w:val="32"/>
          <w:szCs w:val="32"/>
          <w:highlight w:val="none"/>
          <w:lang w:val="en-US" w:eastAsia="zh-CN"/>
        </w:rPr>
        <w:t>位于常德经济技术开发区海德路189号，建设纳米晶材料及电感产品生产线。原项目于2023年3月17日由我局审批（常环建</w:t>
      </w:r>
      <w:r>
        <w:rPr>
          <w:rFonts w:hint="eastAsia" w:ascii="仿宋_GB2312" w:hAnsi="Times New Roman" w:eastAsia="仿宋_GB2312" w:cs="仿宋_GB2312"/>
          <w:color w:val="auto"/>
          <w:sz w:val="32"/>
          <w:szCs w:val="32"/>
          <w:highlight w:val="none"/>
        </w:rPr>
        <w:t>〔</w:t>
      </w:r>
      <w:r>
        <w:rPr>
          <w:rFonts w:ascii="仿宋_GB2312" w:hAnsi="Times New Roman" w:eastAsia="仿宋_GB2312" w:cs="仿宋_GB2312"/>
          <w:color w:val="auto"/>
          <w:sz w:val="32"/>
          <w:szCs w:val="32"/>
          <w:highlight w:val="none"/>
        </w:rPr>
        <w:t>202</w:t>
      </w:r>
      <w:r>
        <w:rPr>
          <w:rFonts w:hint="eastAsia" w:ascii="仿宋_GB2312" w:hAnsi="Times New Roman" w:eastAsia="仿宋_GB2312" w:cs="仿宋_GB2312"/>
          <w:color w:val="auto"/>
          <w:sz w:val="32"/>
          <w:szCs w:val="32"/>
          <w:highlight w:val="none"/>
          <w:lang w:val="en-US" w:eastAsia="zh-CN"/>
        </w:rPr>
        <w:t>3</w:t>
      </w:r>
      <w:r>
        <w:rPr>
          <w:rFonts w:hint="eastAsia" w:ascii="仿宋" w:hAnsi="仿宋" w:eastAsia="仿宋" w:cs="Times New Roman"/>
          <w:color w:val="auto"/>
          <w:sz w:val="32"/>
          <w:szCs w:val="32"/>
          <w:highlight w:val="none"/>
          <w:lang w:val="en-US" w:eastAsia="zh-CN"/>
        </w:rPr>
        <w:t>）1008号），2025年因湖南智见园区管理服务有限公司对入驻企业布局要求及市场原因，生产厂址发生变化，新租赁湖南智见园区管理服务有限公司F4号楼建设纳米晶材料生产线，并改建原有生产线，因此重新报批本项目。项目共1条纳米晶材料生产线，建成后年产纳米晶材料990t，建设内容为纳米晶材料生产区（包含熔炼区、成型区、分卷区、分条区、检验区及机加工区）、纳米晶材料仓储区及办公区等。项目总投资3000万元，其中环保投资15万元。根据</w:t>
      </w:r>
      <w:r>
        <w:rPr>
          <w:rFonts w:hint="eastAsia" w:ascii="仿宋" w:hAnsi="仿宋" w:eastAsia="仿宋" w:cs="Times New Roman"/>
          <w:color w:val="000000"/>
          <w:sz w:val="32"/>
          <w:szCs w:val="32"/>
          <w:highlight w:val="none"/>
          <w:u w:val="none"/>
          <w:lang w:val="en-US" w:eastAsia="zh-CN"/>
        </w:rPr>
        <w:t>报告表的分析结论，在建设</w:t>
      </w:r>
      <w:r>
        <w:rPr>
          <w:rFonts w:hint="eastAsia" w:ascii="仿宋" w:hAnsi="仿宋" w:eastAsia="仿宋" w:cs="Times New Roman"/>
          <w:color w:val="auto"/>
          <w:sz w:val="32"/>
          <w:szCs w:val="32"/>
          <w:highlight w:val="none"/>
          <w:lang w:val="en-US" w:eastAsia="zh-CN"/>
        </w:rPr>
        <w:t>单位认真落实各项污染防治措施，外排污染物实现长期稳定达标排放的情况下，从环境保护的角度分析，</w:t>
      </w:r>
      <w:r>
        <w:rPr>
          <w:rFonts w:hint="eastAsia" w:ascii="国标仿宋-GB/T 2312" w:hAnsi="国标仿宋-GB/T 2312" w:eastAsia="国标仿宋-GB/T 2312" w:cs="国标仿宋-GB/T 2312"/>
          <w:b w:val="0"/>
          <w:bCs w:val="0"/>
          <w:color w:val="auto"/>
          <w:sz w:val="32"/>
          <w:szCs w:val="32"/>
          <w:highlight w:val="none"/>
        </w:rPr>
        <w:t>我局原则</w:t>
      </w:r>
      <w:r>
        <w:rPr>
          <w:rFonts w:hint="eastAsia" w:ascii="国标仿宋-GB/T 2312" w:hAnsi="国标仿宋-GB/T 2312" w:eastAsia="国标仿宋-GB/T 2312" w:cs="国标仿宋-GB/T 2312"/>
          <w:b w:val="0"/>
          <w:bCs w:val="0"/>
          <w:color w:val="auto"/>
          <w:sz w:val="32"/>
          <w:szCs w:val="32"/>
          <w:highlight w:val="none"/>
          <w:lang w:eastAsia="zh-CN"/>
        </w:rPr>
        <w:t>上</w:t>
      </w:r>
      <w:r>
        <w:rPr>
          <w:rFonts w:hint="eastAsia" w:ascii="国标仿宋-GB/T 2312" w:hAnsi="国标仿宋-GB/T 2312" w:eastAsia="国标仿宋-GB/T 2312" w:cs="国标仿宋-GB/T 2312"/>
          <w:b w:val="0"/>
          <w:bCs w:val="0"/>
          <w:color w:val="auto"/>
          <w:sz w:val="32"/>
          <w:szCs w:val="32"/>
          <w:highlight w:val="none"/>
          <w:lang w:val="en-US" w:eastAsia="zh-CN"/>
        </w:rPr>
        <w:t>同意该项目建设。</w:t>
      </w:r>
    </w:p>
    <w:p w14:paraId="18DE55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color w:val="auto"/>
          <w:sz w:val="32"/>
          <w:szCs w:val="32"/>
          <w:highlight w:val="none"/>
        </w:rPr>
      </w:pPr>
      <w:r>
        <w:rPr>
          <w:rFonts w:hint="eastAsia" w:ascii="国标仿宋-GB/T 2312" w:hAnsi="国标仿宋-GB/T 2312" w:eastAsia="国标仿宋-GB/T 2312" w:cs="国标仿宋-GB/T 2312"/>
          <w:color w:val="auto"/>
          <w:sz w:val="32"/>
          <w:szCs w:val="32"/>
          <w:highlight w:val="none"/>
        </w:rPr>
        <w:t>二、你单位在</w:t>
      </w:r>
      <w:r>
        <w:rPr>
          <w:rFonts w:hint="eastAsia" w:ascii="国标仿宋-GB/T 2312" w:hAnsi="国标仿宋-GB/T 2312" w:eastAsia="国标仿宋-GB/T 2312" w:cs="国标仿宋-GB/T 2312"/>
          <w:color w:val="auto"/>
          <w:sz w:val="32"/>
          <w:szCs w:val="32"/>
          <w:highlight w:val="none"/>
          <w:lang w:eastAsia="zh-CN"/>
        </w:rPr>
        <w:t>项目</w:t>
      </w:r>
      <w:r>
        <w:rPr>
          <w:rFonts w:hint="eastAsia" w:ascii="国标仿宋-GB/T 2312" w:hAnsi="国标仿宋-GB/T 2312" w:eastAsia="国标仿宋-GB/T 2312" w:cs="国标仿宋-GB/T 2312"/>
          <w:color w:val="auto"/>
          <w:sz w:val="32"/>
          <w:szCs w:val="32"/>
          <w:highlight w:val="none"/>
        </w:rPr>
        <w:t>设计、建设和运行管理中，须全面落实</w:t>
      </w:r>
      <w:r>
        <w:rPr>
          <w:rFonts w:hint="eastAsia" w:ascii="国标仿宋-GB/T 2312" w:hAnsi="国标仿宋-GB/T 2312" w:eastAsia="国标仿宋-GB/T 2312" w:cs="国标仿宋-GB/T 2312"/>
          <w:color w:val="auto"/>
          <w:sz w:val="32"/>
          <w:szCs w:val="32"/>
          <w:highlight w:val="none"/>
          <w:lang w:eastAsia="zh-CN"/>
        </w:rPr>
        <w:t>报告表</w:t>
      </w:r>
      <w:r>
        <w:rPr>
          <w:rFonts w:hint="eastAsia" w:ascii="国标仿宋-GB/T 2312" w:hAnsi="国标仿宋-GB/T 2312" w:eastAsia="国标仿宋-GB/T 2312" w:cs="国标仿宋-GB/T 2312"/>
          <w:color w:val="auto"/>
          <w:sz w:val="32"/>
          <w:szCs w:val="32"/>
          <w:highlight w:val="none"/>
        </w:rPr>
        <w:t>中提出的各项污染防治措施</w:t>
      </w:r>
      <w:r>
        <w:rPr>
          <w:rFonts w:hint="eastAsia" w:ascii="国标仿宋-GB/T 2312" w:hAnsi="国标仿宋-GB/T 2312" w:eastAsia="国标仿宋-GB/T 2312" w:cs="国标仿宋-GB/T 2312"/>
          <w:color w:val="auto"/>
          <w:sz w:val="32"/>
          <w:szCs w:val="32"/>
          <w:highlight w:val="none"/>
          <w:lang w:val="en-US" w:eastAsia="zh-CN"/>
        </w:rPr>
        <w:t>和环境管理要求</w:t>
      </w:r>
      <w:r>
        <w:rPr>
          <w:rFonts w:hint="eastAsia" w:ascii="国标仿宋-GB/T 2312" w:hAnsi="国标仿宋-GB/T 2312" w:eastAsia="国标仿宋-GB/T 2312" w:cs="国标仿宋-GB/T 2312"/>
          <w:color w:val="auto"/>
          <w:sz w:val="32"/>
          <w:szCs w:val="32"/>
          <w:highlight w:val="none"/>
        </w:rPr>
        <w:t>，并着重做好以下工作：</w:t>
      </w:r>
    </w:p>
    <w:p w14:paraId="56F523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国标仿宋-GB/T 2312" w:hAnsi="国标仿宋-GB/T 2312" w:eastAsia="国标仿宋-GB/T 2312" w:cs="国标仿宋-GB/T 2312"/>
          <w:color w:val="auto"/>
          <w:sz w:val="32"/>
          <w:szCs w:val="32"/>
          <w:highlight w:val="none"/>
          <w:lang w:val="en-US" w:eastAsia="zh-CN"/>
        </w:rPr>
      </w:pPr>
      <w:r>
        <w:rPr>
          <w:rFonts w:hint="eastAsia" w:ascii="国标仿宋-GB/T 2312" w:hAnsi="国标仿宋-GB/T 2312" w:eastAsia="国标仿宋-GB/T 2312" w:cs="国标仿宋-GB/T 2312"/>
          <w:color w:val="auto"/>
          <w:sz w:val="32"/>
          <w:szCs w:val="32"/>
          <w:highlight w:val="none"/>
        </w:rPr>
        <w:t>（一）严格落实</w:t>
      </w:r>
      <w:r>
        <w:rPr>
          <w:rFonts w:hint="eastAsia" w:ascii="国标仿宋-GB/T 2312" w:hAnsi="国标仿宋-GB/T 2312" w:eastAsia="国标仿宋-GB/T 2312" w:cs="国标仿宋-GB/T 2312"/>
          <w:color w:val="auto"/>
          <w:sz w:val="32"/>
          <w:szCs w:val="32"/>
          <w:highlight w:val="none"/>
          <w:lang w:eastAsia="zh-CN"/>
        </w:rPr>
        <w:t>废气</w:t>
      </w:r>
      <w:r>
        <w:rPr>
          <w:rFonts w:hint="eastAsia" w:ascii="国标仿宋-GB/T 2312" w:hAnsi="国标仿宋-GB/T 2312" w:eastAsia="国标仿宋-GB/T 2312" w:cs="国标仿宋-GB/T 2312"/>
          <w:color w:val="auto"/>
          <w:sz w:val="32"/>
          <w:szCs w:val="32"/>
          <w:highlight w:val="none"/>
        </w:rPr>
        <w:t>污染防治措施。</w:t>
      </w:r>
      <w:r>
        <w:rPr>
          <w:rFonts w:hint="eastAsia" w:ascii="国标仿宋-GB/T 2312" w:hAnsi="国标仿宋-GB/T 2312" w:eastAsia="国标仿宋-GB/T 2312" w:cs="国标仿宋-GB/T 2312"/>
          <w:color w:val="auto"/>
          <w:sz w:val="32"/>
          <w:szCs w:val="32"/>
          <w:highlight w:val="none"/>
          <w:lang w:val="en-US" w:eastAsia="zh-CN"/>
        </w:rPr>
        <w:t>项目在真空熔炼、成型、非真空熔炼工序会产生熔炼烟尘；钻铣加工工序会产生机加工废气。真空熔炼炉、制带机产生的熔炼烟尘经抽风管通往滤芯过滤处理后通过不低于15m排气筒（DA001）排放，熔炼烟尘（颗粒物）排放满足《常德市工业炉窑大气污染综合治理实施方案》及《工业炉窑主要大气污染物排放标准》（DB43/3082-2024）要求；钻铣加工产生的颗粒物由设备自带的除尘设施全部收集处理后排放，颗粒物无组织排放满足《大气污染物综合排放标准》（GB16279-1996）表2大气污染物厂界无组织排放限值。</w:t>
      </w:r>
    </w:p>
    <w:p w14:paraId="385DF295">
      <w:pPr>
        <w:pStyle w:val="9"/>
        <w:keepNext w:val="0"/>
        <w:keepLines w:val="0"/>
        <w:pageBreakBefore w:val="0"/>
        <w:widowControl w:val="0"/>
        <w:kinsoku/>
        <w:wordWrap/>
        <w:overflowPunct/>
        <w:topLinePunct w:val="0"/>
        <w:autoSpaceDE/>
        <w:autoSpaceDN/>
        <w:bidi w:val="0"/>
        <w:snapToGrid/>
        <w:spacing w:before="0" w:beforeLines="0" w:line="560" w:lineRule="exact"/>
        <w:ind w:firstLine="640" w:firstLineChars="200"/>
        <w:jc w:val="left"/>
        <w:rPr>
          <w:rFonts w:hint="default" w:ascii="仿宋" w:hAnsi="仿宋" w:eastAsia="仿宋" w:cs="Times New Roman"/>
          <w:bCs w:val="0"/>
          <w:color w:val="auto"/>
          <w:kern w:val="2"/>
          <w:sz w:val="32"/>
          <w:szCs w:val="32"/>
          <w:highlight w:val="none"/>
          <w:lang w:val="en-US" w:eastAsia="zh-CN" w:bidi="ar-SA"/>
        </w:rPr>
      </w:pPr>
      <w:r>
        <w:rPr>
          <w:rFonts w:hint="eastAsia" w:ascii="国标仿宋-GB/T 2312" w:hAnsi="国标仿宋-GB/T 2312" w:eastAsia="国标仿宋-GB/T 2312" w:cs="国标仿宋-GB/T 2312"/>
          <w:b w:val="0"/>
          <w:bCs w:val="0"/>
          <w:color w:val="auto"/>
          <w:sz w:val="32"/>
          <w:szCs w:val="32"/>
          <w:highlight w:val="none"/>
        </w:rPr>
        <w:t>（二）严格落实</w:t>
      </w:r>
      <w:r>
        <w:rPr>
          <w:rFonts w:hint="eastAsia" w:ascii="国标仿宋-GB/T 2312" w:hAnsi="国标仿宋-GB/T 2312" w:eastAsia="国标仿宋-GB/T 2312" w:cs="国标仿宋-GB/T 2312"/>
          <w:b w:val="0"/>
          <w:bCs w:val="0"/>
          <w:color w:val="auto"/>
          <w:sz w:val="32"/>
          <w:szCs w:val="32"/>
          <w:highlight w:val="none"/>
          <w:lang w:eastAsia="zh-CN"/>
        </w:rPr>
        <w:t>废水处理</w:t>
      </w:r>
      <w:r>
        <w:rPr>
          <w:rFonts w:hint="eastAsia" w:ascii="国标仿宋-GB/T 2312" w:hAnsi="国标仿宋-GB/T 2312" w:eastAsia="国标仿宋-GB/T 2312" w:cs="国标仿宋-GB/T 2312"/>
          <w:b w:val="0"/>
          <w:bCs w:val="0"/>
          <w:color w:val="auto"/>
          <w:sz w:val="32"/>
          <w:szCs w:val="32"/>
          <w:highlight w:val="none"/>
        </w:rPr>
        <w:t>措施。</w:t>
      </w:r>
      <w:r>
        <w:rPr>
          <w:rFonts w:hint="default" w:ascii="仿宋" w:hAnsi="仿宋" w:eastAsia="仿宋" w:cs="Times New Roman"/>
          <w:bCs w:val="0"/>
          <w:color w:val="auto"/>
          <w:kern w:val="2"/>
          <w:sz w:val="32"/>
          <w:szCs w:val="32"/>
          <w:highlight w:val="none"/>
          <w:lang w:val="en-US" w:eastAsia="zh-CN" w:bidi="ar-SA"/>
        </w:rPr>
        <w:t>生活污水经化粪池处理排入</w:t>
      </w:r>
      <w:r>
        <w:rPr>
          <w:rFonts w:hint="eastAsia" w:ascii="仿宋" w:hAnsi="仿宋" w:eastAsia="仿宋" w:cs="Times New Roman"/>
          <w:bCs w:val="0"/>
          <w:color w:val="auto"/>
          <w:kern w:val="2"/>
          <w:sz w:val="32"/>
          <w:szCs w:val="32"/>
          <w:highlight w:val="none"/>
          <w:lang w:val="en-US" w:eastAsia="zh-CN" w:bidi="ar-SA"/>
        </w:rPr>
        <w:t>市政</w:t>
      </w:r>
      <w:r>
        <w:rPr>
          <w:rFonts w:hint="default" w:ascii="仿宋" w:hAnsi="仿宋" w:eastAsia="仿宋" w:cs="Times New Roman"/>
          <w:bCs w:val="0"/>
          <w:color w:val="auto"/>
          <w:kern w:val="2"/>
          <w:sz w:val="32"/>
          <w:szCs w:val="32"/>
          <w:highlight w:val="none"/>
          <w:lang w:val="en-US" w:eastAsia="zh-CN" w:bidi="ar-SA"/>
        </w:rPr>
        <w:t>污水管网</w:t>
      </w:r>
      <w:r>
        <w:rPr>
          <w:rFonts w:hint="eastAsia" w:ascii="仿宋" w:hAnsi="仿宋" w:eastAsia="仿宋" w:cs="Times New Roman"/>
          <w:bCs w:val="0"/>
          <w:color w:val="auto"/>
          <w:kern w:val="2"/>
          <w:sz w:val="32"/>
          <w:szCs w:val="32"/>
          <w:highlight w:val="none"/>
          <w:lang w:val="en-US" w:eastAsia="zh-CN" w:bidi="ar-SA"/>
        </w:rPr>
        <w:t>，</w:t>
      </w:r>
      <w:r>
        <w:rPr>
          <w:rFonts w:hint="default" w:ascii="仿宋" w:hAnsi="仿宋" w:eastAsia="仿宋" w:cs="Times New Roman"/>
          <w:bCs w:val="0"/>
          <w:color w:val="auto"/>
          <w:kern w:val="2"/>
          <w:sz w:val="32"/>
          <w:szCs w:val="32"/>
          <w:highlight w:val="none"/>
          <w:lang w:val="en-US" w:eastAsia="zh-CN" w:bidi="ar-SA"/>
        </w:rPr>
        <w:t>冷却水</w:t>
      </w:r>
      <w:r>
        <w:rPr>
          <w:rFonts w:hint="eastAsia" w:ascii="仿宋" w:hAnsi="仿宋" w:eastAsia="仿宋" w:cs="Times New Roman"/>
          <w:bCs w:val="0"/>
          <w:color w:val="auto"/>
          <w:kern w:val="2"/>
          <w:sz w:val="32"/>
          <w:szCs w:val="32"/>
          <w:highlight w:val="none"/>
          <w:lang w:val="en-US" w:eastAsia="zh-CN" w:bidi="ar-SA"/>
        </w:rPr>
        <w:t>也</w:t>
      </w:r>
      <w:r>
        <w:rPr>
          <w:rFonts w:hint="default" w:ascii="仿宋" w:hAnsi="仿宋" w:eastAsia="仿宋" w:cs="Times New Roman"/>
          <w:bCs w:val="0"/>
          <w:color w:val="auto"/>
          <w:kern w:val="2"/>
          <w:sz w:val="32"/>
          <w:szCs w:val="32"/>
          <w:highlight w:val="none"/>
          <w:lang w:val="en-US" w:eastAsia="zh-CN" w:bidi="ar-SA"/>
        </w:rPr>
        <w:t>排入污水管网</w:t>
      </w:r>
      <w:r>
        <w:rPr>
          <w:rFonts w:hint="eastAsia" w:ascii="仿宋" w:hAnsi="仿宋" w:eastAsia="仿宋" w:cs="Times New Roman"/>
          <w:bCs w:val="0"/>
          <w:color w:val="auto"/>
          <w:kern w:val="2"/>
          <w:sz w:val="32"/>
          <w:szCs w:val="32"/>
          <w:highlight w:val="none"/>
          <w:lang w:val="en-US" w:eastAsia="zh-CN" w:bidi="ar-SA"/>
        </w:rPr>
        <w:t>，</w:t>
      </w:r>
      <w:r>
        <w:rPr>
          <w:rFonts w:hint="eastAsia" w:ascii="国标仿宋-GB/T 2312" w:hAnsi="国标仿宋-GB/T 2312" w:eastAsia="国标仿宋-GB/T 2312" w:cs="国标仿宋-GB/T 2312"/>
          <w:b w:val="0"/>
          <w:bCs w:val="0"/>
          <w:color w:val="auto"/>
          <w:sz w:val="32"/>
          <w:szCs w:val="32"/>
          <w:highlight w:val="none"/>
          <w:lang w:eastAsia="zh-CN"/>
        </w:rPr>
        <w:t>废</w:t>
      </w:r>
      <w:r>
        <w:rPr>
          <w:rFonts w:hint="eastAsia" w:ascii="仿宋" w:hAnsi="仿宋" w:eastAsia="仿宋" w:cs="Times New Roman"/>
          <w:bCs w:val="0"/>
          <w:color w:val="auto"/>
          <w:kern w:val="2"/>
          <w:sz w:val="32"/>
          <w:szCs w:val="32"/>
          <w:highlight w:val="none"/>
          <w:lang w:val="en-US" w:eastAsia="zh-CN" w:bidi="ar-SA"/>
        </w:rPr>
        <w:t>水最后进入德山污水处理厂处理，满足德山污水处理厂进水水质要求。</w:t>
      </w:r>
    </w:p>
    <w:p w14:paraId="04485B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b w:val="0"/>
          <w:bCs w:val="0"/>
          <w:color w:val="auto"/>
          <w:sz w:val="32"/>
          <w:szCs w:val="32"/>
          <w:highlight w:val="none"/>
        </w:rPr>
      </w:pPr>
      <w:r>
        <w:rPr>
          <w:rFonts w:hint="eastAsia" w:ascii="国标仿宋-GB/T 2312" w:hAnsi="国标仿宋-GB/T 2312" w:eastAsia="国标仿宋-GB/T 2312" w:cs="国标仿宋-GB/T 2312"/>
          <w:b w:val="0"/>
          <w:bCs w:val="0"/>
          <w:color w:val="auto"/>
          <w:sz w:val="32"/>
          <w:szCs w:val="32"/>
          <w:highlight w:val="none"/>
        </w:rPr>
        <w:t>（三）</w:t>
      </w:r>
      <w:r>
        <w:rPr>
          <w:rFonts w:hint="eastAsia" w:ascii="国标仿宋-GB/T 2312" w:hAnsi="国标仿宋-GB/T 2312" w:eastAsia="国标仿宋-GB/T 2312" w:cs="国标仿宋-GB/T 2312"/>
          <w:b w:val="0"/>
          <w:bCs w:val="0"/>
          <w:color w:val="auto"/>
          <w:sz w:val="32"/>
          <w:szCs w:val="32"/>
          <w:highlight w:val="none"/>
          <w:lang w:eastAsia="zh-CN"/>
        </w:rPr>
        <w:t>加强</w:t>
      </w:r>
      <w:r>
        <w:rPr>
          <w:rFonts w:hint="eastAsia" w:ascii="国标仿宋-GB/T 2312" w:hAnsi="国标仿宋-GB/T 2312" w:eastAsia="国标仿宋-GB/T 2312" w:cs="国标仿宋-GB/T 2312"/>
          <w:b w:val="0"/>
          <w:bCs w:val="0"/>
          <w:color w:val="auto"/>
          <w:sz w:val="32"/>
          <w:szCs w:val="32"/>
          <w:highlight w:val="none"/>
        </w:rPr>
        <w:t>噪声污染</w:t>
      </w:r>
      <w:r>
        <w:rPr>
          <w:rFonts w:hint="eastAsia" w:ascii="国标仿宋-GB/T 2312" w:hAnsi="国标仿宋-GB/T 2312" w:eastAsia="国标仿宋-GB/T 2312" w:cs="国标仿宋-GB/T 2312"/>
          <w:b w:val="0"/>
          <w:bCs w:val="0"/>
          <w:color w:val="auto"/>
          <w:sz w:val="32"/>
          <w:szCs w:val="32"/>
          <w:highlight w:val="none"/>
          <w:lang w:eastAsia="zh-CN"/>
        </w:rPr>
        <w:t>控制</w:t>
      </w:r>
      <w:r>
        <w:rPr>
          <w:rFonts w:hint="eastAsia" w:ascii="国标仿宋-GB/T 2312" w:hAnsi="国标仿宋-GB/T 2312" w:eastAsia="国标仿宋-GB/T 2312" w:cs="国标仿宋-GB/T 2312"/>
          <w:b w:val="0"/>
          <w:bCs w:val="0"/>
          <w:color w:val="auto"/>
          <w:sz w:val="32"/>
          <w:szCs w:val="32"/>
          <w:highlight w:val="none"/>
        </w:rPr>
        <w:t>。</w:t>
      </w:r>
      <w:r>
        <w:rPr>
          <w:rFonts w:hint="eastAsia" w:ascii="国标仿宋-GB/T 2312" w:hAnsi="国标仿宋-GB/T 2312" w:eastAsia="国标仿宋-GB/T 2312" w:cs="国标仿宋-GB/T 2312"/>
          <w:sz w:val="32"/>
          <w:szCs w:val="32"/>
          <w:highlight w:val="none"/>
          <w:lang w:val="en-US" w:eastAsia="zh-CN"/>
        </w:rPr>
        <w:t>合理布置噪声设备位置，优化厂区平面布局，对高噪声设备采取基础减振措施，控制作业时间，减少噪声对周边的影响，厂界噪声满足《工业企业厂界环境噪声排放标准》（GB12348-2008）3类标准</w:t>
      </w:r>
      <w:r>
        <w:rPr>
          <w:rFonts w:hint="eastAsia" w:ascii="国标仿宋-GB/T 2312" w:hAnsi="国标仿宋-GB/T 2312" w:eastAsia="国标仿宋-GB/T 2312" w:cs="国标仿宋-GB/T 2312"/>
          <w:b w:val="0"/>
          <w:bCs w:val="0"/>
          <w:color w:val="auto"/>
          <w:sz w:val="32"/>
          <w:szCs w:val="32"/>
          <w:highlight w:val="none"/>
          <w:lang w:val="en-US" w:eastAsia="zh-CN"/>
        </w:rPr>
        <w:t>。</w:t>
      </w:r>
    </w:p>
    <w:p w14:paraId="645273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仿宋-GB/T 2312" w:hAnsi="国标仿宋-GB/T 2312" w:eastAsia="国标仿宋-GB/T 2312" w:cs="国标仿宋-GB/T 2312"/>
          <w:b w:val="0"/>
          <w:bCs w:val="0"/>
          <w:color w:val="auto"/>
          <w:sz w:val="32"/>
          <w:szCs w:val="32"/>
          <w:highlight w:val="none"/>
          <w:lang w:val="en-US" w:eastAsia="zh-CN"/>
        </w:rPr>
      </w:pPr>
      <w:r>
        <w:rPr>
          <w:rFonts w:hint="eastAsia" w:ascii="国标仿宋-GB/T 2312" w:hAnsi="国标仿宋-GB/T 2312" w:eastAsia="国标仿宋-GB/T 2312" w:cs="国标仿宋-GB/T 2312"/>
          <w:b w:val="0"/>
          <w:bCs w:val="0"/>
          <w:color w:val="auto"/>
          <w:sz w:val="32"/>
          <w:szCs w:val="32"/>
          <w:highlight w:val="none"/>
          <w:lang w:val="en-US" w:eastAsia="zh-CN"/>
        </w:rPr>
        <w:t>（四）严格落实固体废物处置措施。本项目产生的危险废物包括废矿物油与含矿物油废物、废弃的含油抹布等收集后暂存在厂区危废暂存间，定期交由具有危废资质的单位处置。危险废物贮存严格按照《危险废物收集、贮存、运输技术规范》（HJ2025-2012）和《危险废物贮存污染控制标准》（GB18597-2023）的相关要求进行建设。一般固废分类收集、定点堆放在厂区一般固废场所。按一般固废处置。</w:t>
      </w:r>
      <w:bookmarkStart w:id="0" w:name="_GoBack"/>
      <w:bookmarkEnd w:id="0"/>
      <w:r>
        <w:rPr>
          <w:rFonts w:hint="eastAsia" w:ascii="国标仿宋-GB/T 2312" w:hAnsi="国标仿宋-GB/T 2312" w:eastAsia="国标仿宋-GB/T 2312" w:cs="国标仿宋-GB/T 2312"/>
          <w:b w:val="0"/>
          <w:bCs w:val="0"/>
          <w:color w:val="auto"/>
          <w:sz w:val="32"/>
          <w:szCs w:val="32"/>
          <w:highlight w:val="none"/>
          <w:lang w:val="en-US" w:eastAsia="zh-CN"/>
        </w:rPr>
        <w:t>生活垃圾统一收集，交由环卫部门定期清运。</w:t>
      </w:r>
    </w:p>
    <w:p w14:paraId="0EABC3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国标仿宋-GB/T 2312" w:hAnsi="国标仿宋-GB/T 2312" w:eastAsia="国标仿宋-GB/T 2312" w:cs="国标仿宋-GB/T 2312"/>
          <w:b w:val="0"/>
          <w:bCs w:val="0"/>
          <w:color w:val="auto"/>
          <w:sz w:val="32"/>
          <w:szCs w:val="32"/>
          <w:highlight w:val="none"/>
        </w:rPr>
        <w:t>（五）严格落实环境管理要求</w:t>
      </w:r>
      <w:r>
        <w:rPr>
          <w:rFonts w:hint="eastAsia" w:ascii="国标仿宋-GB/T 2312" w:hAnsi="国标仿宋-GB/T 2312" w:eastAsia="国标仿宋-GB/T 2312" w:cs="国标仿宋-GB/T 2312"/>
          <w:b w:val="0"/>
          <w:bCs w:val="0"/>
          <w:color w:val="auto"/>
          <w:sz w:val="32"/>
          <w:szCs w:val="32"/>
          <w:highlight w:val="none"/>
          <w:lang w:eastAsia="zh-CN"/>
        </w:rPr>
        <w:t>。</w:t>
      </w:r>
      <w:r>
        <w:rPr>
          <w:rFonts w:hint="eastAsia" w:ascii="国标仿宋-GB/T 2312" w:hAnsi="国标仿宋-GB/T 2312" w:eastAsia="国标仿宋-GB/T 2312" w:cs="国标仿宋-GB/T 2312"/>
          <w:b w:val="0"/>
          <w:bCs w:val="0"/>
          <w:color w:val="auto"/>
          <w:sz w:val="32"/>
          <w:szCs w:val="32"/>
          <w:highlight w:val="none"/>
        </w:rPr>
        <w:t>明确</w:t>
      </w:r>
      <w:r>
        <w:rPr>
          <w:rFonts w:hint="eastAsia" w:ascii="国标仿宋-GB/T 2312" w:hAnsi="国标仿宋-GB/T 2312" w:eastAsia="国标仿宋-GB/T 2312" w:cs="国标仿宋-GB/T 2312"/>
          <w:b w:val="0"/>
          <w:bCs w:val="0"/>
          <w:color w:val="auto"/>
          <w:sz w:val="32"/>
          <w:szCs w:val="32"/>
          <w:highlight w:val="none"/>
          <w:lang w:eastAsia="zh-CN"/>
        </w:rPr>
        <w:t>环保</w:t>
      </w:r>
      <w:r>
        <w:rPr>
          <w:rFonts w:hint="eastAsia" w:ascii="国标仿宋-GB/T 2312" w:hAnsi="国标仿宋-GB/T 2312" w:eastAsia="国标仿宋-GB/T 2312" w:cs="国标仿宋-GB/T 2312"/>
          <w:b w:val="0"/>
          <w:bCs w:val="0"/>
          <w:color w:val="auto"/>
          <w:sz w:val="32"/>
          <w:szCs w:val="32"/>
          <w:highlight w:val="none"/>
        </w:rPr>
        <w:t>机构、人员、职责和制度，确保环保设施运行稳定、所有外排污染物长期稳定达标排放</w:t>
      </w:r>
      <w:r>
        <w:rPr>
          <w:rFonts w:hint="eastAsia" w:ascii="国标仿宋-GB/T 2312" w:hAnsi="国标仿宋-GB/T 2312" w:eastAsia="国标仿宋-GB/T 2312" w:cs="国标仿宋-GB/T 2312"/>
          <w:b w:val="0"/>
          <w:bCs w:val="0"/>
          <w:color w:val="auto"/>
          <w:sz w:val="32"/>
          <w:szCs w:val="32"/>
          <w:highlight w:val="none"/>
          <w:lang w:eastAsia="zh-CN"/>
        </w:rPr>
        <w:t>。</w:t>
      </w:r>
    </w:p>
    <w:p w14:paraId="06C158A2">
      <w:pPr>
        <w:keepNext w:val="0"/>
        <w:keepLines w:val="0"/>
        <w:widowControl/>
        <w:suppressLineNumbers w:val="0"/>
        <w:ind w:firstLine="640" w:firstLineChars="200"/>
        <w:jc w:val="left"/>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三、环境影响报告</w:t>
      </w:r>
      <w:r>
        <w:rPr>
          <w:rFonts w:hint="eastAsia" w:ascii="仿宋_GB2312" w:hAnsi="仿宋_GB2312" w:eastAsia="仿宋_GB2312" w:cs="仿宋_GB2312"/>
          <w:b w:val="0"/>
          <w:bCs/>
          <w:sz w:val="32"/>
          <w:szCs w:val="32"/>
          <w:highlight w:val="none"/>
          <w:lang w:eastAsia="zh-CN"/>
        </w:rPr>
        <w:t>表</w:t>
      </w:r>
      <w:r>
        <w:rPr>
          <w:rFonts w:hint="eastAsia" w:ascii="仿宋_GB2312" w:hAnsi="仿宋_GB2312" w:eastAsia="仿宋_GB2312" w:cs="仿宋_GB2312"/>
          <w:b w:val="0"/>
          <w:bCs/>
          <w:sz w:val="32"/>
          <w:szCs w:val="32"/>
          <w:highlight w:val="none"/>
        </w:rPr>
        <w:t>经批准后，建设项目的性质、规模、地点、采用的生产工艺或者防治污染、防止生态破坏的措施发生重大变动的，建设单位应当重新报批建设项目的环境影响评价文件。</w:t>
      </w:r>
      <w:r>
        <w:rPr>
          <w:rFonts w:hint="eastAsia" w:ascii="仿宋_GB2312" w:hAnsi="仿宋_GB2312" w:eastAsia="仿宋_GB2312" w:cs="仿宋_GB2312"/>
          <w:b w:val="0"/>
          <w:bCs/>
          <w:sz w:val="32"/>
          <w:szCs w:val="32"/>
          <w:highlight w:val="none"/>
          <w:lang w:val="en-US" w:eastAsia="zh-CN"/>
        </w:rPr>
        <w:t>企业的排污许可按登记管理执行，项目投产前企业需进行排污许可登记变更。</w:t>
      </w:r>
      <w:r>
        <w:rPr>
          <w:rFonts w:hint="eastAsia" w:ascii="仿宋_GB2312" w:hAnsi="仿宋_GB2312" w:eastAsia="仿宋_GB2312" w:cs="仿宋_GB2312"/>
          <w:b w:val="0"/>
          <w:bCs/>
          <w:sz w:val="32"/>
          <w:szCs w:val="32"/>
          <w:highlight w:val="none"/>
          <w:lang w:eastAsia="zh-CN"/>
        </w:rPr>
        <w:t>同时建设单位要按规定程序进行环保“三同时”验收，相关信息按规定自行发布。</w:t>
      </w:r>
    </w:p>
    <w:p w14:paraId="58C51285">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pacing w:val="-10"/>
          <w:sz w:val="32"/>
          <w:szCs w:val="32"/>
          <w:highlight w:val="none"/>
        </w:rPr>
      </w:pPr>
    </w:p>
    <w:p w14:paraId="1DFEFCB0">
      <w:pPr>
        <w:keepNext w:val="0"/>
        <w:keepLines w:val="0"/>
        <w:pageBreakBefore w:val="0"/>
        <w:widowControl w:val="0"/>
        <w:kinsoku/>
        <w:wordWrap/>
        <w:overflowPunct/>
        <w:topLinePunct w:val="0"/>
        <w:autoSpaceDE/>
        <w:autoSpaceDN/>
        <w:bidi w:val="0"/>
        <w:adjustRightInd/>
        <w:snapToGrid/>
        <w:spacing w:line="560" w:lineRule="exact"/>
        <w:ind w:firstLine="5976" w:firstLineChars="1800"/>
        <w:textAlignment w:val="auto"/>
        <w:rPr>
          <w:rFonts w:hint="eastAsia" w:ascii="仿宋_GB2312" w:hAnsi="仿宋_GB2312" w:eastAsia="仿宋_GB2312" w:cs="仿宋_GB2312"/>
          <w:color w:val="auto"/>
          <w:spacing w:val="6"/>
          <w:sz w:val="32"/>
          <w:szCs w:val="32"/>
          <w:highlight w:val="none"/>
        </w:rPr>
      </w:pPr>
    </w:p>
    <w:p w14:paraId="153935F7">
      <w:pPr>
        <w:keepNext w:val="0"/>
        <w:keepLines w:val="0"/>
        <w:pageBreakBefore w:val="0"/>
        <w:widowControl w:val="0"/>
        <w:kinsoku/>
        <w:wordWrap/>
        <w:overflowPunct/>
        <w:topLinePunct w:val="0"/>
        <w:autoSpaceDE/>
        <w:autoSpaceDN/>
        <w:bidi w:val="0"/>
        <w:adjustRightInd/>
        <w:snapToGrid/>
        <w:spacing w:line="560" w:lineRule="exact"/>
        <w:ind w:firstLine="5976" w:firstLineChars="1800"/>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rPr>
        <w:t>常德</w:t>
      </w:r>
      <w:r>
        <w:rPr>
          <w:rFonts w:hint="eastAsia" w:ascii="仿宋_GB2312" w:hAnsi="仿宋_GB2312" w:eastAsia="仿宋_GB2312" w:cs="仿宋_GB2312"/>
          <w:color w:val="auto"/>
          <w:spacing w:val="6"/>
          <w:sz w:val="32"/>
          <w:szCs w:val="32"/>
          <w:highlight w:val="none"/>
          <w:lang w:eastAsia="zh-CN"/>
        </w:rPr>
        <w:t>市生态环境局</w:t>
      </w:r>
    </w:p>
    <w:p w14:paraId="21D349F7">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w:t>
      </w:r>
    </w:p>
    <w:p w14:paraId="799AFCD6"/>
    <w:p w14:paraId="3C4DF324"/>
    <w:sectPr>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新宋体-18030">
    <w:altName w:val="方正书宋_GBK"/>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国标仿宋-GB/T 2312">
    <w:panose1 w:val="02000500000000000000"/>
    <w:charset w:val="86"/>
    <w:family w:val="auto"/>
    <w:pitch w:val="default"/>
    <w:sig w:usb0="800002AF" w:usb1="08476CF8"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60CBF"/>
    <w:multiLevelType w:val="singleLevel"/>
    <w:tmpl w:val="6FF60C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65DB0"/>
    <w:rsid w:val="0E3B36AA"/>
    <w:rsid w:val="17E56B23"/>
    <w:rsid w:val="2398041B"/>
    <w:rsid w:val="3B63378C"/>
    <w:rsid w:val="4BEB4C52"/>
    <w:rsid w:val="4FAF1182"/>
    <w:rsid w:val="6FF64DA3"/>
    <w:rsid w:val="767E7EAA"/>
    <w:rsid w:val="77EF00CA"/>
    <w:rsid w:val="AC8B868E"/>
    <w:rsid w:val="BDDD8201"/>
    <w:rsid w:val="BF2FB6ED"/>
    <w:rsid w:val="DFF62F7A"/>
    <w:rsid w:val="E1FFE5AA"/>
    <w:rsid w:val="EF961598"/>
    <w:rsid w:val="F21DEE76"/>
    <w:rsid w:val="F2F3A353"/>
    <w:rsid w:val="F7FFCB06"/>
    <w:rsid w:val="FE3DB76D"/>
    <w:rsid w:val="FF9EE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Body Text"/>
    <w:basedOn w:val="1"/>
    <w:next w:val="4"/>
    <w:qFormat/>
    <w:uiPriority w:val="0"/>
    <w:pPr>
      <w:spacing w:after="120"/>
    </w:pPr>
  </w:style>
  <w:style w:type="paragraph" w:customStyle="1" w:styleId="4">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5">
    <w:name w:val="Body Text First Indent"/>
    <w:basedOn w:val="3"/>
    <w:next w:val="1"/>
    <w:qFormat/>
    <w:uiPriority w:val="0"/>
    <w:pPr>
      <w:ind w:firstLine="420" w:firstLineChars="100"/>
    </w:pPr>
  </w:style>
  <w:style w:type="paragraph" w:customStyle="1" w:styleId="8">
    <w:name w:val="正文1"/>
    <w:qFormat/>
    <w:uiPriority w:val="0"/>
    <w:pPr>
      <w:widowControl w:val="0"/>
      <w:tabs>
        <w:tab w:val="left" w:pos="22680"/>
      </w:tabs>
      <w:spacing w:line="360" w:lineRule="auto"/>
      <w:ind w:firstLine="602" w:firstLineChars="200"/>
    </w:pPr>
    <w:rPr>
      <w:rFonts w:ascii="宋体" w:hAnsi="宋体" w:eastAsia="宋体" w:cs="Times New Roman"/>
      <w:kern w:val="2"/>
      <w:sz w:val="24"/>
      <w:lang w:val="en-US" w:eastAsia="zh-CN" w:bidi="ar-SA"/>
    </w:rPr>
  </w:style>
  <w:style w:type="paragraph" w:customStyle="1" w:styleId="9">
    <w:name w:val="表（周）"/>
    <w:basedOn w:val="10"/>
    <w:qFormat/>
    <w:uiPriority w:val="0"/>
    <w:pPr>
      <w:tabs>
        <w:tab w:val="left" w:pos="1068"/>
      </w:tabs>
      <w:autoSpaceDE/>
      <w:autoSpaceDN/>
      <w:spacing w:beforeLines="0" w:line="240" w:lineRule="auto"/>
      <w:ind w:firstLine="0" w:firstLineChars="0"/>
      <w:jc w:val="center"/>
    </w:pPr>
    <w:rPr>
      <w:rFonts w:ascii="Times New Roman" w:hAnsi="Times New Roman" w:eastAsia="宋体"/>
      <w:bCs/>
      <w:color w:val="0C0C0C"/>
      <w:kern w:val="0"/>
      <w:sz w:val="21"/>
      <w:szCs w:val="21"/>
    </w:rPr>
  </w:style>
  <w:style w:type="paragraph" w:customStyle="1" w:styleId="10">
    <w:name w:val="正文文字标准"/>
    <w:basedOn w:val="5"/>
    <w:qFormat/>
    <w:uiPriority w:val="0"/>
    <w:pPr>
      <w:snapToGrid/>
      <w:spacing w:after="0" w:line="480" w:lineRule="exact"/>
      <w:ind w:firstLine="200" w:firstLineChars="200"/>
      <w:textAlignment w:val="baseline"/>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1556</Words>
  <Characters>1658</Characters>
  <Lines>0</Lines>
  <Paragraphs>0</Paragraphs>
  <TotalTime>16</TotalTime>
  <ScaleCrop>false</ScaleCrop>
  <LinksUpToDate>false</LinksUpToDate>
  <CharactersWithSpaces>1666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2025-08-11T18:43:00Z</dcterms:created>
  <dc:creator>17435</dc:creator>
  <cp:lastModifiedBy>lenovo-2</cp:lastModifiedBy>
  <dcterms:modified xsi:type="dcterms:W3CDTF">2025-08-15T08:46:48Z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eyJoZGlkIjoiM2JmODNhNjhiZDNiN2NmZTdkYTk2NWJkNGM4MjNjNmIiLCJ1c2VySWQiOiI5ODQzMDAzNzcifQ==</vt:lpwstr>
  </property>
  <property fmtid="{D5CDD505-2E9C-101B-9397-08002B2CF9AE}" pid="4" name="ICV">
    <vt:lpwstr>A62E10CEA77747FEA6BA49D2091046AF_13</vt:lpwstr>
  </property>
</Properties>
</file>