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38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3E989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eastAsia="仿宋_GB2312"/>
          <w:color w:val="auto"/>
          <w:sz w:val="32"/>
          <w:szCs w:val="32"/>
          <w:highlight w:val="yellow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环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建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</w:rPr>
        <w:t>〔</w:t>
      </w:r>
      <w:r>
        <w:rPr>
          <w:rFonts w:ascii="仿宋_GB2312" w:hAnsi="Times New Roman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号</w:t>
      </w:r>
    </w:p>
    <w:p w14:paraId="5619F65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349E9A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DD2F522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  <w:lang w:val="en-US" w:eastAsia="zh-CN"/>
        </w:rPr>
        <w:t xml:space="preserve"> 常德市</w:t>
      </w: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生态环境局</w:t>
      </w:r>
    </w:p>
    <w:p w14:paraId="10ACE7D6">
      <w:pPr>
        <w:spacing w:line="60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highlight w:val="none"/>
          <w:lang w:val="en-US" w:eastAsia="zh-CN"/>
        </w:rPr>
        <w:t>关于年产金属徽章2000万个建设项目</w:t>
      </w:r>
    </w:p>
    <w:p w14:paraId="788E48D1">
      <w:pPr>
        <w:spacing w:line="60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highlight w:val="none"/>
          <w:lang w:val="en-US" w:eastAsia="zh-CN"/>
        </w:rPr>
        <w:t>环境影响报告表的批复</w:t>
      </w:r>
    </w:p>
    <w:p w14:paraId="3A1104B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</w:pPr>
    </w:p>
    <w:p w14:paraId="66ED8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  <w:t>湖南鑫茂工艺制品有限公司：</w:t>
      </w:r>
    </w:p>
    <w:p w14:paraId="6A0E7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  <w:t>你公司《</w:t>
      </w:r>
      <w:bookmarkStart w:id="0" w:name="OLE_LINK1"/>
      <w:r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  <w:t>年产金属徽章2000万个建设项目</w:t>
      </w:r>
      <w:bookmarkEnd w:id="0"/>
      <w:r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  <w:t>环境影响报告表》（以下简称“报告表”）及相关附件收悉，根据环评报告结论、专家审查意见，经研究，批复如下：</w:t>
      </w:r>
    </w:p>
    <w:p w14:paraId="55D00E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7" w:firstLineChars="0"/>
        <w:jc w:val="both"/>
        <w:textAlignment w:val="auto"/>
        <w:outlineLvl w:val="9"/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  <w:t>年产金属徽章2000万个建设项目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位于常德经济技术开发区青山路以北、龙潭路以西，总用地面积21846.5m2，利用现有厂房。一期工程主要是在1#厂房新建年产金属徽章1000万个生产设备及配套设施。二期工程主要是在2#厂房、3#厂房新建年产金属徽章1000万个生产设备及配套设施。全部建成后年产金属徽章2000万个。项目总投资1723万元，其中环保投资82.3万元。根据</w:t>
      </w:r>
      <w:r>
        <w:rPr>
          <w:rFonts w:hint="eastAsia" w:ascii="仿宋" w:hAnsi="仿宋" w:eastAsia="仿宋" w:cs="Times New Roman"/>
          <w:color w:val="000000"/>
          <w:sz w:val="32"/>
          <w:szCs w:val="32"/>
          <w:highlight w:val="none"/>
          <w:u w:val="none"/>
          <w:lang w:val="en-US" w:eastAsia="zh-CN"/>
        </w:rPr>
        <w:t>报告表分析结论，在建设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单位认真落实各项污染防治措施，外排污染物实现长期稳定达标排放的情况下，从环境保护的角度分析，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我局原则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上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同意该项目建设。</w:t>
      </w:r>
    </w:p>
    <w:p w14:paraId="24A8E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二、你单位在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设计、建设和运行管理中，须全面落实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eastAsia="zh-CN"/>
        </w:rPr>
        <w:t>报告表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中提出的各项污染防治措施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val="en-US" w:eastAsia="zh-CN"/>
        </w:rPr>
        <w:t>和环境管理要求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，并着重做好以下工作：</w:t>
      </w:r>
    </w:p>
    <w:p w14:paraId="64E5F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（一）严格落实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eastAsia="zh-CN"/>
        </w:rPr>
        <w:t>废气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污染防治措施。徽章抛光打磨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eastAsia="zh-CN"/>
        </w:rPr>
        <w:t>产生的颗粒物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废气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val="en-US" w:eastAsia="zh-CN"/>
        </w:rPr>
        <w:t>由设备自带的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湿式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val="en-US" w:eastAsia="zh-CN"/>
        </w:rPr>
        <w:t>除尘设施处理后排放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；UV打印使用低挥发性油墨；徽章涂装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eastAsia="zh-CN"/>
        </w:rPr>
        <w:t>产生的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漆雾采取水帘湿式抑尘、</w:t>
      </w:r>
      <w:bookmarkStart w:id="1" w:name="OLE_LINK5"/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有机废气</w:t>
      </w:r>
      <w:bookmarkEnd w:id="1"/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采取RCO处理后通过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val="en-US" w:eastAsia="zh-CN"/>
        </w:rPr>
        <w:t>不低于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15m排气筒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val="en-US" w:eastAsia="zh-CN"/>
        </w:rPr>
        <w:t>DA001、DA002、DA003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排放，非甲烷总烃、二甲苯</w:t>
      </w:r>
      <w:bookmarkStart w:id="2" w:name="OLE_LINK3"/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eastAsia="zh-CN"/>
        </w:rPr>
        <w:t>排放</w:t>
      </w:r>
      <w:bookmarkEnd w:id="2"/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满足《表面涂装（汽车制造及维修）挥发性有机物、镍排放标准》（</w:t>
      </w:r>
      <w:bookmarkStart w:id="3" w:name="OLE_LINK4"/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DB43/1356-2017</w:t>
      </w:r>
      <w:bookmarkEnd w:id="3"/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）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eastAsia="zh-CN"/>
        </w:rPr>
        <w:t>表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val="en-US" w:eastAsia="zh-CN"/>
        </w:rPr>
        <w:t>1及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eastAsia="zh-CN"/>
        </w:rPr>
        <w:t>表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val="en-US" w:eastAsia="zh-CN"/>
        </w:rPr>
        <w:t>3排放限值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、颗粒物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eastAsia="zh-CN"/>
        </w:rPr>
        <w:t>排放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满足《大气污染物综合排放标准》（GB16297-1996）表2颗粒物二级标准及无组织</w:t>
      </w:r>
      <w:bookmarkStart w:id="4" w:name="OLE_LINK6"/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排放限值</w:t>
      </w:r>
      <w:bookmarkEnd w:id="4"/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、厂内非甲烷总烃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eastAsia="zh-CN"/>
        </w:rPr>
        <w:t>排放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满足《印刷工业大气污染物排放标准》（GB 41616-2022）排放限值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val="en-US" w:eastAsia="zh-CN"/>
        </w:rPr>
        <w:t>。</w:t>
      </w:r>
    </w:p>
    <w:p w14:paraId="066C5FB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line="560" w:lineRule="exact"/>
        <w:ind w:firstLine="640" w:firstLineChars="200"/>
        <w:jc w:val="left"/>
        <w:rPr>
          <w:rFonts w:hint="default" w:ascii="仿宋" w:hAnsi="仿宋" w:eastAsia="仿宋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（二）严格落实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废水处理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措施。</w:t>
      </w:r>
      <w:r>
        <w:rPr>
          <w:rFonts w:hint="default" w:ascii="仿宋" w:hAnsi="仿宋" w:eastAsia="仿宋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生活废水及地面拖洗废水经化粪池处理排入</w:t>
      </w:r>
      <w:r>
        <w:rPr>
          <w:rFonts w:hint="eastAsia" w:ascii="仿宋" w:hAnsi="仿宋" w:eastAsia="仿宋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市政</w:t>
      </w:r>
      <w:r>
        <w:rPr>
          <w:rFonts w:hint="default" w:ascii="仿宋" w:hAnsi="仿宋" w:eastAsia="仿宋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污水管网</w:t>
      </w:r>
      <w:r>
        <w:rPr>
          <w:rFonts w:hint="eastAsia" w:ascii="仿宋" w:hAnsi="仿宋" w:eastAsia="仿宋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废水最后进入德山污水处理厂处理，满足德山污水处理厂进水水质要求。设备间接冷却水冷却塔冷却后循环使用，不外排；抛光除尘水过滤网过滤后循环使用，不外排；喷涂除尘水沉淀过滤后循环使用，不外排。</w:t>
      </w:r>
    </w:p>
    <w:p w14:paraId="148FB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（三）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加强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噪声污染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控制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  <w:t>合理布置噪声设备位置，优化厂区平面布局，对高噪声设备采取基础减振措施，控制作业时间，减少噪声对周边的影响，厂界噪声满足《工业企业厂界环境噪声排放标准》（GB12348-2008）3类（西厂界、北厂界）、4类（南厂界、东厂界）标准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4BED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四）严格落实固体废物处置措施。本项目产生的危险废物包括废烤漆桶、废UV油墨瓶、废稀释剂桶、废酒精桶、废脱模剂桶、废矿物油、废油桶、废活性炭、废催化剂、擦拭含漆渣废布、沉淀漆渣、含漆渣废水等收集后暂存在厂区危废暂存间，定期交由具有危废资质的单位处置。危险废物贮存严格按照《危险废物收集、贮存、运输技术规范》（HJ2025-2012）和《危险废物贮存污染控制标准》（GB18597-2023）的相关要求进行建设。一般固废分类收集、定点堆放在厂区一般固废场所。按一般固废处置。生活垃圾统一收集，交由环卫部门定期清运。</w:t>
      </w:r>
    </w:p>
    <w:p w14:paraId="35542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（五）严格落实环境管理要求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明确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环保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机构、人员、职责和制度，确保环保设施运行稳定、所有外排污染物长期稳定达标排放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57DD1D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三、环境影响报告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经批准后，建设项目的性质、规模、地点、采用的生产工艺或者防治污染、防止生态破坏的措施发生重大变动的，建设单位应当重新报批建设项目的环境影响评价文件。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企业的排污许可按登记管理执行，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同时建设单位要按规定程序进行环保“三同时”验收，相关信息按规定自行发布。</w:t>
      </w:r>
    </w:p>
    <w:p w14:paraId="1724E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10"/>
          <w:sz w:val="32"/>
          <w:szCs w:val="32"/>
          <w:highlight w:val="none"/>
        </w:rPr>
      </w:pPr>
    </w:p>
    <w:p w14:paraId="60C53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76" w:firstLineChars="1800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</w:pPr>
      <w:bookmarkStart w:id="5" w:name="_GoBack"/>
      <w:bookmarkEnd w:id="5"/>
    </w:p>
    <w:p w14:paraId="7866B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76" w:firstLineChars="1800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常德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市生态环境局</w:t>
      </w:r>
    </w:p>
    <w:p w14:paraId="415D8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 w14:paraId="68BB7E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color w:val="auto"/>
        </w:rPr>
      </w:pPr>
    </w:p>
    <w:p w14:paraId="24CE7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</w:p>
    <w:sectPr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1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-18030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F60CBF"/>
    <w:multiLevelType w:val="singleLevel"/>
    <w:tmpl w:val="6FF60C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N2EyYTg2YWM5Yzg5ODBiZTE2MDk5NTM1M2ZkODMifQ=="/>
  </w:docVars>
  <w:rsids>
    <w:rsidRoot w:val="00000000"/>
    <w:rsid w:val="08F65DB0"/>
    <w:rsid w:val="0E3B36AA"/>
    <w:rsid w:val="17E56B23"/>
    <w:rsid w:val="2398041B"/>
    <w:rsid w:val="249279A7"/>
    <w:rsid w:val="3B63378C"/>
    <w:rsid w:val="4BEB4C52"/>
    <w:rsid w:val="4FAF1182"/>
    <w:rsid w:val="57EE1B51"/>
    <w:rsid w:val="6FF64DA3"/>
    <w:rsid w:val="767E7EAA"/>
    <w:rsid w:val="77EF00CA"/>
    <w:rsid w:val="7F9F438C"/>
    <w:rsid w:val="AC8B868E"/>
    <w:rsid w:val="BDDD8201"/>
    <w:rsid w:val="BF2FB6ED"/>
    <w:rsid w:val="DFF62F7A"/>
    <w:rsid w:val="E1FFE5AA"/>
    <w:rsid w:val="EF961598"/>
    <w:rsid w:val="F21DEE76"/>
    <w:rsid w:val="F2F3A353"/>
    <w:rsid w:val="F7FFCB06"/>
    <w:rsid w:val="FE3DB76D"/>
    <w:rsid w:val="FF9EEA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styleId="5">
    <w:name w:val="Body Text First Indent"/>
    <w:basedOn w:val="3"/>
    <w:next w:val="1"/>
    <w:qFormat/>
    <w:uiPriority w:val="0"/>
    <w:pPr>
      <w:ind w:firstLine="420" w:firstLineChars="100"/>
    </w:pPr>
  </w:style>
  <w:style w:type="paragraph" w:customStyle="1" w:styleId="8">
    <w:name w:val="正文1"/>
    <w:qFormat/>
    <w:uiPriority w:val="0"/>
    <w:pPr>
      <w:widowControl w:val="0"/>
      <w:tabs>
        <w:tab w:val="left" w:pos="22680"/>
      </w:tabs>
      <w:spacing w:line="360" w:lineRule="auto"/>
      <w:ind w:firstLine="602" w:firstLineChars="200"/>
    </w:pPr>
    <w:rPr>
      <w:rFonts w:ascii="宋体" w:hAnsi="宋体" w:eastAsia="宋体" w:cs="Times New Roman"/>
      <w:kern w:val="2"/>
      <w:sz w:val="24"/>
      <w:lang w:val="en-US" w:eastAsia="zh-CN" w:bidi="ar-SA"/>
    </w:rPr>
  </w:style>
  <w:style w:type="paragraph" w:customStyle="1" w:styleId="9">
    <w:name w:val="表（周）"/>
    <w:basedOn w:val="10"/>
    <w:qFormat/>
    <w:uiPriority w:val="0"/>
    <w:pPr>
      <w:tabs>
        <w:tab w:val="left" w:pos="1068"/>
      </w:tabs>
      <w:autoSpaceDE/>
      <w:autoSpaceDN/>
      <w:spacing w:beforeLines="0" w:line="240" w:lineRule="auto"/>
      <w:ind w:firstLine="0" w:firstLineChars="0"/>
      <w:jc w:val="center"/>
    </w:pPr>
    <w:rPr>
      <w:rFonts w:ascii="Times New Roman" w:hAnsi="Times New Roman" w:eastAsia="宋体"/>
      <w:bCs/>
      <w:color w:val="0C0C0C"/>
      <w:kern w:val="0"/>
      <w:sz w:val="21"/>
      <w:szCs w:val="21"/>
    </w:rPr>
  </w:style>
  <w:style w:type="paragraph" w:customStyle="1" w:styleId="10">
    <w:name w:val="正文文字标准"/>
    <w:basedOn w:val="5"/>
    <w:qFormat/>
    <w:uiPriority w:val="0"/>
    <w:pPr>
      <w:snapToGrid/>
      <w:spacing w:after="0" w:line="480" w:lineRule="exact"/>
      <w:ind w:firstLine="200" w:firstLineChars="200"/>
      <w:textAlignment w:val="baseline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1357</Words>
  <Characters>1450</Characters>
  <Lines>0</Lines>
  <Paragraphs>0</Paragraphs>
  <TotalTime>4</TotalTime>
  <ScaleCrop>false</ScaleCrop>
  <LinksUpToDate>false</LinksUpToDate>
  <CharactersWithSpaces>1451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2025-08-12T02:43:00Z</dcterms:created>
  <dc:creator>17435</dc:creator>
  <cp:lastModifiedBy>lenovo-2</cp:lastModifiedBy>
  <dcterms:modified xsi:type="dcterms:W3CDTF">2025-11-11T08:52:59Z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eyJoZGlkIjoiM2JmODNhNjhiZDNiN2NmZTdkYTk2NWJkNGM4MjNjNmIiLCJ1c2VySWQiOiI5ODQzMDAzNzcifQ==</vt:lpwstr>
  </property>
  <property fmtid="{D5CDD505-2E9C-101B-9397-08002B2CF9AE}" pid="4" name="ICV">
    <vt:lpwstr>A62E10CEA77747FEA6BA49D2091046AF_13</vt:lpwstr>
  </property>
</Properties>
</file>