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环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建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</w:rPr>
        <w:t>〔</w:t>
      </w:r>
      <w:r>
        <w:rPr>
          <w:rFonts w:ascii="仿宋_GB2312" w:hAnsi="Times New Roman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号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  <w:lang w:val="en-US" w:eastAsia="zh-CN"/>
        </w:rPr>
        <w:t>常德市</w:t>
      </w: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生态环境局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Times New Roman"/>
          <w:sz w:val="44"/>
          <w:szCs w:val="44"/>
          <w:highlight w:val="none"/>
          <w:lang w:val="en-US" w:eastAsia="zh-CN"/>
        </w:rPr>
        <w:t>关于年产100吨辅酶Q10生产线建设项目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highlight w:val="none"/>
          <w:lang w:val="en-US" w:eastAsia="zh-CN"/>
        </w:rPr>
        <w:t>环境影响报告表的批复</w:t>
      </w:r>
    </w:p>
    <w:bookmarkEnd w:id="0"/>
    <w:p>
      <w:pPr>
        <w:spacing w:line="60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highlight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760" w:firstLineChars="4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  <w:t>湖南兴凯生物科技有限公司：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  <w:t>你公司《年产100吨辅酶Q10生产线建设项目环境影响报告表》及相关附件收悉，根据环评报告结论、专家审查意见，经研究，现批复如下：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567" w:firstLineChars="0"/>
        <w:jc w:val="both"/>
        <w:textAlignment w:val="auto"/>
        <w:outlineLvl w:val="9"/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该项目选址于常德经济技术开发区医疗器械产业园B区6#厂房，</w:t>
      </w:r>
      <w:r>
        <w:rPr>
          <w:rFonts w:hint="default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用地性质为工业用地，厂房占地面积为3100.6m</w:t>
      </w:r>
      <w:r>
        <w:rPr>
          <w:rFonts w:hint="default" w:ascii="仿宋" w:hAnsi="仿宋" w:eastAsia="仿宋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default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，1层，楼层高度约6米，建设单位对厂房进行适应性改造，在一楼辅助用房区域搭建2层，作为办公区。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项目分两期建设，一期建设能力为年产50吨辅酶Q10，布设1条生产线，主要建设内容包括主体工程：生产区-辅酶Q10生产线1、净洁区；辅助工程：检测室、门卫值班室、办公区、洗手间、辅助设备用房；储运工程：原料仓库及成品仓库；公用工程及环保工程；二期建设能力为年产50吨辅酶Q10，布设1条生产线，主要建设内容包括主体工程：生产区-辅酶Q10生产线2，其余均依托一期建设工程。</w:t>
      </w:r>
      <w:r>
        <w:rPr>
          <w:rFonts w:hint="default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本项目产能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为年产100吨辅酶Q10</w:t>
      </w:r>
      <w:r>
        <w:rPr>
          <w:rFonts w:hint="default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，总投资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1000</w:t>
      </w:r>
      <w:r>
        <w:rPr>
          <w:rFonts w:hint="default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万元，其中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环保</w:t>
      </w:r>
      <w:r>
        <w:rPr>
          <w:rFonts w:hint="default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投资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62</w:t>
      </w:r>
      <w:r>
        <w:rPr>
          <w:rFonts w:hint="default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。根据湖南德瀚环保科技有限公司</w:t>
      </w:r>
      <w:r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u w:val="none"/>
          <w:lang w:val="en-US" w:eastAsia="zh-CN"/>
        </w:rPr>
        <w:t>编制的报告表的分析结论，在建设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单位认真落实各项污染防治措施，外排污染物实现长期稳定达标排放的情况下，从环境保护的角度分析，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我局原则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上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同意该项目建设。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二、你单位在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设计、建设和运行管理中，须全面落实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报告表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中提出的各项污染防治措施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val="en-US" w:eastAsia="zh-CN"/>
        </w:rPr>
        <w:t>和环境管理要求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，并着重做好以下工作：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（一）严格落实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废气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污染防治措施。干燥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一次浓缩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二次浓缩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</w:rPr>
        <w:t>乙醇回收系统-单效浓缩器</w:t>
      </w:r>
      <w:r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val="en-US" w:eastAsia="zh-CN"/>
        </w:rPr>
        <w:t>产生的有机废气经“冷凝器+喷淋塔”装置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处理后通过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不低于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15m高排气筒（DA001）排放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，产生的有机废气排放浓度执行《大气污染物综合排放标准》（GB16297-1996）中表2中有组织排放标准限值；乙醇输采用管道密闭输送方式，输送、储存工序</w:t>
      </w:r>
      <w:r>
        <w:rPr>
          <w:rFonts w:hint="default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val="en-US" w:eastAsia="zh-CN"/>
        </w:rPr>
        <w:t>产生的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机废气以无组织形式排放；烘干/过筛产生的颗粒物经设备自带布袋除尘器处理，以无组织形式排放；产品桶装过程中产生的颗粒物以无组织形式排放。厂界无组织排放的非甲烷总烃、颗粒物执行《大气污染物综合排放标准》（GB16297-1996）中表2中无组织排放标准限值。厂区内非甲烷总烃执行《挥发性有机物无组织排放控制标准》（GB37822-2019）附录A.1特别排放限值要求</w:t>
      </w:r>
      <w:r>
        <w:rPr>
          <w:rFonts w:hint="default" w:ascii="国标仿宋-GB/T 2312" w:hAnsi="国标仿宋-GB/T 2312" w:eastAsia="国标仿宋-GB/T 2312" w:cs="国标仿宋-GB/T 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line="520" w:lineRule="exact"/>
        <w:ind w:firstLine="640" w:firstLineChars="200"/>
        <w:jc w:val="left"/>
        <w:rPr>
          <w:rFonts w:hint="eastAsia" w:ascii="仿宋" w:hAnsi="仿宋" w:eastAsia="仿宋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（二）严格落实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废水处理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措施。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生活污水、地面清洁废水、喷淋塔废水、循环水塔废水</w:t>
      </w:r>
      <w:r>
        <w:rPr>
          <w:rFonts w:hint="default" w:ascii="仿宋" w:hAnsi="仿宋" w:eastAsia="仿宋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经化粪池处理后经园区管网</w:t>
      </w:r>
      <w:r>
        <w:rPr>
          <w:rFonts w:hint="eastAsia" w:ascii="仿宋" w:hAnsi="仿宋" w:eastAsia="仿宋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最后</w:t>
      </w:r>
      <w:r>
        <w:rPr>
          <w:rFonts w:hint="default" w:ascii="仿宋" w:hAnsi="仿宋" w:eastAsia="仿宋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进入德山污水处理厂处理，满足《污水综合排放标准》（GB8978-1996）表4三级标准以及德山污水处理厂进水水质</w:t>
      </w:r>
      <w:r>
        <w:rPr>
          <w:rFonts w:hint="eastAsia" w:ascii="仿宋" w:hAnsi="仿宋" w:eastAsia="仿宋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（三）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加强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噪声污染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控制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。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  <w:t>选用低噪声设备，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同时合理布局，加强管理，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采取有效的减震、隔声等措施，确保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厂界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噪声达到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  <w:t>《工业企业厂界环境噪声排放标准》（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GB12348-2008）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  <w:t>类标准。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禁止高噪声设备夜间(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22:00至次日凌晨6:00)生产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（四）严格落实固体废物处置措施。质检废物，收集后暂存于危废间，定期交由有资质单位处置</w:t>
      </w:r>
      <w:r>
        <w:rPr>
          <w:rFonts w:hint="default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；分离、过滤、一次浓缩、二次浓缩工序产生的菌丝蛋白、滤渣、杂质作为副产品出售；质检工序产生的不合格晶体返回二次浓缩结晶，质检未使用试剂的质检废物收集后混入副产品生物蛋白饲料中外售；废包装暂存于一般工业固体废物间，定期作为废品外售；布袋除尘收集的粉尘收集后混入副产品生物蛋白饲料中外售；生活垃圾交由环卫部门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定期清运。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（五）严格落实环境管理要求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建立生态环境管理体系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明确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环保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</w:rPr>
        <w:t>机构、人员、职责和制度，确保环保设施运行稳定、所有外排污染物长期稳定达标排放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（六）本项目污染物总量控制指标为COD≤0.04t/a，NH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b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-N≤0.01t/a，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总量指标需向常德市排污权交易中心购买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三、环境影响报告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经批准后，建设项目的性质、规模、地点、采用的生产工艺或者防治污染、防止生态破坏的措施发生重大变动的，建设单位应当重新报批建设项目的环境影响评价文件。项目投产前应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按排污许可管理相关要求办理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排污许可证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或者填报排污登记表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同时建设单位要按规定程序进行环保“三同时”验收，相关信息按规定自行发布。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44" w:firstLineChars="170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44" w:firstLineChars="170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常德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5F81D"/>
    <w:multiLevelType w:val="singleLevel"/>
    <w:tmpl w:val="3DD5F8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A1F36"/>
    <w:rsid w:val="062A1F36"/>
    <w:rsid w:val="1D5F2718"/>
    <w:rsid w:val="1DFB3F60"/>
    <w:rsid w:val="1F1FD369"/>
    <w:rsid w:val="39EEDF75"/>
    <w:rsid w:val="66F04FDD"/>
    <w:rsid w:val="6DFFE320"/>
    <w:rsid w:val="6EBB02FA"/>
    <w:rsid w:val="6F3F0DC2"/>
    <w:rsid w:val="773D21CB"/>
    <w:rsid w:val="7B7E162A"/>
    <w:rsid w:val="7D6FBFB4"/>
    <w:rsid w:val="7FFD89C3"/>
    <w:rsid w:val="92EFAE99"/>
    <w:rsid w:val="A9E65601"/>
    <w:rsid w:val="BFDD63F8"/>
    <w:rsid w:val="EFC93BD6"/>
    <w:rsid w:val="EFEFE1AD"/>
    <w:rsid w:val="F7E38014"/>
    <w:rsid w:val="FF3DC764"/>
    <w:rsid w:val="FFB7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customStyle="1" w:styleId="5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styleId="6">
    <w:name w:val="Body Text First Indent"/>
    <w:basedOn w:val="4"/>
    <w:next w:val="1"/>
    <w:qFormat/>
    <w:uiPriority w:val="0"/>
    <w:pPr>
      <w:ind w:firstLine="420" w:firstLineChars="100"/>
    </w:pPr>
  </w:style>
  <w:style w:type="paragraph" w:customStyle="1" w:styleId="9">
    <w:name w:val="正文1"/>
    <w:qFormat/>
    <w:uiPriority w:val="0"/>
    <w:pPr>
      <w:widowControl w:val="0"/>
      <w:tabs>
        <w:tab w:val="left" w:pos="22680"/>
      </w:tabs>
      <w:spacing w:line="360" w:lineRule="auto"/>
      <w:ind w:firstLine="602" w:firstLineChars="200"/>
    </w:pPr>
    <w:rPr>
      <w:rFonts w:ascii="宋体" w:hAnsi="宋体" w:eastAsia="宋体" w:cs="Times New Roman"/>
      <w:kern w:val="2"/>
      <w:sz w:val="24"/>
      <w:lang w:val="en-US" w:eastAsia="zh-CN" w:bidi="ar-SA"/>
    </w:rPr>
  </w:style>
  <w:style w:type="paragraph" w:customStyle="1" w:styleId="10">
    <w:name w:val="表（周）"/>
    <w:basedOn w:val="11"/>
    <w:qFormat/>
    <w:uiPriority w:val="0"/>
    <w:pPr>
      <w:tabs>
        <w:tab w:val="left" w:pos="1068"/>
      </w:tabs>
      <w:autoSpaceDE/>
      <w:autoSpaceDN/>
      <w:spacing w:beforeLines="0" w:line="240" w:lineRule="auto"/>
      <w:ind w:firstLine="0" w:firstLineChars="0"/>
      <w:jc w:val="center"/>
    </w:pPr>
    <w:rPr>
      <w:rFonts w:ascii="Times New Roman" w:hAnsi="Times New Roman" w:eastAsia="宋体"/>
      <w:bCs/>
      <w:color w:val="0C0C0C"/>
      <w:kern w:val="0"/>
      <w:sz w:val="21"/>
      <w:szCs w:val="21"/>
    </w:rPr>
  </w:style>
  <w:style w:type="paragraph" w:customStyle="1" w:styleId="11">
    <w:name w:val="正文文字标准"/>
    <w:basedOn w:val="6"/>
    <w:qFormat/>
    <w:uiPriority w:val="0"/>
    <w:pPr>
      <w:snapToGrid/>
      <w:spacing w:after="0" w:line="480" w:lineRule="exact"/>
      <w:ind w:firstLine="200" w:firstLineChars="200"/>
      <w:textAlignment w:val="baseline"/>
    </w:pPr>
    <w:rPr>
      <w:sz w:val="28"/>
      <w:szCs w:val="28"/>
    </w:rPr>
  </w:style>
  <w:style w:type="paragraph" w:customStyle="1" w:styleId="12">
    <w:name w:val="表格（五号）"/>
    <w:basedOn w:val="1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ascii="Times New Roman" w:hAnsi="Times New Roman" w:eastAsia="宋体"/>
      <w:color w:val="000000"/>
      <w:kern w:val="18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2025-12-05T17:06:00Z</dcterms:created>
  <dc:creator>Administrator</dc:creator>
  <cp:lastModifiedBy>快乐无忧</cp:lastModifiedBy>
  <dcterms:modified xsi:type="dcterms:W3CDTF">2025-12-08T01:42:39Z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891ED70847C84B9AA9811AFF338CEC95_11</vt:lpwstr>
  </property>
  <property fmtid="{D5CDD505-2E9C-101B-9397-08002B2CF9AE}" pid="4" name="KSOTemplateDocerSaveRecord">
    <vt:lpwstr>eyJoZGlkIjoiYmYwOWFjODgyZWMyYzIyZWM4ZDJhMzFkZDRjNzMzM2MiLCJ1c2VySWQiOiI2MjQ5OTExMTUifQ==</vt:lpwstr>
  </property>
</Properties>
</file>