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_GB2312" w:eastAsia="仿宋_GB2312"/>
          <w:color w:val="auto"/>
          <w:sz w:val="32"/>
          <w:szCs w:val="32"/>
          <w:highlight w:val="yellow"/>
        </w:rPr>
      </w:pPr>
      <w:r>
        <w:rPr>
          <w:rFonts w:hint="eastAsia" w:ascii="仿宋_GB2312" w:eastAsia="仿宋_GB2312"/>
          <w:color w:val="auto"/>
          <w:sz w:val="32"/>
          <w:szCs w:val="32"/>
          <w:highlight w:val="none"/>
          <w:lang w:val="en-US" w:eastAsia="zh-CN"/>
        </w:rPr>
        <w:t>常</w:t>
      </w:r>
      <w:r>
        <w:rPr>
          <w:rFonts w:hint="eastAsia" w:ascii="仿宋_GB2312" w:eastAsia="仿宋_GB2312"/>
          <w:color w:val="auto"/>
          <w:sz w:val="32"/>
          <w:szCs w:val="32"/>
          <w:highlight w:val="none"/>
        </w:rPr>
        <w:t>环</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建</w:t>
      </w:r>
      <w:r>
        <w:rPr>
          <w:rFonts w:hint="eastAsia" w:ascii="仿宋_GB2312" w:hAnsi="Times New Roman" w:eastAsia="仿宋_GB2312" w:cs="仿宋_GB2312"/>
          <w:color w:val="auto"/>
          <w:sz w:val="32"/>
          <w:szCs w:val="32"/>
          <w:highlight w:val="none"/>
        </w:rPr>
        <w:t>〔</w:t>
      </w:r>
      <w:r>
        <w:rPr>
          <w:rFonts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15</w:t>
      </w:r>
      <w:r>
        <w:rPr>
          <w:rFonts w:hint="eastAsia" w:ascii="仿宋_GB2312" w:eastAsia="仿宋_GB2312"/>
          <w:color w:val="auto"/>
          <w:sz w:val="32"/>
          <w:szCs w:val="32"/>
          <w:highlight w:val="none"/>
        </w:rPr>
        <w:t>号</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spacing w:line="6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lang w:val="en-US" w:eastAsia="zh-CN"/>
        </w:rPr>
        <w:t xml:space="preserve"> 常德市</w:t>
      </w:r>
      <w:r>
        <w:rPr>
          <w:rFonts w:hint="eastAsia" w:ascii="方正小标宋简体" w:hAnsi="宋体" w:eastAsia="方正小标宋简体"/>
          <w:sz w:val="44"/>
          <w:szCs w:val="44"/>
          <w:highlight w:val="none"/>
        </w:rPr>
        <w:t>生态环境局</w:t>
      </w:r>
    </w:p>
    <w:p>
      <w:pPr>
        <w:spacing w:line="600" w:lineRule="exact"/>
        <w:jc w:val="center"/>
        <w:rPr>
          <w:rFonts w:hint="eastAsia" w:ascii="方正小标宋简体" w:hAnsi="宋体" w:eastAsia="方正小标宋简体" w:cs="Times New Roman"/>
          <w:sz w:val="44"/>
          <w:szCs w:val="44"/>
          <w:highlight w:val="none"/>
          <w:lang w:val="en-US" w:eastAsia="zh-CN"/>
        </w:rPr>
      </w:pPr>
      <w:bookmarkStart w:id="0" w:name="_GoBack"/>
      <w:r>
        <w:rPr>
          <w:rFonts w:hint="eastAsia" w:ascii="方正小标宋简体" w:hAnsi="宋体" w:eastAsia="方正小标宋简体" w:cs="Times New Roman"/>
          <w:sz w:val="44"/>
          <w:szCs w:val="44"/>
          <w:highlight w:val="none"/>
          <w:lang w:val="en-US" w:eastAsia="zh-CN"/>
        </w:rPr>
        <w:t>关于桑尼森迪(常德)智能科技有限公司食品级</w:t>
      </w:r>
    </w:p>
    <w:p>
      <w:pPr>
        <w:spacing w:line="600" w:lineRule="exact"/>
        <w:jc w:val="both"/>
        <w:rPr>
          <w:rFonts w:hint="eastAsia" w:ascii="方正小标宋简体" w:hAnsi="宋体" w:eastAsia="方正小标宋简体" w:cs="Times New Roman"/>
          <w:spacing w:val="-11"/>
          <w:sz w:val="44"/>
          <w:szCs w:val="44"/>
          <w:highlight w:val="none"/>
          <w:lang w:val="en-US" w:eastAsia="zh-CN"/>
        </w:rPr>
      </w:pPr>
      <w:r>
        <w:rPr>
          <w:rFonts w:hint="eastAsia" w:ascii="方正小标宋简体" w:hAnsi="宋体" w:eastAsia="方正小标宋简体" w:cs="Times New Roman"/>
          <w:spacing w:val="-11"/>
          <w:sz w:val="44"/>
          <w:szCs w:val="44"/>
          <w:highlight w:val="none"/>
          <w:lang w:val="en-US" w:eastAsia="zh-CN"/>
        </w:rPr>
        <w:t>潮流创意玩具产业链建设项目环境影响报告表的　</w:t>
      </w:r>
    </w:p>
    <w:p>
      <w:pPr>
        <w:spacing w:line="600" w:lineRule="exact"/>
        <w:jc w:val="both"/>
        <w:rPr>
          <w:rFonts w:hint="eastAsia" w:ascii="方正小标宋简体" w:hAnsi="宋体" w:eastAsia="方正小标宋简体" w:cs="Times New Roman"/>
          <w:spacing w:val="20"/>
          <w:sz w:val="44"/>
          <w:szCs w:val="44"/>
          <w:highlight w:val="none"/>
          <w:lang w:val="en-US" w:eastAsia="zh-CN"/>
        </w:rPr>
      </w:pPr>
      <w:r>
        <w:rPr>
          <w:rFonts w:hint="eastAsia" w:ascii="方正小标宋简体" w:hAnsi="宋体" w:eastAsia="方正小标宋简体" w:cs="Times New Roman"/>
          <w:spacing w:val="-11"/>
          <w:sz w:val="44"/>
          <w:szCs w:val="44"/>
          <w:highlight w:val="none"/>
          <w:lang w:val="en-US" w:eastAsia="zh-CN"/>
        </w:rPr>
        <w:t>　　　　　　　　　　</w:t>
      </w:r>
      <w:r>
        <w:rPr>
          <w:rFonts w:hint="eastAsia" w:ascii="方正小标宋简体" w:hAnsi="宋体" w:eastAsia="方正小标宋简体" w:cs="Times New Roman"/>
          <w:spacing w:val="20"/>
          <w:sz w:val="44"/>
          <w:szCs w:val="44"/>
          <w:highlight w:val="none"/>
          <w:lang w:val="en-US" w:eastAsia="zh-CN"/>
        </w:rPr>
        <w:t>批复</w:t>
      </w:r>
    </w:p>
    <w:bookmarkEnd w:id="0"/>
    <w:p>
      <w:pPr>
        <w:pStyle w:val="2"/>
        <w:ind w:left="0" w:leftChars="0" w:firstLine="0" w:firstLineChars="0"/>
        <w:rPr>
          <w:rFonts w:hint="eastAsia"/>
          <w:lang w:val="en-US" w:eastAsia="zh-CN"/>
        </w:rPr>
      </w:pPr>
    </w:p>
    <w:p>
      <w:pPr>
        <w:pageBreakBefore w:val="0"/>
        <w:kinsoku/>
        <w:wordWrap/>
        <w:overflowPunct/>
        <w:topLinePunct w:val="0"/>
        <w:autoSpaceDE/>
        <w:autoSpaceDN/>
        <w:bidi w:val="0"/>
        <w:adjustRightInd/>
        <w:snapToGrid/>
        <w:spacing w:line="560" w:lineRule="exact"/>
        <w:textAlignment w:val="auto"/>
        <w:rPr>
          <w:rFonts w:hint="eastAsia" w:ascii="国标仿宋-GB/T 2312" w:hAnsi="国标仿宋-GB/T 2312" w:eastAsia="国标仿宋-GB/T 2312" w:cs="国标仿宋-GB/T 2312"/>
          <w:sz w:val="32"/>
          <w:szCs w:val="32"/>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GB/T 2312" w:hAnsi="国标仿宋-GB/T 2312" w:eastAsia="国标仿宋-GB/T 2312" w:cs="国标仿宋-GB/T 2312"/>
          <w:sz w:val="32"/>
          <w:szCs w:val="32"/>
          <w:highlight w:val="none"/>
          <w:lang w:val="en-US" w:eastAsia="zh-CN"/>
        </w:rPr>
      </w:pPr>
      <w:r>
        <w:rPr>
          <w:rFonts w:hint="eastAsia" w:ascii="国标仿宋-GB/T 2312" w:hAnsi="国标仿宋-GB/T 2312" w:eastAsia="国标仿宋-GB/T 2312" w:cs="国标仿宋-GB/T 2312"/>
          <w:sz w:val="32"/>
          <w:szCs w:val="32"/>
          <w:highlight w:val="none"/>
          <w:lang w:val="en-US" w:eastAsia="zh-CN"/>
        </w:rPr>
        <w:t>桑尼森迪(常德)智能科技有限公司：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highlight w:val="none"/>
          <w:lang w:val="en-US" w:eastAsia="zh-CN"/>
        </w:rPr>
      </w:pPr>
      <w:r>
        <w:rPr>
          <w:rFonts w:hint="eastAsia" w:ascii="国标仿宋-GB/T 2312" w:hAnsi="国标仿宋-GB/T 2312" w:eastAsia="国标仿宋-GB/T 2312" w:cs="国标仿宋-GB/T 2312"/>
          <w:sz w:val="32"/>
          <w:szCs w:val="32"/>
          <w:highlight w:val="none"/>
          <w:lang w:val="en-US" w:eastAsia="zh-CN"/>
        </w:rPr>
        <w:t>你公司《食品级潮流创意玩具产业链建设项目环境影响报告表》（以下简称“报告表”）及相关附件收悉，根据环评报告结论、专家审查意见，经研究，批复如下：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567" w:firstLineChars="0"/>
        <w:jc w:val="both"/>
        <w:textAlignment w:val="auto"/>
        <w:outlineLvl w:val="9"/>
        <w:rPr>
          <w:rFonts w:hint="eastAsia" w:ascii="国标仿宋-GB/T 2312" w:hAnsi="国标仿宋-GB/T 2312" w:eastAsia="国标仿宋-GB/T 2312" w:cs="国标仿宋-GB/T 2312"/>
          <w:b w:val="0"/>
          <w:bCs w:val="0"/>
          <w:color w:val="auto"/>
          <w:sz w:val="32"/>
          <w:szCs w:val="32"/>
          <w:highlight w:val="none"/>
        </w:rPr>
      </w:pPr>
      <w:r>
        <w:rPr>
          <w:rFonts w:hint="eastAsia" w:ascii="仿宋" w:hAnsi="仿宋" w:eastAsia="仿宋" w:cs="Times New Roman"/>
          <w:color w:val="auto"/>
          <w:sz w:val="32"/>
          <w:szCs w:val="32"/>
          <w:highlight w:val="none"/>
          <w:lang w:val="en-US" w:eastAsia="zh-CN"/>
        </w:rPr>
        <w:t>食品级潮流创意玩具产业链建设项目位于常德经济技术开发区德山街道青山社区德山大道329号，总用地面积7000m</w:t>
      </w:r>
      <w:r>
        <w:rPr>
          <w:rFonts w:hint="eastAsia" w:ascii="仿宋" w:hAnsi="仿宋" w:eastAsia="仿宋" w:cs="Times New Roman"/>
          <w:color w:val="auto"/>
          <w:sz w:val="32"/>
          <w:szCs w:val="32"/>
          <w:highlight w:val="none"/>
          <w:vertAlign w:val="superscript"/>
          <w:lang w:val="en-US" w:eastAsia="zh-CN"/>
        </w:rPr>
        <w:t>2</w:t>
      </w:r>
      <w:r>
        <w:rPr>
          <w:rFonts w:hint="eastAsia" w:ascii="仿宋" w:hAnsi="仿宋" w:eastAsia="仿宋" w:cs="Times New Roman"/>
          <w:color w:val="auto"/>
          <w:sz w:val="32"/>
          <w:szCs w:val="32"/>
          <w:highlight w:val="none"/>
          <w:lang w:val="en-US" w:eastAsia="zh-CN"/>
        </w:rPr>
        <w:t>，租用智能电子信息产业园三期标准化厂房建设全自动包装生产线36条、多色注塑机生产线87套、旋转移印线150套。建成后年产食品级潮流创意玩具1000吨。项目总投资21000万元，其中环保投资250万元。根据</w:t>
      </w:r>
      <w:r>
        <w:rPr>
          <w:rFonts w:hint="eastAsia" w:ascii="仿宋" w:hAnsi="仿宋" w:eastAsia="仿宋" w:cs="Times New Roman"/>
          <w:color w:val="000000"/>
          <w:sz w:val="32"/>
          <w:szCs w:val="32"/>
          <w:highlight w:val="none"/>
          <w:u w:val="none"/>
          <w:lang w:val="en-US" w:eastAsia="zh-CN"/>
        </w:rPr>
        <w:t>报告表分析结论，在建设</w:t>
      </w:r>
      <w:r>
        <w:rPr>
          <w:rFonts w:hint="eastAsia" w:ascii="仿宋" w:hAnsi="仿宋" w:eastAsia="仿宋" w:cs="Times New Roman"/>
          <w:color w:val="auto"/>
          <w:sz w:val="32"/>
          <w:szCs w:val="32"/>
          <w:highlight w:val="none"/>
          <w:lang w:val="en-US" w:eastAsia="zh-CN"/>
        </w:rPr>
        <w:t>单位认真落实各项污染防治措施，外排污染物实现长期稳定达标排放的情况下，从环境保护的角度分析，</w:t>
      </w:r>
      <w:r>
        <w:rPr>
          <w:rFonts w:hint="eastAsia" w:ascii="国标仿宋-GB/T 2312" w:hAnsi="国标仿宋-GB/T 2312" w:eastAsia="国标仿宋-GB/T 2312" w:cs="国标仿宋-GB/T 2312"/>
          <w:b w:val="0"/>
          <w:bCs w:val="0"/>
          <w:color w:val="auto"/>
          <w:sz w:val="32"/>
          <w:szCs w:val="32"/>
          <w:highlight w:val="none"/>
        </w:rPr>
        <w:t>我局原则</w:t>
      </w:r>
      <w:r>
        <w:rPr>
          <w:rFonts w:hint="eastAsia" w:ascii="国标仿宋-GB/T 2312" w:hAnsi="国标仿宋-GB/T 2312" w:eastAsia="国标仿宋-GB/T 2312" w:cs="国标仿宋-GB/T 2312"/>
          <w:b w:val="0"/>
          <w:bCs w:val="0"/>
          <w:color w:val="auto"/>
          <w:sz w:val="32"/>
          <w:szCs w:val="32"/>
          <w:highlight w:val="none"/>
          <w:lang w:eastAsia="zh-CN"/>
        </w:rPr>
        <w:t>上</w:t>
      </w:r>
      <w:r>
        <w:rPr>
          <w:rFonts w:hint="eastAsia" w:ascii="国标仿宋-GB/T 2312" w:hAnsi="国标仿宋-GB/T 2312" w:eastAsia="国标仿宋-GB/T 2312" w:cs="国标仿宋-GB/T 2312"/>
          <w:b w:val="0"/>
          <w:bCs w:val="0"/>
          <w:color w:val="auto"/>
          <w:sz w:val="32"/>
          <w:szCs w:val="32"/>
          <w:highlight w:val="none"/>
          <w:lang w:val="en-US" w:eastAsia="zh-CN"/>
        </w:rPr>
        <w:t>同意该项目建设。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color w:val="auto"/>
          <w:sz w:val="32"/>
          <w:szCs w:val="32"/>
          <w:highlight w:val="none"/>
        </w:rPr>
      </w:pPr>
      <w:r>
        <w:rPr>
          <w:rFonts w:hint="eastAsia" w:ascii="国标仿宋-GB/T 2312" w:hAnsi="国标仿宋-GB/T 2312" w:eastAsia="国标仿宋-GB/T 2312" w:cs="国标仿宋-GB/T 2312"/>
          <w:color w:val="auto"/>
          <w:sz w:val="32"/>
          <w:szCs w:val="32"/>
          <w:highlight w:val="none"/>
        </w:rPr>
        <w:t>二、你单位在</w:t>
      </w:r>
      <w:r>
        <w:rPr>
          <w:rFonts w:hint="eastAsia" w:ascii="国标仿宋-GB/T 2312" w:hAnsi="国标仿宋-GB/T 2312" w:eastAsia="国标仿宋-GB/T 2312" w:cs="国标仿宋-GB/T 2312"/>
          <w:color w:val="auto"/>
          <w:sz w:val="32"/>
          <w:szCs w:val="32"/>
          <w:highlight w:val="none"/>
          <w:lang w:eastAsia="zh-CN"/>
        </w:rPr>
        <w:t>项目</w:t>
      </w:r>
      <w:r>
        <w:rPr>
          <w:rFonts w:hint="eastAsia" w:ascii="国标仿宋-GB/T 2312" w:hAnsi="国标仿宋-GB/T 2312" w:eastAsia="国标仿宋-GB/T 2312" w:cs="国标仿宋-GB/T 2312"/>
          <w:color w:val="auto"/>
          <w:sz w:val="32"/>
          <w:szCs w:val="32"/>
          <w:highlight w:val="none"/>
        </w:rPr>
        <w:t>设计、建设和运行管理中，须全面落实</w:t>
      </w:r>
      <w:r>
        <w:rPr>
          <w:rFonts w:hint="eastAsia" w:ascii="国标仿宋-GB/T 2312" w:hAnsi="国标仿宋-GB/T 2312" w:eastAsia="国标仿宋-GB/T 2312" w:cs="国标仿宋-GB/T 2312"/>
          <w:color w:val="auto"/>
          <w:sz w:val="32"/>
          <w:szCs w:val="32"/>
          <w:highlight w:val="none"/>
          <w:lang w:eastAsia="zh-CN"/>
        </w:rPr>
        <w:t>报告表</w:t>
      </w:r>
      <w:r>
        <w:rPr>
          <w:rFonts w:hint="eastAsia" w:ascii="国标仿宋-GB/T 2312" w:hAnsi="国标仿宋-GB/T 2312" w:eastAsia="国标仿宋-GB/T 2312" w:cs="国标仿宋-GB/T 2312"/>
          <w:color w:val="auto"/>
          <w:sz w:val="32"/>
          <w:szCs w:val="32"/>
          <w:highlight w:val="none"/>
        </w:rPr>
        <w:t>中提出的各项污染防治措施</w:t>
      </w:r>
      <w:r>
        <w:rPr>
          <w:rFonts w:hint="eastAsia" w:ascii="国标仿宋-GB/T 2312" w:hAnsi="国标仿宋-GB/T 2312" w:eastAsia="国标仿宋-GB/T 2312" w:cs="国标仿宋-GB/T 2312"/>
          <w:color w:val="auto"/>
          <w:sz w:val="32"/>
          <w:szCs w:val="32"/>
          <w:highlight w:val="none"/>
          <w:lang w:val="en-US" w:eastAsia="zh-CN"/>
        </w:rPr>
        <w:t>和环境管理要求</w:t>
      </w:r>
      <w:r>
        <w:rPr>
          <w:rFonts w:hint="eastAsia" w:ascii="国标仿宋-GB/T 2312" w:hAnsi="国标仿宋-GB/T 2312" w:eastAsia="国标仿宋-GB/T 2312" w:cs="国标仿宋-GB/T 2312"/>
          <w:color w:val="auto"/>
          <w:sz w:val="32"/>
          <w:szCs w:val="32"/>
          <w:highlight w:val="none"/>
        </w:rPr>
        <w:t>，并着重做好以下工作：</w:t>
      </w:r>
    </w:p>
    <w:p>
      <w:pPr>
        <w:keepNext w:val="0"/>
        <w:keepLines w:val="0"/>
        <w:widowControl/>
        <w:suppressLineNumbers w:val="0"/>
        <w:jc w:val="left"/>
        <w:rPr>
          <w:rFonts w:hint="eastAsia" w:ascii="Times New Roman" w:hAnsi="Times New Roman" w:eastAsia="宋体" w:cs="Times New Roman"/>
          <w:i w:val="0"/>
          <w:iCs w:val="0"/>
          <w:caps w:val="0"/>
          <w:color w:val="333333"/>
          <w:spacing w:val="0"/>
          <w:sz w:val="24"/>
          <w:szCs w:val="24"/>
          <w:shd w:val="clear" w:fill="FFFFFF"/>
          <w:lang w:val="en-US" w:eastAsia="zh-CN"/>
        </w:rPr>
      </w:pPr>
      <w:r>
        <w:rPr>
          <w:rFonts w:hint="eastAsia" w:ascii="国标仿宋-GB/T 2312" w:hAnsi="国标仿宋-GB/T 2312" w:eastAsia="国标仿宋-GB/T 2312" w:cs="国标仿宋-GB/T 2312"/>
          <w:color w:val="auto"/>
          <w:sz w:val="32"/>
          <w:szCs w:val="32"/>
          <w:highlight w:val="none"/>
          <w:lang w:eastAsia="zh-CN"/>
        </w:rPr>
        <w:t>　　</w:t>
      </w:r>
      <w:r>
        <w:rPr>
          <w:rFonts w:hint="eastAsia" w:ascii="国标仿宋-GB/T 2312" w:hAnsi="国标仿宋-GB/T 2312" w:eastAsia="国标仿宋-GB/T 2312" w:cs="国标仿宋-GB/T 2312"/>
          <w:color w:val="auto"/>
          <w:sz w:val="32"/>
          <w:szCs w:val="32"/>
          <w:highlight w:val="none"/>
        </w:rPr>
        <w:t>（一）严格落实</w:t>
      </w:r>
      <w:r>
        <w:rPr>
          <w:rFonts w:hint="eastAsia" w:ascii="国标仿宋-GB/T 2312" w:hAnsi="国标仿宋-GB/T 2312" w:eastAsia="国标仿宋-GB/T 2312" w:cs="国标仿宋-GB/T 2312"/>
          <w:color w:val="auto"/>
          <w:sz w:val="32"/>
          <w:szCs w:val="32"/>
          <w:highlight w:val="none"/>
          <w:lang w:eastAsia="zh-CN"/>
        </w:rPr>
        <w:t>废气</w:t>
      </w:r>
      <w:r>
        <w:rPr>
          <w:rFonts w:hint="eastAsia" w:ascii="国标仿宋-GB/T 2312" w:hAnsi="国标仿宋-GB/T 2312" w:eastAsia="国标仿宋-GB/T 2312" w:cs="国标仿宋-GB/T 2312"/>
          <w:color w:val="auto"/>
          <w:sz w:val="32"/>
          <w:szCs w:val="32"/>
          <w:highlight w:val="none"/>
        </w:rPr>
        <w:t>污染防治措施。</w:t>
      </w:r>
      <w:r>
        <w:rPr>
          <w:rFonts w:hint="eastAsia" w:ascii="国标仿宋-GB/T 2312" w:hAnsi="国标仿宋-GB/T 2312" w:eastAsia="国标仿宋-GB/T 2312" w:cs="国标仿宋-GB/T 2312"/>
          <w:color w:val="auto"/>
          <w:sz w:val="32"/>
          <w:szCs w:val="32"/>
          <w:highlight w:val="none"/>
          <w:lang w:val="en-US" w:eastAsia="zh-CN"/>
        </w:rPr>
        <w:t>项目注塑分别位于</w:t>
      </w:r>
      <w:r>
        <w:rPr>
          <w:rFonts w:hint="default" w:ascii="国标仿宋-GB/T 2312" w:hAnsi="国标仿宋-GB/T 2312" w:eastAsia="国标仿宋-GB/T 2312" w:cs="国标仿宋-GB/T 2312"/>
          <w:color w:val="auto"/>
          <w:sz w:val="32"/>
          <w:szCs w:val="32"/>
          <w:highlight w:val="none"/>
          <w:lang w:val="en-US" w:eastAsia="zh-CN"/>
        </w:rPr>
        <w:t>19栋一楼</w:t>
      </w:r>
      <w:r>
        <w:rPr>
          <w:rFonts w:hint="eastAsia" w:ascii="国标仿宋-GB/T 2312" w:hAnsi="国标仿宋-GB/T 2312" w:eastAsia="国标仿宋-GB/T 2312" w:cs="国标仿宋-GB/T 2312"/>
          <w:color w:val="auto"/>
          <w:sz w:val="32"/>
          <w:szCs w:val="32"/>
          <w:highlight w:val="none"/>
          <w:lang w:val="en-US" w:eastAsia="zh-CN"/>
        </w:rPr>
        <w:t>和</w:t>
      </w:r>
      <w:r>
        <w:rPr>
          <w:rFonts w:hint="default" w:ascii="国标仿宋-GB/T 2312" w:hAnsi="国标仿宋-GB/T 2312" w:eastAsia="国标仿宋-GB/T 2312" w:cs="国标仿宋-GB/T 2312"/>
          <w:color w:val="auto"/>
          <w:sz w:val="32"/>
          <w:szCs w:val="32"/>
          <w:highlight w:val="none"/>
          <w:lang w:val="en-US" w:eastAsia="zh-CN"/>
        </w:rPr>
        <w:t>17栋一楼</w:t>
      </w:r>
      <w:r>
        <w:rPr>
          <w:rFonts w:hint="eastAsia" w:ascii="国标仿宋-GB/T 2312" w:hAnsi="国标仿宋-GB/T 2312" w:eastAsia="国标仿宋-GB/T 2312" w:cs="国标仿宋-GB/T 2312"/>
          <w:color w:val="auto"/>
          <w:sz w:val="32"/>
          <w:szCs w:val="32"/>
          <w:highlight w:val="none"/>
          <w:lang w:val="en-US" w:eastAsia="zh-CN"/>
        </w:rPr>
        <w:t>，注塑废气分别经两套“过滤棉+活性炭吸附脱附+催化燃烧设备 ”处理后通过2根20m排气筒排放</w:t>
      </w:r>
      <w:r>
        <w:rPr>
          <w:rFonts w:hint="eastAsia" w:ascii="国标仿宋-GB/T 2312" w:hAnsi="国标仿宋-GB/T 2312" w:eastAsia="国标仿宋-GB/T 2312" w:cs="国标仿宋-GB/T 2312"/>
          <w:color w:val="auto"/>
          <w:sz w:val="32"/>
          <w:szCs w:val="32"/>
          <w:highlight w:val="none"/>
        </w:rPr>
        <w:t>，</w:t>
      </w:r>
      <w:r>
        <w:rPr>
          <w:rFonts w:hint="eastAsia" w:ascii="国标仿宋-GB/T 2312" w:hAnsi="国标仿宋-GB/T 2312" w:eastAsia="国标仿宋-GB/T 2312" w:cs="国标仿宋-GB/T 2312"/>
          <w:color w:val="auto"/>
          <w:sz w:val="32"/>
          <w:szCs w:val="32"/>
          <w:highlight w:val="none"/>
          <w:lang w:val="en-US" w:eastAsia="zh-CN"/>
        </w:rPr>
        <w:t>挥发性</w:t>
      </w:r>
      <w:r>
        <w:rPr>
          <w:rFonts w:hint="eastAsia" w:ascii="国标仿宋-GB/T 2312" w:hAnsi="国标仿宋-GB/T 2312" w:eastAsia="国标仿宋-GB/T 2312" w:cs="国标仿宋-GB/T 2312"/>
          <w:color w:val="auto"/>
          <w:spacing w:val="-11"/>
          <w:sz w:val="32"/>
          <w:szCs w:val="32"/>
          <w:highlight w:val="none"/>
          <w:lang w:val="en-US" w:eastAsia="zh-CN"/>
        </w:rPr>
        <w:t>有机物、颗粒物等满足《合成树脂工业污染物排放标准》（</w:t>
      </w:r>
      <w:r>
        <w:rPr>
          <w:rFonts w:hint="default" w:ascii="国标仿宋-GB/T 2312" w:hAnsi="国标仿宋-GB/T 2312" w:eastAsia="国标仿宋-GB/T 2312" w:cs="国标仿宋-GB/T 2312"/>
          <w:color w:val="auto"/>
          <w:spacing w:val="-11"/>
          <w:sz w:val="32"/>
          <w:szCs w:val="32"/>
          <w:highlight w:val="none"/>
          <w:lang w:val="en-US" w:eastAsia="zh-CN"/>
        </w:rPr>
        <w:t>GB</w:t>
      </w:r>
      <w:r>
        <w:rPr>
          <w:rFonts w:hint="eastAsia" w:ascii="国标仿宋-GB/T 2312" w:hAnsi="国标仿宋-GB/T 2312" w:eastAsia="国标仿宋-GB/T 2312" w:cs="国标仿宋-GB/T 2312"/>
          <w:color w:val="auto"/>
          <w:spacing w:val="-11"/>
          <w:sz w:val="32"/>
          <w:szCs w:val="32"/>
          <w:highlight w:val="none"/>
          <w:lang w:val="en-US" w:eastAsia="zh-CN"/>
        </w:rPr>
        <w:t>31572</w:t>
      </w:r>
      <w:r>
        <w:rPr>
          <w:rFonts w:hint="default" w:ascii="国标仿宋-GB/T 2312" w:hAnsi="国标仿宋-GB/T 2312" w:eastAsia="国标仿宋-GB/T 2312" w:cs="国标仿宋-GB/T 2312"/>
          <w:color w:val="auto"/>
          <w:spacing w:val="-11"/>
          <w:sz w:val="32"/>
          <w:szCs w:val="32"/>
          <w:highlight w:val="none"/>
          <w:lang w:val="en-US" w:eastAsia="zh-CN"/>
        </w:rPr>
        <w:t>-</w:t>
      </w:r>
      <w:r>
        <w:rPr>
          <w:rFonts w:hint="eastAsia" w:ascii="国标仿宋-GB/T 2312" w:hAnsi="国标仿宋-GB/T 2312" w:eastAsia="国标仿宋-GB/T 2312" w:cs="国标仿宋-GB/T 2312"/>
          <w:color w:val="auto"/>
          <w:spacing w:val="-11"/>
          <w:sz w:val="32"/>
          <w:szCs w:val="32"/>
          <w:highlight w:val="none"/>
          <w:lang w:val="en-US" w:eastAsia="zh-CN"/>
        </w:rPr>
        <w:t>2015）中表4大气污染物排放限值；</w:t>
      </w:r>
      <w:r>
        <w:rPr>
          <w:rFonts w:hint="eastAsia" w:ascii="国标仿宋-GB/T 2312" w:hAnsi="国标仿宋-GB/T 2312" w:eastAsia="国标仿宋-GB/T 2312" w:cs="国标仿宋-GB/T 2312"/>
          <w:color w:val="auto"/>
          <w:sz w:val="32"/>
          <w:szCs w:val="32"/>
          <w:highlight w:val="none"/>
          <w:lang w:val="en-US" w:eastAsia="zh-CN"/>
        </w:rPr>
        <w:t>粘胶废气经“车间负压收集</w:t>
      </w:r>
      <w:r>
        <w:rPr>
          <w:rFonts w:hint="default" w:ascii="国标仿宋-GB/T 2312" w:hAnsi="国标仿宋-GB/T 2312" w:eastAsia="国标仿宋-GB/T 2312" w:cs="国标仿宋-GB/T 2312"/>
          <w:color w:val="auto"/>
          <w:sz w:val="32"/>
          <w:szCs w:val="32"/>
          <w:highlight w:val="none"/>
          <w:lang w:val="en-US" w:eastAsia="zh-CN"/>
        </w:rPr>
        <w:t>+</w:t>
      </w:r>
      <w:r>
        <w:rPr>
          <w:rFonts w:hint="eastAsia" w:ascii="国标仿宋-GB/T 2312" w:hAnsi="国标仿宋-GB/T 2312" w:eastAsia="国标仿宋-GB/T 2312" w:cs="国标仿宋-GB/T 2312"/>
          <w:color w:val="auto"/>
          <w:sz w:val="32"/>
          <w:szCs w:val="32"/>
          <w:highlight w:val="none"/>
          <w:lang w:val="en-US" w:eastAsia="zh-CN"/>
        </w:rPr>
        <w:t>过滤棉</w:t>
      </w:r>
      <w:r>
        <w:rPr>
          <w:rFonts w:hint="default" w:ascii="国标仿宋-GB/T 2312" w:hAnsi="国标仿宋-GB/T 2312" w:eastAsia="国标仿宋-GB/T 2312" w:cs="国标仿宋-GB/T 2312"/>
          <w:color w:val="auto"/>
          <w:sz w:val="32"/>
          <w:szCs w:val="32"/>
          <w:highlight w:val="none"/>
          <w:lang w:val="en-US" w:eastAsia="zh-CN"/>
        </w:rPr>
        <w:t>+</w:t>
      </w:r>
      <w:r>
        <w:rPr>
          <w:rFonts w:hint="eastAsia" w:ascii="国标仿宋-GB/T 2312" w:hAnsi="国标仿宋-GB/T 2312" w:eastAsia="国标仿宋-GB/T 2312" w:cs="国标仿宋-GB/T 2312"/>
          <w:color w:val="auto"/>
          <w:sz w:val="32"/>
          <w:szCs w:val="32"/>
          <w:highlight w:val="none"/>
          <w:lang w:val="en-US" w:eastAsia="zh-CN"/>
        </w:rPr>
        <w:t>两级活性炭处理后”通过一根20m排气筒排放，挥发性有机物满足《大气污染物综合排放标准》（GB16297-1996）中表2标准限值；移印废气经集气罩收集</w:t>
      </w:r>
      <w:r>
        <w:rPr>
          <w:rFonts w:hint="default" w:ascii="国标仿宋-GB/T 2312" w:hAnsi="国标仿宋-GB/T 2312" w:eastAsia="国标仿宋-GB/T 2312" w:cs="国标仿宋-GB/T 2312"/>
          <w:color w:val="auto"/>
          <w:sz w:val="32"/>
          <w:szCs w:val="32"/>
          <w:highlight w:val="none"/>
          <w:lang w:val="en-US" w:eastAsia="zh-CN"/>
        </w:rPr>
        <w:t>+</w:t>
      </w:r>
      <w:r>
        <w:rPr>
          <w:rFonts w:hint="eastAsia" w:ascii="国标仿宋-GB/T 2312" w:hAnsi="国标仿宋-GB/T 2312" w:eastAsia="国标仿宋-GB/T 2312" w:cs="国标仿宋-GB/T 2312"/>
          <w:color w:val="auto"/>
          <w:sz w:val="32"/>
          <w:szCs w:val="32"/>
          <w:highlight w:val="none"/>
          <w:lang w:val="en-US" w:eastAsia="zh-CN"/>
        </w:rPr>
        <w:t>过滤棉“两级活性炭处理后”通过一根20m排气筒排放，挥发性有机物满足《印刷业挥发性有机物排放标准 》（DB43/1357-2017）表1标准限值；项目破碎分别位于</w:t>
      </w:r>
      <w:r>
        <w:rPr>
          <w:rFonts w:hint="default" w:ascii="国标仿宋-GB/T 2312" w:hAnsi="国标仿宋-GB/T 2312" w:eastAsia="国标仿宋-GB/T 2312" w:cs="国标仿宋-GB/T 2312"/>
          <w:color w:val="auto"/>
          <w:sz w:val="32"/>
          <w:szCs w:val="32"/>
          <w:highlight w:val="none"/>
          <w:lang w:val="en-US" w:eastAsia="zh-CN"/>
        </w:rPr>
        <w:t>19栋一楼</w:t>
      </w:r>
      <w:r>
        <w:rPr>
          <w:rFonts w:hint="eastAsia" w:ascii="国标仿宋-GB/T 2312" w:hAnsi="国标仿宋-GB/T 2312" w:eastAsia="国标仿宋-GB/T 2312" w:cs="国标仿宋-GB/T 2312"/>
          <w:color w:val="auto"/>
          <w:sz w:val="32"/>
          <w:szCs w:val="32"/>
          <w:highlight w:val="none"/>
          <w:lang w:val="en-US" w:eastAsia="zh-CN"/>
        </w:rPr>
        <w:t>和</w:t>
      </w:r>
      <w:r>
        <w:rPr>
          <w:rFonts w:hint="default" w:ascii="国标仿宋-GB/T 2312" w:hAnsi="国标仿宋-GB/T 2312" w:eastAsia="国标仿宋-GB/T 2312" w:cs="国标仿宋-GB/T 2312"/>
          <w:color w:val="auto"/>
          <w:sz w:val="32"/>
          <w:szCs w:val="32"/>
          <w:highlight w:val="none"/>
          <w:lang w:val="en-US" w:eastAsia="zh-CN"/>
        </w:rPr>
        <w:t>17栋一楼</w:t>
      </w:r>
      <w:r>
        <w:rPr>
          <w:rFonts w:hint="eastAsia" w:ascii="国标仿宋-GB/T 2312" w:hAnsi="国标仿宋-GB/T 2312" w:eastAsia="国标仿宋-GB/T 2312" w:cs="国标仿宋-GB/T 2312"/>
          <w:color w:val="auto"/>
          <w:sz w:val="32"/>
          <w:szCs w:val="32"/>
          <w:highlight w:val="none"/>
          <w:lang w:val="en-US" w:eastAsia="zh-CN"/>
        </w:rPr>
        <w:t>，破碎粉尘经管道收集后分别经两套“布袋除尘器”处理后通过2根20m排气筒排放，颗粒物满足《合成树脂工业污染物排放标准》（</w:t>
      </w:r>
      <w:r>
        <w:rPr>
          <w:rFonts w:hint="default" w:ascii="国标仿宋-GB/T 2312" w:hAnsi="国标仿宋-GB/T 2312" w:eastAsia="国标仿宋-GB/T 2312" w:cs="国标仿宋-GB/T 2312"/>
          <w:color w:val="auto"/>
          <w:sz w:val="32"/>
          <w:szCs w:val="32"/>
          <w:highlight w:val="none"/>
          <w:lang w:val="en-US" w:eastAsia="zh-CN"/>
        </w:rPr>
        <w:t>GB</w:t>
      </w:r>
      <w:r>
        <w:rPr>
          <w:rFonts w:hint="eastAsia" w:ascii="国标仿宋-GB/T 2312" w:hAnsi="国标仿宋-GB/T 2312" w:eastAsia="国标仿宋-GB/T 2312" w:cs="国标仿宋-GB/T 2312"/>
          <w:color w:val="auto"/>
          <w:sz w:val="32"/>
          <w:szCs w:val="32"/>
          <w:highlight w:val="none"/>
          <w:lang w:val="en-US" w:eastAsia="zh-CN"/>
        </w:rPr>
        <w:t>31572</w:t>
      </w:r>
      <w:r>
        <w:rPr>
          <w:rFonts w:hint="default" w:ascii="国标仿宋-GB/T 2312" w:hAnsi="国标仿宋-GB/T 2312" w:eastAsia="国标仿宋-GB/T 2312" w:cs="国标仿宋-GB/T 2312"/>
          <w:color w:val="auto"/>
          <w:sz w:val="32"/>
          <w:szCs w:val="32"/>
          <w:highlight w:val="none"/>
          <w:lang w:val="en-US" w:eastAsia="zh-CN"/>
        </w:rPr>
        <w:t>-</w:t>
      </w:r>
      <w:r>
        <w:rPr>
          <w:rFonts w:hint="eastAsia" w:ascii="国标仿宋-GB/T 2312" w:hAnsi="国标仿宋-GB/T 2312" w:eastAsia="国标仿宋-GB/T 2312" w:cs="国标仿宋-GB/T 2312"/>
          <w:color w:val="auto"/>
          <w:sz w:val="32"/>
          <w:szCs w:val="32"/>
          <w:highlight w:val="none"/>
          <w:lang w:val="en-US" w:eastAsia="zh-CN"/>
        </w:rPr>
        <w:t>2015）中表4大气污染物排放限值。项目厂界无组织废气满足《合成树脂工业污染物排放标准》（</w:t>
      </w:r>
      <w:r>
        <w:rPr>
          <w:rFonts w:hint="default" w:ascii="国标仿宋-GB/T 2312" w:hAnsi="国标仿宋-GB/T 2312" w:eastAsia="国标仿宋-GB/T 2312" w:cs="国标仿宋-GB/T 2312"/>
          <w:color w:val="auto"/>
          <w:sz w:val="32"/>
          <w:szCs w:val="32"/>
          <w:highlight w:val="none"/>
          <w:lang w:val="en-US" w:eastAsia="zh-CN"/>
        </w:rPr>
        <w:t>GB</w:t>
      </w:r>
      <w:r>
        <w:rPr>
          <w:rFonts w:hint="eastAsia" w:ascii="国标仿宋-GB/T 2312" w:hAnsi="国标仿宋-GB/T 2312" w:eastAsia="国标仿宋-GB/T 2312" w:cs="国标仿宋-GB/T 2312"/>
          <w:color w:val="auto"/>
          <w:sz w:val="32"/>
          <w:szCs w:val="32"/>
          <w:highlight w:val="none"/>
          <w:lang w:val="en-US" w:eastAsia="zh-CN"/>
        </w:rPr>
        <w:t>31572</w:t>
      </w:r>
      <w:r>
        <w:rPr>
          <w:rFonts w:hint="default" w:ascii="国标仿宋-GB/T 2312" w:hAnsi="国标仿宋-GB/T 2312" w:eastAsia="国标仿宋-GB/T 2312" w:cs="国标仿宋-GB/T 2312"/>
          <w:color w:val="auto"/>
          <w:sz w:val="32"/>
          <w:szCs w:val="32"/>
          <w:highlight w:val="none"/>
          <w:lang w:val="en-US" w:eastAsia="zh-CN"/>
        </w:rPr>
        <w:t>-</w:t>
      </w:r>
      <w:r>
        <w:rPr>
          <w:rFonts w:hint="eastAsia" w:ascii="国标仿宋-GB/T 2312" w:hAnsi="国标仿宋-GB/T 2312" w:eastAsia="国标仿宋-GB/T 2312" w:cs="国标仿宋-GB/T 2312"/>
          <w:color w:val="auto"/>
          <w:sz w:val="32"/>
          <w:szCs w:val="32"/>
          <w:highlight w:val="none"/>
          <w:lang w:val="en-US" w:eastAsia="zh-CN"/>
        </w:rPr>
        <w:t>2015）中表9大气污染物排放限值、《印刷业挥发性有机物排放标准 》（DB43/1357-2017）表2排放限值及</w:t>
      </w:r>
      <w:r>
        <w:rPr>
          <w:rFonts w:hint="default" w:ascii="国标仿宋-GB/T 2312" w:hAnsi="国标仿宋-GB/T 2312" w:eastAsia="国标仿宋-GB/T 2312" w:cs="国标仿宋-GB/T 2312"/>
          <w:color w:val="auto"/>
          <w:sz w:val="32"/>
          <w:szCs w:val="32"/>
          <w:highlight w:val="none"/>
          <w:lang w:val="en-US" w:eastAsia="zh-CN"/>
        </w:rPr>
        <w:t>《</w:t>
      </w:r>
      <w:r>
        <w:rPr>
          <w:rFonts w:hint="eastAsia" w:ascii="国标仿宋-GB/T 2312" w:hAnsi="国标仿宋-GB/T 2312" w:eastAsia="国标仿宋-GB/T 2312" w:cs="国标仿宋-GB/T 2312"/>
          <w:color w:val="auto"/>
          <w:sz w:val="32"/>
          <w:szCs w:val="32"/>
          <w:highlight w:val="none"/>
          <w:lang w:val="en-US" w:eastAsia="zh-CN"/>
        </w:rPr>
        <w:t>大气污染物综合排放标准</w:t>
      </w:r>
      <w:r>
        <w:rPr>
          <w:rFonts w:hint="default" w:ascii="国标仿宋-GB/T 2312" w:hAnsi="国标仿宋-GB/T 2312" w:eastAsia="国标仿宋-GB/T 2312" w:cs="国标仿宋-GB/T 2312"/>
          <w:color w:val="auto"/>
          <w:sz w:val="32"/>
          <w:szCs w:val="32"/>
          <w:highlight w:val="none"/>
          <w:lang w:val="en-US" w:eastAsia="zh-CN"/>
        </w:rPr>
        <w:t>》（GB</w:t>
      </w:r>
      <w:r>
        <w:rPr>
          <w:rFonts w:hint="eastAsia" w:ascii="国标仿宋-GB/T 2312" w:hAnsi="国标仿宋-GB/T 2312" w:eastAsia="国标仿宋-GB/T 2312" w:cs="国标仿宋-GB/T 2312"/>
          <w:color w:val="auto"/>
          <w:sz w:val="32"/>
          <w:szCs w:val="32"/>
          <w:highlight w:val="none"/>
          <w:lang w:val="en-US" w:eastAsia="zh-CN"/>
        </w:rPr>
        <w:t>16297</w:t>
      </w:r>
      <w:r>
        <w:rPr>
          <w:rFonts w:hint="default" w:ascii="国标仿宋-GB/T 2312" w:hAnsi="国标仿宋-GB/T 2312" w:eastAsia="国标仿宋-GB/T 2312" w:cs="国标仿宋-GB/T 2312"/>
          <w:color w:val="auto"/>
          <w:sz w:val="32"/>
          <w:szCs w:val="32"/>
          <w:highlight w:val="none"/>
          <w:lang w:val="en-US" w:eastAsia="zh-CN"/>
        </w:rPr>
        <w:t>-</w:t>
      </w:r>
      <w:r>
        <w:rPr>
          <w:rFonts w:hint="eastAsia" w:ascii="国标仿宋-GB/T 2312" w:hAnsi="国标仿宋-GB/T 2312" w:eastAsia="国标仿宋-GB/T 2312" w:cs="国标仿宋-GB/T 2312"/>
          <w:color w:val="auto"/>
          <w:sz w:val="32"/>
          <w:szCs w:val="32"/>
          <w:highlight w:val="none"/>
          <w:lang w:val="en-US" w:eastAsia="zh-CN"/>
        </w:rPr>
        <w:t>1996</w:t>
      </w:r>
      <w:r>
        <w:rPr>
          <w:rFonts w:hint="default" w:ascii="国标仿宋-GB/T 2312" w:hAnsi="国标仿宋-GB/T 2312" w:eastAsia="国标仿宋-GB/T 2312" w:cs="国标仿宋-GB/T 2312"/>
          <w:color w:val="auto"/>
          <w:sz w:val="32"/>
          <w:szCs w:val="32"/>
          <w:highlight w:val="none"/>
          <w:lang w:val="en-US" w:eastAsia="zh-CN"/>
        </w:rPr>
        <w:t>）中表2</w:t>
      </w:r>
      <w:r>
        <w:rPr>
          <w:rFonts w:hint="eastAsia" w:ascii="国标仿宋-GB/T 2312" w:hAnsi="国标仿宋-GB/T 2312" w:eastAsia="国标仿宋-GB/T 2312" w:cs="国标仿宋-GB/T 2312"/>
          <w:color w:val="auto"/>
          <w:sz w:val="32"/>
          <w:szCs w:val="32"/>
          <w:highlight w:val="none"/>
          <w:lang w:val="en-US" w:eastAsia="zh-CN"/>
        </w:rPr>
        <w:t>中无组织排放标准限值</w:t>
      </w:r>
      <w:r>
        <w:rPr>
          <w:rFonts w:hint="eastAsia" w:ascii="Times New Roman" w:hAnsi="Times New Roman" w:eastAsia="宋体" w:cs="Times New Roman"/>
          <w:i w:val="0"/>
          <w:iCs w:val="0"/>
          <w:caps w:val="0"/>
          <w:color w:val="333333"/>
          <w:spacing w:val="0"/>
          <w:sz w:val="24"/>
          <w:szCs w:val="24"/>
          <w:shd w:val="clear" w:fill="FFFFFF"/>
          <w:lang w:val="en-US" w:eastAsia="zh-CN"/>
        </w:rPr>
        <w:t>。</w:t>
      </w:r>
    </w:p>
    <w:p>
      <w:pPr>
        <w:keepNext w:val="0"/>
        <w:keepLines w:val="0"/>
        <w:widowControl/>
        <w:suppressLineNumbers w:val="0"/>
        <w:ind w:firstLine="640"/>
        <w:jc w:val="left"/>
        <w:rPr>
          <w:rFonts w:hint="default" w:ascii="仿宋" w:hAnsi="仿宋" w:eastAsia="仿宋" w:cs="Times New Roman"/>
          <w:bCs w:val="0"/>
          <w:color w:val="auto"/>
          <w:kern w:val="2"/>
          <w:sz w:val="32"/>
          <w:szCs w:val="32"/>
          <w:highlight w:val="none"/>
          <w:lang w:val="en-US" w:eastAsia="zh-CN" w:bidi="ar-SA"/>
        </w:rPr>
      </w:pPr>
      <w:r>
        <w:rPr>
          <w:rFonts w:hint="eastAsia" w:ascii="国标仿宋-GB/T 2312" w:hAnsi="国标仿宋-GB/T 2312" w:eastAsia="国标仿宋-GB/T 2312" w:cs="国标仿宋-GB/T 2312"/>
          <w:b w:val="0"/>
          <w:bCs w:val="0"/>
          <w:color w:val="auto"/>
          <w:sz w:val="32"/>
          <w:szCs w:val="32"/>
          <w:highlight w:val="none"/>
        </w:rPr>
        <w:t>（二）严格落实</w:t>
      </w:r>
      <w:r>
        <w:rPr>
          <w:rFonts w:hint="eastAsia" w:ascii="国标仿宋-GB/T 2312" w:hAnsi="国标仿宋-GB/T 2312" w:eastAsia="国标仿宋-GB/T 2312" w:cs="国标仿宋-GB/T 2312"/>
          <w:b w:val="0"/>
          <w:bCs w:val="0"/>
          <w:color w:val="auto"/>
          <w:sz w:val="32"/>
          <w:szCs w:val="32"/>
          <w:highlight w:val="none"/>
          <w:lang w:eastAsia="zh-CN"/>
        </w:rPr>
        <w:t>废水处理</w:t>
      </w:r>
      <w:r>
        <w:rPr>
          <w:rFonts w:hint="eastAsia" w:ascii="国标仿宋-GB/T 2312" w:hAnsi="国标仿宋-GB/T 2312" w:eastAsia="国标仿宋-GB/T 2312" w:cs="国标仿宋-GB/T 2312"/>
          <w:b w:val="0"/>
          <w:bCs w:val="0"/>
          <w:color w:val="auto"/>
          <w:sz w:val="32"/>
          <w:szCs w:val="32"/>
          <w:highlight w:val="none"/>
        </w:rPr>
        <w:t>措施。</w:t>
      </w:r>
      <w:r>
        <w:rPr>
          <w:rFonts w:hint="default" w:ascii="仿宋" w:hAnsi="仿宋" w:eastAsia="仿宋" w:cs="Times New Roman"/>
          <w:bCs w:val="0"/>
          <w:color w:val="auto"/>
          <w:kern w:val="2"/>
          <w:sz w:val="32"/>
          <w:szCs w:val="32"/>
          <w:highlight w:val="none"/>
          <w:lang w:val="en-US" w:eastAsia="zh-CN" w:bidi="ar-SA"/>
        </w:rPr>
        <w:t>生活废水经化粪池处理排入</w:t>
      </w:r>
      <w:r>
        <w:rPr>
          <w:rFonts w:hint="eastAsia" w:ascii="仿宋" w:hAnsi="仿宋" w:eastAsia="仿宋" w:cs="Times New Roman"/>
          <w:bCs w:val="0"/>
          <w:color w:val="auto"/>
          <w:kern w:val="2"/>
          <w:sz w:val="32"/>
          <w:szCs w:val="32"/>
          <w:highlight w:val="none"/>
          <w:lang w:val="en-US" w:eastAsia="zh-CN" w:bidi="ar-SA"/>
        </w:rPr>
        <w:t>市政</w:t>
      </w:r>
      <w:r>
        <w:rPr>
          <w:rFonts w:hint="default" w:ascii="仿宋" w:hAnsi="仿宋" w:eastAsia="仿宋" w:cs="Times New Roman"/>
          <w:bCs w:val="0"/>
          <w:color w:val="auto"/>
          <w:kern w:val="2"/>
          <w:sz w:val="32"/>
          <w:szCs w:val="32"/>
          <w:highlight w:val="none"/>
          <w:lang w:val="en-US" w:eastAsia="zh-CN" w:bidi="ar-SA"/>
        </w:rPr>
        <w:t>污水管网</w:t>
      </w:r>
      <w:r>
        <w:rPr>
          <w:rFonts w:hint="eastAsia" w:ascii="仿宋" w:hAnsi="仿宋" w:eastAsia="仿宋" w:cs="Times New Roman"/>
          <w:bCs w:val="0"/>
          <w:color w:val="auto"/>
          <w:kern w:val="2"/>
          <w:sz w:val="32"/>
          <w:szCs w:val="32"/>
          <w:highlight w:val="none"/>
          <w:lang w:val="en-US" w:eastAsia="zh-CN" w:bidi="ar-SA"/>
        </w:rPr>
        <w:t>，废水最后进入德山污水处理厂处理，满足德山污水处理厂进水水质要求。设备冷却水循环使用，不外排。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bCs w:val="0"/>
          <w:color w:val="auto"/>
          <w:sz w:val="32"/>
          <w:szCs w:val="32"/>
          <w:highlight w:val="none"/>
        </w:rPr>
      </w:pPr>
      <w:r>
        <w:rPr>
          <w:rFonts w:hint="eastAsia" w:ascii="国标仿宋-GB/T 2312" w:hAnsi="国标仿宋-GB/T 2312" w:eastAsia="国标仿宋-GB/T 2312" w:cs="国标仿宋-GB/T 2312"/>
          <w:b w:val="0"/>
          <w:bCs w:val="0"/>
          <w:color w:val="auto"/>
          <w:sz w:val="32"/>
          <w:szCs w:val="32"/>
          <w:highlight w:val="none"/>
        </w:rPr>
        <w:t>（三）</w:t>
      </w:r>
      <w:r>
        <w:rPr>
          <w:rFonts w:hint="eastAsia" w:ascii="国标仿宋-GB/T 2312" w:hAnsi="国标仿宋-GB/T 2312" w:eastAsia="国标仿宋-GB/T 2312" w:cs="国标仿宋-GB/T 2312"/>
          <w:b w:val="0"/>
          <w:bCs w:val="0"/>
          <w:color w:val="auto"/>
          <w:sz w:val="32"/>
          <w:szCs w:val="32"/>
          <w:highlight w:val="none"/>
          <w:lang w:eastAsia="zh-CN"/>
        </w:rPr>
        <w:t>加强</w:t>
      </w:r>
      <w:r>
        <w:rPr>
          <w:rFonts w:hint="eastAsia" w:ascii="国标仿宋-GB/T 2312" w:hAnsi="国标仿宋-GB/T 2312" w:eastAsia="国标仿宋-GB/T 2312" w:cs="国标仿宋-GB/T 2312"/>
          <w:b w:val="0"/>
          <w:bCs w:val="0"/>
          <w:color w:val="auto"/>
          <w:sz w:val="32"/>
          <w:szCs w:val="32"/>
          <w:highlight w:val="none"/>
        </w:rPr>
        <w:t>噪声污染</w:t>
      </w:r>
      <w:r>
        <w:rPr>
          <w:rFonts w:hint="eastAsia" w:ascii="国标仿宋-GB/T 2312" w:hAnsi="国标仿宋-GB/T 2312" w:eastAsia="国标仿宋-GB/T 2312" w:cs="国标仿宋-GB/T 2312"/>
          <w:b w:val="0"/>
          <w:bCs w:val="0"/>
          <w:color w:val="auto"/>
          <w:sz w:val="32"/>
          <w:szCs w:val="32"/>
          <w:highlight w:val="none"/>
          <w:lang w:eastAsia="zh-CN"/>
        </w:rPr>
        <w:t>控制</w:t>
      </w:r>
      <w:r>
        <w:rPr>
          <w:rFonts w:hint="eastAsia" w:ascii="国标仿宋-GB/T 2312" w:hAnsi="国标仿宋-GB/T 2312" w:eastAsia="国标仿宋-GB/T 2312" w:cs="国标仿宋-GB/T 2312"/>
          <w:b w:val="0"/>
          <w:bCs w:val="0"/>
          <w:color w:val="auto"/>
          <w:sz w:val="32"/>
          <w:szCs w:val="32"/>
          <w:highlight w:val="none"/>
        </w:rPr>
        <w:t>。</w:t>
      </w:r>
      <w:r>
        <w:rPr>
          <w:rFonts w:hint="eastAsia" w:ascii="国标仿宋-GB/T 2312" w:hAnsi="国标仿宋-GB/T 2312" w:eastAsia="国标仿宋-GB/T 2312" w:cs="国标仿宋-GB/T 2312"/>
          <w:sz w:val="32"/>
          <w:szCs w:val="32"/>
          <w:highlight w:val="none"/>
          <w:lang w:val="en-US" w:eastAsia="zh-CN"/>
        </w:rPr>
        <w:t>合理布置噪声设备位置，优化厂区平面布局，对高噪声设备采取基础减振措施，控制作业时间，减少噪声对周边的影响，厂界噪声满足《工业企业厂界环境噪声排放标准》（GB12348-2008）3类标准</w:t>
      </w:r>
      <w:r>
        <w:rPr>
          <w:rFonts w:hint="eastAsia" w:ascii="国标仿宋-GB/T 2312" w:hAnsi="国标仿宋-GB/T 2312" w:eastAsia="国标仿宋-GB/T 2312" w:cs="国标仿宋-GB/T 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bCs w:val="0"/>
          <w:color w:val="auto"/>
          <w:sz w:val="32"/>
          <w:szCs w:val="32"/>
          <w:highlight w:val="none"/>
          <w:lang w:val="en-US" w:eastAsia="zh-CN"/>
        </w:rPr>
      </w:pPr>
      <w:r>
        <w:rPr>
          <w:rFonts w:hint="eastAsia" w:ascii="国标仿宋-GB/T 2312" w:hAnsi="国标仿宋-GB/T 2312" w:eastAsia="国标仿宋-GB/T 2312" w:cs="国标仿宋-GB/T 2312"/>
          <w:b w:val="0"/>
          <w:bCs w:val="0"/>
          <w:color w:val="auto"/>
          <w:sz w:val="32"/>
          <w:szCs w:val="32"/>
          <w:highlight w:val="none"/>
          <w:lang w:val="en-US" w:eastAsia="zh-CN"/>
        </w:rPr>
        <w:t>（四）严格落实固体废物处置措施。本项目产生的危险废物包括废溶剂桶、胶水桶、油墨桶、顶针油瓶、防锈剂瓶、除垢剂瓶、脱模剂瓶、</w:t>
      </w:r>
      <w:r>
        <w:rPr>
          <w:rFonts w:hint="default" w:ascii="国标仿宋-GB/T 2312" w:hAnsi="国标仿宋-GB/T 2312" w:eastAsia="国标仿宋-GB/T 2312" w:cs="国标仿宋-GB/T 2312"/>
          <w:b w:val="0"/>
          <w:bCs w:val="0"/>
          <w:color w:val="auto"/>
          <w:sz w:val="32"/>
          <w:szCs w:val="32"/>
          <w:highlight w:val="none"/>
          <w:lang w:val="en-US" w:eastAsia="zh-CN"/>
        </w:rPr>
        <w:t>废活性炭</w:t>
      </w:r>
      <w:r>
        <w:rPr>
          <w:rFonts w:hint="eastAsia" w:ascii="国标仿宋-GB/T 2312" w:hAnsi="国标仿宋-GB/T 2312" w:eastAsia="国标仿宋-GB/T 2312" w:cs="国标仿宋-GB/T 2312"/>
          <w:b w:val="0"/>
          <w:bCs w:val="0"/>
          <w:color w:val="auto"/>
          <w:sz w:val="32"/>
          <w:szCs w:val="32"/>
          <w:highlight w:val="none"/>
          <w:lang w:val="en-US" w:eastAsia="zh-CN"/>
        </w:rPr>
        <w:t>、</w:t>
      </w:r>
      <w:r>
        <w:rPr>
          <w:rFonts w:hint="default" w:ascii="国标仿宋-GB/T 2312" w:hAnsi="国标仿宋-GB/T 2312" w:eastAsia="国标仿宋-GB/T 2312" w:cs="国标仿宋-GB/T 2312"/>
          <w:b w:val="0"/>
          <w:bCs w:val="0"/>
          <w:color w:val="auto"/>
          <w:sz w:val="32"/>
          <w:szCs w:val="32"/>
          <w:highlight w:val="none"/>
          <w:lang w:val="en-US" w:eastAsia="zh-CN"/>
        </w:rPr>
        <w:t>废液压油</w:t>
      </w:r>
      <w:r>
        <w:rPr>
          <w:rFonts w:hint="eastAsia" w:ascii="国标仿宋-GB/T 2312" w:hAnsi="国标仿宋-GB/T 2312" w:eastAsia="国标仿宋-GB/T 2312" w:cs="国标仿宋-GB/T 2312"/>
          <w:b w:val="0"/>
          <w:bCs w:val="0"/>
          <w:color w:val="auto"/>
          <w:sz w:val="32"/>
          <w:szCs w:val="32"/>
          <w:highlight w:val="none"/>
          <w:lang w:val="en-US" w:eastAsia="zh-CN"/>
        </w:rPr>
        <w:t>、含油（溶剂）抹布手套、废催化剂、废过滤棉</w:t>
      </w:r>
      <w:r>
        <w:rPr>
          <w:rFonts w:hint="default" w:ascii="国标仿宋-GB/T 2312" w:hAnsi="国标仿宋-GB/T 2312" w:eastAsia="国标仿宋-GB/T 2312" w:cs="国标仿宋-GB/T 2312"/>
          <w:b w:val="0"/>
          <w:bCs w:val="0"/>
          <w:color w:val="auto"/>
          <w:sz w:val="32"/>
          <w:szCs w:val="32"/>
          <w:highlight w:val="none"/>
          <w:lang w:val="en-US" w:eastAsia="zh-CN"/>
        </w:rPr>
        <w:t>等</w:t>
      </w:r>
      <w:r>
        <w:rPr>
          <w:rFonts w:hint="eastAsia" w:ascii="国标仿宋-GB/T 2312" w:hAnsi="国标仿宋-GB/T 2312" w:eastAsia="国标仿宋-GB/T 2312" w:cs="国标仿宋-GB/T 2312"/>
          <w:b w:val="0"/>
          <w:bCs w:val="0"/>
          <w:color w:val="auto"/>
          <w:sz w:val="32"/>
          <w:szCs w:val="32"/>
          <w:highlight w:val="none"/>
          <w:lang w:val="en-US" w:eastAsia="zh-CN"/>
        </w:rPr>
        <w:t>收集后暂存在厂区危废暂存间，定期交由具有危废资质的单位处置。危险废物贮存严格按照《危险废物收集、贮存、运输技术规范》（HJ2025-2012）和《危险废物贮存污染控制标准》（GB18597-2023）的相关要求进行建设。一般固废分类收集、定点堆放在厂区一般固废场所。按一般固废处置。生活垃圾统一收集，交由环卫部门定期清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国标仿宋-GB/T 2312" w:hAnsi="国标仿宋-GB/T 2312" w:eastAsia="国标仿宋-GB/T 2312" w:cs="国标仿宋-GB/T 2312"/>
          <w:b w:val="0"/>
          <w:bCs w:val="0"/>
          <w:color w:val="auto"/>
          <w:sz w:val="32"/>
          <w:szCs w:val="32"/>
          <w:highlight w:val="none"/>
        </w:rPr>
        <w:t>（五）严格落实环境管理要求</w:t>
      </w:r>
      <w:r>
        <w:rPr>
          <w:rFonts w:hint="eastAsia" w:ascii="国标仿宋-GB/T 2312" w:hAnsi="国标仿宋-GB/T 2312" w:eastAsia="国标仿宋-GB/T 2312" w:cs="国标仿宋-GB/T 2312"/>
          <w:b w:val="0"/>
          <w:bCs w:val="0"/>
          <w:color w:val="auto"/>
          <w:sz w:val="32"/>
          <w:szCs w:val="32"/>
          <w:highlight w:val="none"/>
          <w:lang w:eastAsia="zh-CN"/>
        </w:rPr>
        <w:t>。</w:t>
      </w:r>
      <w:r>
        <w:rPr>
          <w:rFonts w:hint="eastAsia" w:ascii="国标仿宋-GB/T 2312" w:hAnsi="国标仿宋-GB/T 2312" w:eastAsia="国标仿宋-GB/T 2312" w:cs="国标仿宋-GB/T 2312"/>
          <w:b w:val="0"/>
          <w:bCs w:val="0"/>
          <w:color w:val="auto"/>
          <w:sz w:val="32"/>
          <w:szCs w:val="32"/>
          <w:highlight w:val="none"/>
        </w:rPr>
        <w:t>明确</w:t>
      </w:r>
      <w:r>
        <w:rPr>
          <w:rFonts w:hint="eastAsia" w:ascii="国标仿宋-GB/T 2312" w:hAnsi="国标仿宋-GB/T 2312" w:eastAsia="国标仿宋-GB/T 2312" w:cs="国标仿宋-GB/T 2312"/>
          <w:b w:val="0"/>
          <w:bCs w:val="0"/>
          <w:color w:val="auto"/>
          <w:sz w:val="32"/>
          <w:szCs w:val="32"/>
          <w:highlight w:val="none"/>
          <w:lang w:eastAsia="zh-CN"/>
        </w:rPr>
        <w:t>环保</w:t>
      </w:r>
      <w:r>
        <w:rPr>
          <w:rFonts w:hint="eastAsia" w:ascii="国标仿宋-GB/T 2312" w:hAnsi="国标仿宋-GB/T 2312" w:eastAsia="国标仿宋-GB/T 2312" w:cs="国标仿宋-GB/T 2312"/>
          <w:b w:val="0"/>
          <w:bCs w:val="0"/>
          <w:color w:val="auto"/>
          <w:sz w:val="32"/>
          <w:szCs w:val="32"/>
          <w:highlight w:val="none"/>
        </w:rPr>
        <w:t>机构、人员、职责和制度，确保环保设施运行稳定、所有外排污染物长期稳定达标排放</w:t>
      </w:r>
      <w:r>
        <w:rPr>
          <w:rFonts w:hint="eastAsia" w:ascii="国标仿宋-GB/T 2312" w:hAnsi="国标仿宋-GB/T 2312" w:eastAsia="国标仿宋-GB/T 2312" w:cs="国标仿宋-GB/T 2312"/>
          <w:b w:val="0"/>
          <w:bCs w:val="0"/>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三、环境影响报告</w:t>
      </w:r>
      <w:r>
        <w:rPr>
          <w:rFonts w:hint="eastAsia" w:ascii="仿宋_GB2312" w:hAnsi="仿宋_GB2312" w:eastAsia="仿宋_GB2312" w:cs="仿宋_GB2312"/>
          <w:b w:val="0"/>
          <w:bCs/>
          <w:sz w:val="32"/>
          <w:szCs w:val="32"/>
          <w:highlight w:val="none"/>
          <w:lang w:eastAsia="zh-CN"/>
        </w:rPr>
        <w:t>表</w:t>
      </w:r>
      <w:r>
        <w:rPr>
          <w:rFonts w:hint="eastAsia" w:ascii="仿宋_GB2312" w:hAnsi="仿宋_GB2312" w:eastAsia="仿宋_GB2312" w:cs="仿宋_GB2312"/>
          <w:b w:val="0"/>
          <w:bCs/>
          <w:sz w:val="32"/>
          <w:szCs w:val="32"/>
          <w:highlight w:val="none"/>
        </w:rPr>
        <w:t>经批准后，建设项目的性质、规模、地点、采用的生产工艺或者防治污染、防止生态破坏的措施发生重大变动的，建设单位应当重新报批建设项目的环境影响评价文件。</w:t>
      </w:r>
      <w:r>
        <w:rPr>
          <w:rFonts w:hint="eastAsia" w:ascii="仿宋_GB2312" w:hAnsi="仿宋_GB2312" w:eastAsia="仿宋_GB2312" w:cs="仿宋_GB2312"/>
          <w:b w:val="0"/>
          <w:bCs/>
          <w:sz w:val="32"/>
          <w:szCs w:val="32"/>
          <w:highlight w:val="none"/>
          <w:lang w:val="en-US" w:eastAsia="zh-CN"/>
        </w:rPr>
        <w:t>企业的排污许可按登记管理执行，</w:t>
      </w:r>
      <w:r>
        <w:rPr>
          <w:rFonts w:hint="eastAsia" w:ascii="仿宋_GB2312" w:hAnsi="仿宋_GB2312" w:eastAsia="仿宋_GB2312" w:cs="仿宋_GB2312"/>
          <w:b w:val="0"/>
          <w:bCs/>
          <w:sz w:val="32"/>
          <w:szCs w:val="32"/>
          <w:highlight w:val="none"/>
          <w:lang w:eastAsia="zh-CN"/>
        </w:rPr>
        <w:t>同时建设单位要按规定程序进行环保“三同时”验收，相关信息按规定自行发布。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pacing w:val="-1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976" w:firstLineChars="1800"/>
        <w:textAlignment w:val="auto"/>
        <w:rPr>
          <w:rFonts w:hint="eastAsia" w:ascii="仿宋_GB2312" w:hAnsi="仿宋_GB2312" w:eastAsia="仿宋_GB2312" w:cs="仿宋_GB2312"/>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常德</w:t>
      </w:r>
      <w:r>
        <w:rPr>
          <w:rFonts w:hint="eastAsia" w:ascii="仿宋_GB2312" w:hAnsi="仿宋_GB2312" w:eastAsia="仿宋_GB2312" w:cs="仿宋_GB2312"/>
          <w:color w:val="auto"/>
          <w:spacing w:val="0"/>
          <w:sz w:val="32"/>
          <w:szCs w:val="32"/>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highlight w:val="none"/>
          <w:lang w:eastAsia="zh-CN"/>
        </w:rPr>
      </w:pPr>
      <w:r>
        <w:rPr>
          <w:rFonts w:hint="eastAsia" w:ascii="仿宋_GB2312" w:hAnsi="仿宋_GB2312" w:eastAsia="仿宋_GB2312" w:cs="仿宋_GB2312"/>
          <w:color w:val="auto"/>
          <w:sz w:val="32"/>
          <w:szCs w:val="32"/>
          <w:highlight w:val="none"/>
          <w:lang w:eastAsia="zh-CN"/>
        </w:rPr>
        <w:t>　　　　　　　　　　　　　　　　　　</w:t>
      </w:r>
      <w:r>
        <w:rPr>
          <w:rFonts w:hint="eastAsia" w:ascii="仿宋_GB2312" w:hAnsi="仿宋_GB2312" w:eastAsia="仿宋_GB2312" w:cs="仿宋_GB2312"/>
          <w:color w:val="auto"/>
          <w:spacing w:val="0"/>
          <w:sz w:val="32"/>
          <w:szCs w:val="32"/>
          <w:highlight w:val="none"/>
        </w:rPr>
        <w:t>20</w:t>
      </w:r>
      <w:r>
        <w:rPr>
          <w:rFonts w:hint="eastAsia" w:ascii="仿宋_GB2312" w:hAnsi="仿宋_GB2312" w:eastAsia="仿宋_GB2312" w:cs="仿宋_GB2312"/>
          <w:color w:val="auto"/>
          <w:spacing w:val="0"/>
          <w:sz w:val="32"/>
          <w:szCs w:val="32"/>
          <w:highlight w:val="none"/>
          <w:lang w:val="en-US" w:eastAsia="zh-CN"/>
        </w:rPr>
        <w:t>25</w:t>
      </w:r>
      <w:r>
        <w:rPr>
          <w:rFonts w:hint="eastAsia"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val="en-US" w:eastAsia="zh-CN"/>
        </w:rPr>
        <w:t>11</w:t>
      </w:r>
      <w:r>
        <w:rPr>
          <w:rFonts w:hint="eastAsia" w:ascii="仿宋_GB2312" w:hAnsi="仿宋_GB2312" w:eastAsia="仿宋_GB2312" w:cs="仿宋_GB2312"/>
          <w:color w:val="auto"/>
          <w:spacing w:val="0"/>
          <w:sz w:val="32"/>
          <w:szCs w:val="32"/>
          <w:highlight w:val="none"/>
        </w:rPr>
        <w:t>月</w:t>
      </w:r>
      <w:r>
        <w:rPr>
          <w:rFonts w:hint="eastAsia" w:ascii="仿宋_GB2312" w:hAnsi="仿宋_GB2312" w:eastAsia="仿宋_GB2312" w:cs="仿宋_GB2312"/>
          <w:color w:val="auto"/>
          <w:spacing w:val="0"/>
          <w:sz w:val="32"/>
          <w:szCs w:val="32"/>
          <w:highlight w:val="none"/>
          <w:lang w:val="en-US" w:eastAsia="zh-CN"/>
        </w:rPr>
        <w:t>16</w:t>
      </w:r>
      <w:r>
        <w:rPr>
          <w:rFonts w:hint="eastAsia" w:ascii="仿宋_GB2312" w:hAnsi="仿宋_GB2312" w:eastAsia="仿宋_GB2312" w:cs="仿宋_GB2312"/>
          <w:color w:val="auto"/>
          <w:spacing w:val="0"/>
          <w:sz w:val="32"/>
          <w:szCs w:val="32"/>
          <w:highlight w:val="none"/>
        </w:rPr>
        <w:t>日</w:t>
      </w:r>
    </w:p>
    <w:p>
      <w:pPr>
        <w:keepNext w:val="0"/>
        <w:keepLines w:val="0"/>
        <w:pageBreakBefore w:val="0"/>
        <w:kinsoku/>
        <w:wordWrap/>
        <w:overflowPunct/>
        <w:topLinePunct w:val="0"/>
        <w:autoSpaceDE/>
        <w:autoSpaceDN/>
        <w:bidi w:val="0"/>
        <w:spacing w:line="560" w:lineRule="exact"/>
        <w:rPr>
          <w:color w:val="auto"/>
        </w:rPr>
      </w:pPr>
    </w:p>
    <w:p>
      <w:pPr>
        <w:keepNext w:val="0"/>
        <w:keepLines w:val="0"/>
        <w:pageBreakBefore w:val="0"/>
        <w:kinsoku/>
        <w:wordWrap/>
        <w:overflowPunct/>
        <w:topLinePunct w:val="0"/>
        <w:autoSpaceDE/>
        <w:autoSpaceDN/>
        <w:bidi w:val="0"/>
        <w:spacing w:line="560" w:lineRule="exact"/>
      </w:pP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60CBF"/>
    <w:multiLevelType w:val="singleLevel"/>
    <w:tmpl w:val="6FF60C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2EyYTg2YWM5Yzg5ODBiZTE2MDk5NTM1M2ZkODMifQ=="/>
  </w:docVars>
  <w:rsids>
    <w:rsidRoot w:val="00000000"/>
    <w:rsid w:val="08F65DB0"/>
    <w:rsid w:val="0E3B36AA"/>
    <w:rsid w:val="17E56B23"/>
    <w:rsid w:val="2398041B"/>
    <w:rsid w:val="249279A7"/>
    <w:rsid w:val="37FFC6B6"/>
    <w:rsid w:val="3B63378C"/>
    <w:rsid w:val="3F6F162A"/>
    <w:rsid w:val="464F23EA"/>
    <w:rsid w:val="4BEB4C52"/>
    <w:rsid w:val="4FAF1182"/>
    <w:rsid w:val="57EE1B51"/>
    <w:rsid w:val="5DFD6B7D"/>
    <w:rsid w:val="6FF64DA3"/>
    <w:rsid w:val="72584407"/>
    <w:rsid w:val="767E7EAA"/>
    <w:rsid w:val="77EF00CA"/>
    <w:rsid w:val="7C7FDE7D"/>
    <w:rsid w:val="7DFFCA17"/>
    <w:rsid w:val="7F9F438C"/>
    <w:rsid w:val="7FE791EB"/>
    <w:rsid w:val="A3FB3B42"/>
    <w:rsid w:val="AC8B868E"/>
    <w:rsid w:val="BBFF1C0F"/>
    <w:rsid w:val="BDDD8201"/>
    <w:rsid w:val="BF2FB6ED"/>
    <w:rsid w:val="BFDD7ACA"/>
    <w:rsid w:val="CA76789C"/>
    <w:rsid w:val="DF7BC3CA"/>
    <w:rsid w:val="DFF62F7A"/>
    <w:rsid w:val="E1FFE5AA"/>
    <w:rsid w:val="EF961598"/>
    <w:rsid w:val="F21DEE76"/>
    <w:rsid w:val="F2F3A353"/>
    <w:rsid w:val="F5AE9400"/>
    <w:rsid w:val="F7FFCB06"/>
    <w:rsid w:val="FE3DB76D"/>
    <w:rsid w:val="FF9EEA70"/>
    <w:rsid w:val="FFBFA3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4"/>
    <w:qFormat/>
    <w:uiPriority w:val="0"/>
    <w:pPr>
      <w:spacing w:after="120"/>
    </w:p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First Indent"/>
    <w:basedOn w:val="3"/>
    <w:next w:val="1"/>
    <w:qFormat/>
    <w:uiPriority w:val="0"/>
    <w:pPr>
      <w:ind w:firstLine="420" w:firstLineChars="100"/>
    </w:pPr>
  </w:style>
  <w:style w:type="paragraph" w:customStyle="1" w:styleId="8">
    <w:name w:val="正文1"/>
    <w:qFormat/>
    <w:uiPriority w:val="0"/>
    <w:pPr>
      <w:widowControl w:val="0"/>
      <w:tabs>
        <w:tab w:val="left" w:pos="22680"/>
      </w:tabs>
      <w:spacing w:line="360" w:lineRule="auto"/>
      <w:ind w:firstLine="602" w:firstLineChars="200"/>
    </w:pPr>
    <w:rPr>
      <w:rFonts w:ascii="宋体" w:hAnsi="宋体" w:eastAsia="宋体" w:cs="Times New Roman"/>
      <w:kern w:val="2"/>
      <w:sz w:val="24"/>
      <w:lang w:val="en-US" w:eastAsia="zh-CN" w:bidi="ar-SA"/>
    </w:rPr>
  </w:style>
  <w:style w:type="paragraph" w:customStyle="1" w:styleId="9">
    <w:name w:val="表（周）"/>
    <w:basedOn w:val="10"/>
    <w:qFormat/>
    <w:uiPriority w:val="0"/>
    <w:pPr>
      <w:tabs>
        <w:tab w:val="left" w:pos="1068"/>
      </w:tabs>
      <w:autoSpaceDE/>
      <w:autoSpaceDN/>
      <w:spacing w:beforeLines="0" w:line="240" w:lineRule="auto"/>
      <w:ind w:firstLine="0" w:firstLineChars="0"/>
      <w:jc w:val="center"/>
    </w:pPr>
    <w:rPr>
      <w:rFonts w:ascii="Times New Roman" w:hAnsi="Times New Roman" w:eastAsia="宋体"/>
      <w:bCs/>
      <w:color w:val="0C0C0C"/>
      <w:kern w:val="0"/>
      <w:sz w:val="21"/>
      <w:szCs w:val="21"/>
    </w:rPr>
  </w:style>
  <w:style w:type="paragraph" w:customStyle="1" w:styleId="10">
    <w:name w:val="正文文字标准"/>
    <w:basedOn w:val="5"/>
    <w:qFormat/>
    <w:uiPriority w:val="0"/>
    <w:pPr>
      <w:snapToGrid/>
      <w:spacing w:after="0" w:line="480" w:lineRule="exact"/>
      <w:ind w:firstLine="200" w:firstLineChars="200"/>
      <w:textAlignment w:val="baseline"/>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1330</Words>
  <Characters>1458</Characters>
  <Lines>0</Lines>
  <Paragraphs>0</Paragraphs>
  <TotalTime>50</TotalTime>
  <ScaleCrop>false</ScaleCrop>
  <LinksUpToDate>false</LinksUpToDate>
  <CharactersWithSpaces>1460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2025-08-13T02:43:00Z</dcterms:created>
  <dc:creator>17435</dc:creator>
  <cp:lastModifiedBy>快乐无忧</cp:lastModifiedBy>
  <dcterms:modified xsi:type="dcterms:W3CDTF">2025-12-16T06:49:23Z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eyJoZGlkIjoiZmNkZTMwOTk5NDUwNGE5ZDdmYmQyM2NkZTVkMzNiNzYiLCJ1c2VySWQiOiI1MzMzNjQ1OTIifQ==</vt:lpwstr>
  </property>
  <property fmtid="{D5CDD505-2E9C-101B-9397-08002B2CF9AE}" pid="4" name="ICV">
    <vt:lpwstr>A62E10CEA77747FEA6BA49D2091046AF_13</vt:lpwstr>
  </property>
</Properties>
</file>