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仿宋_GB2312" w:eastAsia="仿宋_GB2312"/>
          <w:color w:val="auto"/>
          <w:sz w:val="32"/>
          <w:szCs w:val="32"/>
          <w:highlight w:val="yellow"/>
          <w:lang w:val="en-US" w:eastAsia="zh-CN"/>
        </w:rPr>
      </w:pPr>
      <w:r>
        <w:rPr>
          <w:rFonts w:hint="eastAsia" w:ascii="仿宋_GB2312" w:eastAsia="仿宋_GB2312"/>
          <w:color w:val="auto"/>
          <w:sz w:val="32"/>
          <w:szCs w:val="32"/>
          <w:highlight w:val="none"/>
          <w:lang w:val="en-US" w:eastAsia="zh-CN"/>
        </w:rPr>
        <w:t>常</w:t>
      </w:r>
      <w:r>
        <w:rPr>
          <w:rFonts w:hint="eastAsia" w:ascii="仿宋_GB2312" w:eastAsia="仿宋_GB2312"/>
          <w:color w:val="auto"/>
          <w:sz w:val="32"/>
          <w:szCs w:val="32"/>
          <w:highlight w:val="none"/>
        </w:rPr>
        <w:t>环</w:t>
      </w:r>
      <w:r>
        <w:rPr>
          <w:rFonts w:hint="eastAsia" w:ascii="仿宋_GB2312" w:eastAsia="仿宋_GB2312"/>
          <w:color w:val="auto"/>
          <w:sz w:val="32"/>
          <w:szCs w:val="32"/>
          <w:highlight w:val="none"/>
          <w:lang w:eastAsia="zh-CN"/>
        </w:rPr>
        <w:t>经</w:t>
      </w:r>
      <w:r>
        <w:rPr>
          <w:rFonts w:hint="eastAsia" w:ascii="仿宋_GB2312" w:eastAsia="仿宋_GB2312"/>
          <w:color w:val="auto"/>
          <w:sz w:val="32"/>
          <w:szCs w:val="32"/>
          <w:highlight w:val="none"/>
        </w:rPr>
        <w:t>建</w:t>
      </w:r>
      <w:r>
        <w:rPr>
          <w:rFonts w:hint="eastAsia" w:ascii="仿宋_GB2312" w:hAnsi="Times New Roman" w:eastAsia="仿宋_GB2312" w:cs="仿宋_GB2312"/>
          <w:color w:val="auto"/>
          <w:sz w:val="32"/>
          <w:szCs w:val="32"/>
          <w:highlight w:val="none"/>
        </w:rPr>
        <w:t>〔</w:t>
      </w:r>
      <w:r>
        <w:rPr>
          <w:rFonts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16</w:t>
      </w:r>
      <w:r>
        <w:rPr>
          <w:rFonts w:hint="eastAsia" w:ascii="仿宋_GB2312" w:eastAsia="仿宋_GB2312"/>
          <w:color w:val="auto"/>
          <w:sz w:val="32"/>
          <w:szCs w:val="32"/>
          <w:highlight w:val="none"/>
        </w:rPr>
        <w:t>号</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spacing w:line="600" w:lineRule="exact"/>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lang w:val="en-US" w:eastAsia="zh-CN"/>
        </w:rPr>
        <w:t xml:space="preserve"> 常德市</w:t>
      </w:r>
      <w:r>
        <w:rPr>
          <w:rFonts w:hint="eastAsia" w:ascii="方正小标宋简体" w:hAnsi="宋体" w:eastAsia="方正小标宋简体"/>
          <w:sz w:val="44"/>
          <w:szCs w:val="44"/>
          <w:highlight w:val="none"/>
        </w:rPr>
        <w:t>生态环境局</w:t>
      </w:r>
    </w:p>
    <w:p>
      <w:pPr>
        <w:spacing w:line="600" w:lineRule="exact"/>
        <w:jc w:val="left"/>
        <w:rPr>
          <w:rFonts w:hint="eastAsia" w:ascii="方正小标宋简体" w:hAnsi="宋体" w:eastAsia="方正小标宋简体" w:cs="Times New Roman"/>
          <w:spacing w:val="-11"/>
          <w:sz w:val="44"/>
          <w:szCs w:val="44"/>
          <w:highlight w:val="none"/>
          <w:lang w:val="en-US" w:eastAsia="zh-CN"/>
        </w:rPr>
      </w:pPr>
      <w:r>
        <w:rPr>
          <w:rFonts w:hint="eastAsia" w:ascii="方正小标宋简体" w:hAnsi="宋体" w:eastAsia="方正小标宋简体" w:cs="Times New Roman"/>
          <w:sz w:val="44"/>
          <w:szCs w:val="44"/>
          <w:highlight w:val="none"/>
          <w:lang w:val="en-US" w:eastAsia="zh-CN"/>
        </w:rPr>
        <w:t>关于</w:t>
      </w:r>
      <w:bookmarkStart w:id="0" w:name="_GoBack"/>
      <w:r>
        <w:rPr>
          <w:rFonts w:hint="eastAsia" w:ascii="方正小标宋简体" w:hAnsi="宋体" w:eastAsia="方正小标宋简体" w:cs="Times New Roman"/>
          <w:sz w:val="44"/>
          <w:szCs w:val="44"/>
          <w:highlight w:val="none"/>
          <w:lang w:val="en-US" w:eastAsia="zh-CN"/>
        </w:rPr>
        <w:t>湖南和盛常润新材料科技有限公司水性油</w:t>
      </w:r>
      <w:r>
        <w:rPr>
          <w:rFonts w:hint="eastAsia" w:ascii="方正小标宋简体" w:hAnsi="宋体" w:eastAsia="方正小标宋简体" w:cs="Times New Roman"/>
          <w:spacing w:val="-11"/>
          <w:sz w:val="44"/>
          <w:szCs w:val="44"/>
          <w:highlight w:val="none"/>
          <w:lang w:val="en-US" w:eastAsia="zh-CN"/>
        </w:rPr>
        <w:t>墨及其附属产品建设项目环境影响报告表的批复</w:t>
      </w:r>
    </w:p>
    <w:bookmarkEnd w:id="0"/>
    <w:p>
      <w:pPr>
        <w:spacing w:line="600" w:lineRule="exact"/>
        <w:jc w:val="center"/>
        <w:rPr>
          <w:rFonts w:hint="eastAsia" w:ascii="方正小标宋简体" w:hAnsi="宋体" w:eastAsia="方正小标宋简体" w:cs="Times New Roman"/>
          <w:spacing w:val="20"/>
          <w:sz w:val="44"/>
          <w:szCs w:val="44"/>
          <w:highlight w:val="none"/>
          <w:lang w:val="en-US" w:eastAsia="zh-CN"/>
        </w:rPr>
      </w:pPr>
    </w:p>
    <w:p>
      <w:pPr>
        <w:pStyle w:val="2"/>
        <w:ind w:left="0" w:leftChars="0" w:firstLine="0" w:firstLineChars="0"/>
        <w:rPr>
          <w:rFonts w:hint="eastAsia"/>
          <w:lang w:val="en-US" w:eastAsia="zh-CN"/>
        </w:rPr>
      </w:pPr>
    </w:p>
    <w:p>
      <w:pPr>
        <w:pageBreakBefore w:val="0"/>
        <w:kinsoku/>
        <w:wordWrap/>
        <w:overflowPunct/>
        <w:topLinePunct w:val="0"/>
        <w:autoSpaceDE/>
        <w:autoSpaceDN/>
        <w:bidi w:val="0"/>
        <w:adjustRightInd/>
        <w:snapToGrid/>
        <w:spacing w:line="560" w:lineRule="exact"/>
        <w:textAlignment w:val="auto"/>
        <w:rPr>
          <w:rFonts w:hint="eastAsia" w:ascii="国标仿宋-GB/T 2312" w:hAnsi="国标仿宋-GB/T 2312" w:eastAsia="国标仿宋-GB/T 2312" w:cs="国标仿宋-GB/T 2312"/>
          <w:sz w:val="32"/>
          <w:szCs w:val="32"/>
          <w:highlight w:val="none"/>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国标仿宋-GB/T 2312" w:hAnsi="国标仿宋-GB/T 2312" w:eastAsia="国标仿宋-GB/T 2312" w:cs="国标仿宋-GB/T 2312"/>
          <w:sz w:val="32"/>
          <w:szCs w:val="32"/>
          <w:highlight w:val="none"/>
          <w:lang w:val="en-US" w:eastAsia="zh-CN"/>
        </w:rPr>
      </w:pPr>
      <w:r>
        <w:rPr>
          <w:rFonts w:hint="eastAsia" w:ascii="国标仿宋-GB/T 2312" w:hAnsi="国标仿宋-GB/T 2312" w:eastAsia="国标仿宋-GB/T 2312" w:cs="国标仿宋-GB/T 2312"/>
          <w:sz w:val="32"/>
          <w:szCs w:val="32"/>
          <w:highlight w:val="none"/>
          <w:lang w:val="en-US" w:eastAsia="zh-CN"/>
        </w:rPr>
        <w:t>湖南和盛常润新材料科技有限公司：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sz w:val="32"/>
          <w:szCs w:val="32"/>
          <w:highlight w:val="none"/>
          <w:lang w:val="en-US" w:eastAsia="zh-CN"/>
        </w:rPr>
      </w:pPr>
      <w:r>
        <w:rPr>
          <w:rFonts w:hint="eastAsia" w:ascii="国标仿宋-GB/T 2312" w:hAnsi="国标仿宋-GB/T 2312" w:eastAsia="国标仿宋-GB/T 2312" w:cs="国标仿宋-GB/T 2312"/>
          <w:sz w:val="32"/>
          <w:szCs w:val="32"/>
          <w:highlight w:val="none"/>
          <w:lang w:val="en-US" w:eastAsia="zh-CN"/>
        </w:rPr>
        <w:t>你公司《水性油墨及其附属产品建设项目环境影响报告表》（以下简称“报告表”）及相关附件收悉，根据环评报告结论、专家审查意见，经研究，批复如下：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567" w:firstLineChars="0"/>
        <w:jc w:val="both"/>
        <w:textAlignment w:val="auto"/>
        <w:outlineLvl w:val="9"/>
        <w:rPr>
          <w:rFonts w:hint="eastAsia" w:ascii="国标仿宋-GB/T 2312" w:hAnsi="国标仿宋-GB/T 2312" w:eastAsia="国标仿宋-GB/T 2312" w:cs="国标仿宋-GB/T 2312"/>
          <w:b w:val="0"/>
          <w:bCs w:val="0"/>
          <w:color w:val="auto"/>
          <w:sz w:val="32"/>
          <w:szCs w:val="32"/>
          <w:highlight w:val="none"/>
        </w:rPr>
      </w:pPr>
      <w:r>
        <w:rPr>
          <w:rFonts w:hint="eastAsia" w:ascii="仿宋" w:hAnsi="仿宋" w:eastAsia="仿宋" w:cs="Times New Roman"/>
          <w:color w:val="auto"/>
          <w:sz w:val="32"/>
          <w:szCs w:val="32"/>
          <w:highlight w:val="none"/>
          <w:lang w:val="en-US" w:eastAsia="zh-CN"/>
        </w:rPr>
        <w:t>水性油墨及其附属产品建设项目位于湖南省常德经济技术开发区龙潭庵社区中车路以南、长安路以西，总用地面积3100m</w:t>
      </w:r>
      <w:r>
        <w:rPr>
          <w:rFonts w:hint="eastAsia" w:ascii="仿宋" w:hAnsi="仿宋" w:eastAsia="仿宋" w:cs="Times New Roman"/>
          <w:color w:val="auto"/>
          <w:sz w:val="32"/>
          <w:szCs w:val="32"/>
          <w:highlight w:val="none"/>
          <w:vertAlign w:val="superscript"/>
          <w:lang w:val="en-US" w:eastAsia="zh-CN"/>
        </w:rPr>
        <w:t>2</w:t>
      </w:r>
      <w:r>
        <w:rPr>
          <w:rFonts w:hint="eastAsia" w:ascii="仿宋" w:hAnsi="仿宋" w:eastAsia="仿宋" w:cs="Times New Roman"/>
          <w:color w:val="auto"/>
          <w:sz w:val="32"/>
          <w:szCs w:val="32"/>
          <w:highlight w:val="none"/>
          <w:lang w:val="en-US" w:eastAsia="zh-CN"/>
        </w:rPr>
        <w:t>，建设水性油墨生产线1条。本项目主要从事水性油墨及其附属产品的制造，年产量约800吨。项目总投资500万元，其中环保投资5万元。根据</w:t>
      </w:r>
      <w:r>
        <w:rPr>
          <w:rFonts w:hint="eastAsia" w:ascii="仿宋" w:hAnsi="仿宋" w:eastAsia="仿宋" w:cs="Times New Roman"/>
          <w:color w:val="000000"/>
          <w:sz w:val="32"/>
          <w:szCs w:val="32"/>
          <w:highlight w:val="none"/>
          <w:u w:val="none"/>
          <w:lang w:val="en-US" w:eastAsia="zh-CN"/>
        </w:rPr>
        <w:t>报告表分析结论，在建设</w:t>
      </w:r>
      <w:r>
        <w:rPr>
          <w:rFonts w:hint="eastAsia" w:ascii="仿宋" w:hAnsi="仿宋" w:eastAsia="仿宋" w:cs="Times New Roman"/>
          <w:color w:val="auto"/>
          <w:sz w:val="32"/>
          <w:szCs w:val="32"/>
          <w:highlight w:val="none"/>
          <w:lang w:val="en-US" w:eastAsia="zh-CN"/>
        </w:rPr>
        <w:t>单位认真落实各项污染防治措施，外排污染物实现长期稳定达标排放的情况下，从环境保护的角度分析，</w:t>
      </w:r>
      <w:r>
        <w:rPr>
          <w:rFonts w:hint="eastAsia" w:ascii="国标仿宋-GB/T 2312" w:hAnsi="国标仿宋-GB/T 2312" w:eastAsia="国标仿宋-GB/T 2312" w:cs="国标仿宋-GB/T 2312"/>
          <w:b w:val="0"/>
          <w:bCs w:val="0"/>
          <w:color w:val="auto"/>
          <w:sz w:val="32"/>
          <w:szCs w:val="32"/>
          <w:highlight w:val="none"/>
        </w:rPr>
        <w:t>我局原则</w:t>
      </w:r>
      <w:r>
        <w:rPr>
          <w:rFonts w:hint="eastAsia" w:ascii="国标仿宋-GB/T 2312" w:hAnsi="国标仿宋-GB/T 2312" w:eastAsia="国标仿宋-GB/T 2312" w:cs="国标仿宋-GB/T 2312"/>
          <w:b w:val="0"/>
          <w:bCs w:val="0"/>
          <w:color w:val="auto"/>
          <w:sz w:val="32"/>
          <w:szCs w:val="32"/>
          <w:highlight w:val="none"/>
          <w:lang w:eastAsia="zh-CN"/>
        </w:rPr>
        <w:t>上</w:t>
      </w:r>
      <w:r>
        <w:rPr>
          <w:rFonts w:hint="eastAsia" w:ascii="国标仿宋-GB/T 2312" w:hAnsi="国标仿宋-GB/T 2312" w:eastAsia="国标仿宋-GB/T 2312" w:cs="国标仿宋-GB/T 2312"/>
          <w:b w:val="0"/>
          <w:bCs w:val="0"/>
          <w:color w:val="auto"/>
          <w:sz w:val="32"/>
          <w:szCs w:val="32"/>
          <w:highlight w:val="none"/>
          <w:lang w:val="en-US" w:eastAsia="zh-CN"/>
        </w:rPr>
        <w:t>同意该项目建设。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color w:val="auto"/>
          <w:sz w:val="32"/>
          <w:szCs w:val="32"/>
          <w:highlight w:val="none"/>
        </w:rPr>
      </w:pPr>
      <w:r>
        <w:rPr>
          <w:rFonts w:hint="eastAsia" w:ascii="国标仿宋-GB/T 2312" w:hAnsi="国标仿宋-GB/T 2312" w:eastAsia="国标仿宋-GB/T 2312" w:cs="国标仿宋-GB/T 2312"/>
          <w:color w:val="auto"/>
          <w:sz w:val="32"/>
          <w:szCs w:val="32"/>
          <w:highlight w:val="none"/>
        </w:rPr>
        <w:t>二、你单位在</w:t>
      </w:r>
      <w:r>
        <w:rPr>
          <w:rFonts w:hint="eastAsia" w:ascii="国标仿宋-GB/T 2312" w:hAnsi="国标仿宋-GB/T 2312" w:eastAsia="国标仿宋-GB/T 2312" w:cs="国标仿宋-GB/T 2312"/>
          <w:color w:val="auto"/>
          <w:sz w:val="32"/>
          <w:szCs w:val="32"/>
          <w:highlight w:val="none"/>
          <w:lang w:eastAsia="zh-CN"/>
        </w:rPr>
        <w:t>项目</w:t>
      </w:r>
      <w:r>
        <w:rPr>
          <w:rFonts w:hint="eastAsia" w:ascii="国标仿宋-GB/T 2312" w:hAnsi="国标仿宋-GB/T 2312" w:eastAsia="国标仿宋-GB/T 2312" w:cs="国标仿宋-GB/T 2312"/>
          <w:color w:val="auto"/>
          <w:sz w:val="32"/>
          <w:szCs w:val="32"/>
          <w:highlight w:val="none"/>
        </w:rPr>
        <w:t>设计、建设和运行管理中，须全面落实</w:t>
      </w:r>
      <w:r>
        <w:rPr>
          <w:rFonts w:hint="eastAsia" w:ascii="国标仿宋-GB/T 2312" w:hAnsi="国标仿宋-GB/T 2312" w:eastAsia="国标仿宋-GB/T 2312" w:cs="国标仿宋-GB/T 2312"/>
          <w:color w:val="auto"/>
          <w:sz w:val="32"/>
          <w:szCs w:val="32"/>
          <w:highlight w:val="none"/>
          <w:lang w:eastAsia="zh-CN"/>
        </w:rPr>
        <w:t>报告表</w:t>
      </w:r>
      <w:r>
        <w:rPr>
          <w:rFonts w:hint="eastAsia" w:ascii="国标仿宋-GB/T 2312" w:hAnsi="国标仿宋-GB/T 2312" w:eastAsia="国标仿宋-GB/T 2312" w:cs="国标仿宋-GB/T 2312"/>
          <w:color w:val="auto"/>
          <w:sz w:val="32"/>
          <w:szCs w:val="32"/>
          <w:highlight w:val="none"/>
        </w:rPr>
        <w:t>中提出的各项污染防治措施</w:t>
      </w:r>
      <w:r>
        <w:rPr>
          <w:rFonts w:hint="eastAsia" w:ascii="国标仿宋-GB/T 2312" w:hAnsi="国标仿宋-GB/T 2312" w:eastAsia="国标仿宋-GB/T 2312" w:cs="国标仿宋-GB/T 2312"/>
          <w:color w:val="auto"/>
          <w:sz w:val="32"/>
          <w:szCs w:val="32"/>
          <w:highlight w:val="none"/>
          <w:lang w:val="en-US" w:eastAsia="zh-CN"/>
        </w:rPr>
        <w:t>和环境管理要求</w:t>
      </w:r>
      <w:r>
        <w:rPr>
          <w:rFonts w:hint="eastAsia" w:ascii="国标仿宋-GB/T 2312" w:hAnsi="国标仿宋-GB/T 2312" w:eastAsia="国标仿宋-GB/T 2312" w:cs="国标仿宋-GB/T 2312"/>
          <w:color w:val="auto"/>
          <w:sz w:val="32"/>
          <w:szCs w:val="32"/>
          <w:highlight w:val="none"/>
        </w:rPr>
        <w:t>，并着重做好以下工作：</w:t>
      </w:r>
    </w:p>
    <w:p>
      <w:pPr>
        <w:keepNext w:val="0"/>
        <w:keepLines w:val="0"/>
        <w:widowControl/>
        <w:suppressLineNumbers w:val="0"/>
        <w:ind w:firstLine="640"/>
        <w:jc w:val="left"/>
        <w:rPr>
          <w:rFonts w:hint="eastAsia" w:ascii="国标仿宋-GB/T 2312" w:hAnsi="国标仿宋-GB/T 2312" w:eastAsia="国标仿宋-GB/T 2312" w:cs="国标仿宋-GB/T 2312"/>
          <w:color w:val="auto"/>
          <w:sz w:val="32"/>
          <w:szCs w:val="32"/>
          <w:highlight w:val="none"/>
          <w:lang w:eastAsia="zh-CN"/>
        </w:rPr>
      </w:pPr>
      <w:r>
        <w:rPr>
          <w:rFonts w:hint="eastAsia" w:ascii="国标仿宋-GB/T 2312" w:hAnsi="国标仿宋-GB/T 2312" w:eastAsia="国标仿宋-GB/T 2312" w:cs="国标仿宋-GB/T 2312"/>
          <w:color w:val="auto"/>
          <w:sz w:val="32"/>
          <w:szCs w:val="32"/>
          <w:highlight w:val="none"/>
        </w:rPr>
        <w:t>（一）严格落实</w:t>
      </w:r>
      <w:r>
        <w:rPr>
          <w:rFonts w:hint="eastAsia" w:ascii="国标仿宋-GB/T 2312" w:hAnsi="国标仿宋-GB/T 2312" w:eastAsia="国标仿宋-GB/T 2312" w:cs="国标仿宋-GB/T 2312"/>
          <w:color w:val="auto"/>
          <w:sz w:val="32"/>
          <w:szCs w:val="32"/>
          <w:highlight w:val="none"/>
          <w:lang w:eastAsia="zh-CN"/>
        </w:rPr>
        <w:t>废气</w:t>
      </w:r>
      <w:r>
        <w:rPr>
          <w:rFonts w:hint="eastAsia" w:ascii="国标仿宋-GB/T 2312" w:hAnsi="国标仿宋-GB/T 2312" w:eastAsia="国标仿宋-GB/T 2312" w:cs="国标仿宋-GB/T 2312"/>
          <w:color w:val="auto"/>
          <w:sz w:val="32"/>
          <w:szCs w:val="32"/>
          <w:highlight w:val="none"/>
        </w:rPr>
        <w:t>污染防治措施。1台预配釜尾气通过密闭管道收集，2台砂磨分散机、5台搅拌分散机、1台混合调速分散机上方分别设置集气</w:t>
      </w:r>
      <w:r>
        <w:rPr>
          <w:rFonts w:hint="eastAsia" w:ascii="国标仿宋-GB/T 2312" w:hAnsi="国标仿宋-GB/T 2312" w:eastAsia="国标仿宋-GB/T 2312" w:cs="国标仿宋-GB/T 2312"/>
          <w:color w:val="auto"/>
          <w:sz w:val="32"/>
          <w:szCs w:val="32"/>
          <w:highlight w:val="none"/>
          <w:lang w:eastAsia="zh-CN"/>
        </w:rPr>
        <w:t>罩</w:t>
      </w:r>
      <w:r>
        <w:rPr>
          <w:rFonts w:hint="eastAsia" w:ascii="国标仿宋-GB/T 2312" w:hAnsi="国标仿宋-GB/T 2312" w:eastAsia="国标仿宋-GB/T 2312" w:cs="国标仿宋-GB/T 2312"/>
          <w:color w:val="auto"/>
          <w:sz w:val="32"/>
          <w:szCs w:val="32"/>
          <w:highlight w:val="none"/>
        </w:rPr>
        <w:t>(带软帘)</w:t>
      </w:r>
      <w:r>
        <w:rPr>
          <w:rFonts w:hint="eastAsia" w:ascii="国标仿宋-GB/T 2312" w:hAnsi="国标仿宋-GB/T 2312" w:eastAsia="国标仿宋-GB/T 2312" w:cs="国标仿宋-GB/T 2312"/>
          <w:color w:val="auto"/>
          <w:sz w:val="32"/>
          <w:szCs w:val="32"/>
          <w:highlight w:val="none"/>
          <w:lang w:eastAsia="zh-CN"/>
        </w:rPr>
        <w:t>，</w:t>
      </w:r>
      <w:r>
        <w:rPr>
          <w:rFonts w:hint="eastAsia" w:ascii="国标仿宋-GB/T 2312" w:hAnsi="国标仿宋-GB/T 2312" w:eastAsia="国标仿宋-GB/T 2312" w:cs="国标仿宋-GB/T 2312"/>
          <w:color w:val="auto"/>
          <w:sz w:val="32"/>
          <w:szCs w:val="32"/>
          <w:highlight w:val="none"/>
        </w:rPr>
        <w:t>废气经管道收集进入</w:t>
      </w:r>
      <w:r>
        <w:rPr>
          <w:rFonts w:hint="eastAsia" w:ascii="国标仿宋-GB/T 2312" w:hAnsi="国标仿宋-GB/T 2312" w:eastAsia="国标仿宋-GB/T 2312" w:cs="国标仿宋-GB/T 2312"/>
          <w:color w:val="auto"/>
          <w:sz w:val="32"/>
          <w:szCs w:val="32"/>
          <w:highlight w:val="none"/>
          <w:lang w:eastAsia="zh-CN"/>
        </w:rPr>
        <w:t>“</w:t>
      </w:r>
      <w:r>
        <w:rPr>
          <w:rFonts w:hint="eastAsia" w:ascii="国标仿宋-GB/T 2312" w:hAnsi="国标仿宋-GB/T 2312" w:eastAsia="国标仿宋-GB/T 2312" w:cs="国标仿宋-GB/T 2312"/>
          <w:color w:val="auto"/>
          <w:sz w:val="32"/>
          <w:szCs w:val="32"/>
          <w:highlight w:val="none"/>
        </w:rPr>
        <w:t>布袋除尘器+两级活性炭吸附处理装置</w:t>
      </w:r>
      <w:r>
        <w:rPr>
          <w:rFonts w:hint="eastAsia" w:ascii="国标仿宋-GB/T 2312" w:hAnsi="国标仿宋-GB/T 2312" w:eastAsia="国标仿宋-GB/T 2312" w:cs="国标仿宋-GB/T 2312"/>
          <w:color w:val="auto"/>
          <w:sz w:val="32"/>
          <w:szCs w:val="32"/>
          <w:highlight w:val="none"/>
          <w:lang w:eastAsia="zh-CN"/>
        </w:rPr>
        <w:t>”</w:t>
      </w:r>
      <w:r>
        <w:rPr>
          <w:rFonts w:hint="eastAsia" w:ascii="国标仿宋-GB/T 2312" w:hAnsi="国标仿宋-GB/T 2312" w:eastAsia="国标仿宋-GB/T 2312" w:cs="国标仿宋-GB/T 2312"/>
          <w:color w:val="auto"/>
          <w:sz w:val="32"/>
          <w:szCs w:val="32"/>
          <w:highlight w:val="none"/>
        </w:rPr>
        <w:t>，尾气经1根</w:t>
      </w:r>
      <w:r>
        <w:rPr>
          <w:rFonts w:hint="eastAsia" w:ascii="国标仿宋-GB/T 2312" w:hAnsi="国标仿宋-GB/T 2312" w:eastAsia="国标仿宋-GB/T 2312" w:cs="国标仿宋-GB/T 2312"/>
          <w:color w:val="auto"/>
          <w:sz w:val="32"/>
          <w:szCs w:val="32"/>
          <w:highlight w:val="none"/>
          <w:lang w:eastAsia="zh-CN"/>
        </w:rPr>
        <w:t>不低于</w:t>
      </w:r>
      <w:r>
        <w:rPr>
          <w:rFonts w:hint="eastAsia" w:ascii="国标仿宋-GB/T 2312" w:hAnsi="国标仿宋-GB/T 2312" w:eastAsia="国标仿宋-GB/T 2312" w:cs="国标仿宋-GB/T 2312"/>
          <w:color w:val="auto"/>
          <w:sz w:val="32"/>
          <w:szCs w:val="32"/>
          <w:highlight w:val="none"/>
        </w:rPr>
        <w:t>15m排气筒外排</w:t>
      </w:r>
      <w:r>
        <w:rPr>
          <w:rFonts w:hint="eastAsia" w:ascii="国标仿宋-GB/T 2312" w:hAnsi="国标仿宋-GB/T 2312" w:eastAsia="国标仿宋-GB/T 2312" w:cs="国标仿宋-GB/T 2312"/>
          <w:color w:val="auto"/>
          <w:sz w:val="32"/>
          <w:szCs w:val="32"/>
          <w:highlight w:val="none"/>
          <w:lang w:eastAsia="zh-CN"/>
        </w:rPr>
        <w:t>。颗粒物、非甲烷总烃、TVOC 满足《涂料、油墨及胶粘剂工业大气污染物排放标准》GB37824-2019)中表1污染物排放</w:t>
      </w:r>
      <w:r>
        <w:rPr>
          <w:rFonts w:hint="eastAsia" w:ascii="国标仿宋-GB/T 2312" w:hAnsi="国标仿宋-GB/T 2312" w:eastAsia="国标仿宋-GB/T 2312" w:cs="国标仿宋-GB/T 2312"/>
          <w:color w:val="auto"/>
          <w:spacing w:val="-11"/>
          <w:sz w:val="32"/>
          <w:szCs w:val="32"/>
          <w:highlight w:val="none"/>
          <w:lang w:eastAsia="zh-CN"/>
        </w:rPr>
        <w:t>限值；厂界无组织废气满足《大气污染物综合排放标准》(GB16297-1996)</w:t>
      </w:r>
      <w:r>
        <w:rPr>
          <w:rFonts w:hint="eastAsia" w:ascii="国标仿宋-GB/T 2312" w:hAnsi="国标仿宋-GB/T 2312" w:eastAsia="国标仿宋-GB/T 2312" w:cs="国标仿宋-GB/T 2312"/>
          <w:color w:val="auto"/>
          <w:sz w:val="32"/>
          <w:szCs w:val="32"/>
          <w:highlight w:val="none"/>
          <w:lang w:eastAsia="zh-CN"/>
        </w:rPr>
        <w:t>中表2中无组织排放限值。厂区内非甲烷总烃执行《涂料、油墨及胶粘剂工业大气污染物排放标准》(GB 37824-2019)表 B.1厂区内 VOCs 无组织排放限值。</w:t>
      </w:r>
    </w:p>
    <w:p>
      <w:pPr>
        <w:keepNext w:val="0"/>
        <w:keepLines w:val="0"/>
        <w:widowControl/>
        <w:suppressLineNumbers w:val="0"/>
        <w:ind w:firstLine="640"/>
        <w:jc w:val="left"/>
        <w:rPr>
          <w:rFonts w:hint="default" w:ascii="仿宋" w:hAnsi="仿宋" w:eastAsia="仿宋" w:cs="Times New Roman"/>
          <w:bCs w:val="0"/>
          <w:color w:val="auto"/>
          <w:kern w:val="2"/>
          <w:sz w:val="32"/>
          <w:szCs w:val="32"/>
          <w:highlight w:val="none"/>
          <w:lang w:val="en-US" w:eastAsia="zh-CN" w:bidi="ar-SA"/>
        </w:rPr>
      </w:pPr>
      <w:r>
        <w:rPr>
          <w:rFonts w:hint="eastAsia" w:ascii="国标仿宋-GB/T 2312" w:hAnsi="国标仿宋-GB/T 2312" w:eastAsia="国标仿宋-GB/T 2312" w:cs="国标仿宋-GB/T 2312"/>
          <w:b w:val="0"/>
          <w:bCs w:val="0"/>
          <w:color w:val="auto"/>
          <w:sz w:val="32"/>
          <w:szCs w:val="32"/>
          <w:highlight w:val="none"/>
        </w:rPr>
        <w:t>（二）严格落实</w:t>
      </w:r>
      <w:r>
        <w:rPr>
          <w:rFonts w:hint="eastAsia" w:ascii="国标仿宋-GB/T 2312" w:hAnsi="国标仿宋-GB/T 2312" w:eastAsia="国标仿宋-GB/T 2312" w:cs="国标仿宋-GB/T 2312"/>
          <w:b w:val="0"/>
          <w:bCs w:val="0"/>
          <w:color w:val="auto"/>
          <w:sz w:val="32"/>
          <w:szCs w:val="32"/>
          <w:highlight w:val="none"/>
          <w:lang w:eastAsia="zh-CN"/>
        </w:rPr>
        <w:t>废水处理</w:t>
      </w:r>
      <w:r>
        <w:rPr>
          <w:rFonts w:hint="eastAsia" w:ascii="国标仿宋-GB/T 2312" w:hAnsi="国标仿宋-GB/T 2312" w:eastAsia="国标仿宋-GB/T 2312" w:cs="国标仿宋-GB/T 2312"/>
          <w:b w:val="0"/>
          <w:bCs w:val="0"/>
          <w:color w:val="auto"/>
          <w:sz w:val="32"/>
          <w:szCs w:val="32"/>
          <w:highlight w:val="none"/>
        </w:rPr>
        <w:t>措施。</w:t>
      </w:r>
      <w:r>
        <w:rPr>
          <w:rFonts w:hint="default" w:ascii="仿宋" w:hAnsi="仿宋" w:eastAsia="仿宋" w:cs="Times New Roman"/>
          <w:bCs w:val="0"/>
          <w:color w:val="auto"/>
          <w:kern w:val="2"/>
          <w:sz w:val="32"/>
          <w:szCs w:val="32"/>
          <w:highlight w:val="none"/>
          <w:lang w:val="en-US" w:eastAsia="zh-CN" w:bidi="ar-SA"/>
        </w:rPr>
        <w:t>生活废水经化粪池处理</w:t>
      </w:r>
      <w:r>
        <w:rPr>
          <w:rFonts w:hint="eastAsia" w:ascii="仿宋" w:hAnsi="仿宋" w:eastAsia="仿宋" w:cs="Times New Roman"/>
          <w:bCs w:val="0"/>
          <w:color w:val="auto"/>
          <w:kern w:val="2"/>
          <w:sz w:val="32"/>
          <w:szCs w:val="32"/>
          <w:highlight w:val="none"/>
          <w:lang w:val="en-US" w:eastAsia="zh-CN" w:bidi="ar-SA"/>
        </w:rPr>
        <w:t>，地面拖洗废水经沉淀池处理后，</w:t>
      </w:r>
      <w:r>
        <w:rPr>
          <w:rFonts w:hint="default" w:ascii="仿宋" w:hAnsi="仿宋" w:eastAsia="仿宋" w:cs="Times New Roman"/>
          <w:bCs w:val="0"/>
          <w:color w:val="auto"/>
          <w:kern w:val="2"/>
          <w:sz w:val="32"/>
          <w:szCs w:val="32"/>
          <w:highlight w:val="none"/>
          <w:lang w:val="en-US" w:eastAsia="zh-CN" w:bidi="ar-SA"/>
        </w:rPr>
        <w:t>排入</w:t>
      </w:r>
      <w:r>
        <w:rPr>
          <w:rFonts w:hint="eastAsia" w:ascii="仿宋" w:hAnsi="仿宋" w:eastAsia="仿宋" w:cs="Times New Roman"/>
          <w:bCs w:val="0"/>
          <w:color w:val="auto"/>
          <w:kern w:val="2"/>
          <w:sz w:val="32"/>
          <w:szCs w:val="32"/>
          <w:highlight w:val="none"/>
          <w:lang w:val="en-US" w:eastAsia="zh-CN" w:bidi="ar-SA"/>
        </w:rPr>
        <w:t>市政</w:t>
      </w:r>
      <w:r>
        <w:rPr>
          <w:rFonts w:hint="default" w:ascii="仿宋" w:hAnsi="仿宋" w:eastAsia="仿宋" w:cs="Times New Roman"/>
          <w:bCs w:val="0"/>
          <w:color w:val="auto"/>
          <w:kern w:val="2"/>
          <w:sz w:val="32"/>
          <w:szCs w:val="32"/>
          <w:highlight w:val="none"/>
          <w:lang w:val="en-US" w:eastAsia="zh-CN" w:bidi="ar-SA"/>
        </w:rPr>
        <w:t>污水管网</w:t>
      </w:r>
      <w:r>
        <w:rPr>
          <w:rFonts w:hint="eastAsia" w:ascii="仿宋" w:hAnsi="仿宋" w:eastAsia="仿宋" w:cs="Times New Roman"/>
          <w:bCs w:val="0"/>
          <w:color w:val="auto"/>
          <w:kern w:val="2"/>
          <w:sz w:val="32"/>
          <w:szCs w:val="32"/>
          <w:highlight w:val="none"/>
          <w:lang w:val="en-US" w:eastAsia="zh-CN" w:bidi="ar-SA"/>
        </w:rPr>
        <w:t>，废水最后进入德山污水处理厂处理，满足德山污水处理厂进水水质要求。设备冷却水循环使用，不外排。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仿宋-GB/T 2312" w:hAnsi="国标仿宋-GB/T 2312" w:eastAsia="国标仿宋-GB/T 2312" w:cs="国标仿宋-GB/T 2312"/>
          <w:b w:val="0"/>
          <w:bCs w:val="0"/>
          <w:color w:val="auto"/>
          <w:sz w:val="32"/>
          <w:szCs w:val="32"/>
          <w:highlight w:val="none"/>
        </w:rPr>
      </w:pPr>
      <w:r>
        <w:rPr>
          <w:rFonts w:hint="eastAsia" w:ascii="国标仿宋-GB/T 2312" w:hAnsi="国标仿宋-GB/T 2312" w:eastAsia="国标仿宋-GB/T 2312" w:cs="国标仿宋-GB/T 2312"/>
          <w:b w:val="0"/>
          <w:bCs w:val="0"/>
          <w:color w:val="auto"/>
          <w:sz w:val="32"/>
          <w:szCs w:val="32"/>
          <w:highlight w:val="none"/>
        </w:rPr>
        <w:t>（三）</w:t>
      </w:r>
      <w:r>
        <w:rPr>
          <w:rFonts w:hint="eastAsia" w:ascii="国标仿宋-GB/T 2312" w:hAnsi="国标仿宋-GB/T 2312" w:eastAsia="国标仿宋-GB/T 2312" w:cs="国标仿宋-GB/T 2312"/>
          <w:b w:val="0"/>
          <w:bCs w:val="0"/>
          <w:color w:val="auto"/>
          <w:sz w:val="32"/>
          <w:szCs w:val="32"/>
          <w:highlight w:val="none"/>
          <w:lang w:eastAsia="zh-CN"/>
        </w:rPr>
        <w:t>加强</w:t>
      </w:r>
      <w:r>
        <w:rPr>
          <w:rFonts w:hint="eastAsia" w:ascii="国标仿宋-GB/T 2312" w:hAnsi="国标仿宋-GB/T 2312" w:eastAsia="国标仿宋-GB/T 2312" w:cs="国标仿宋-GB/T 2312"/>
          <w:b w:val="0"/>
          <w:bCs w:val="0"/>
          <w:color w:val="auto"/>
          <w:sz w:val="32"/>
          <w:szCs w:val="32"/>
          <w:highlight w:val="none"/>
        </w:rPr>
        <w:t>噪声污染</w:t>
      </w:r>
      <w:r>
        <w:rPr>
          <w:rFonts w:hint="eastAsia" w:ascii="国标仿宋-GB/T 2312" w:hAnsi="国标仿宋-GB/T 2312" w:eastAsia="国标仿宋-GB/T 2312" w:cs="国标仿宋-GB/T 2312"/>
          <w:b w:val="0"/>
          <w:bCs w:val="0"/>
          <w:color w:val="auto"/>
          <w:sz w:val="32"/>
          <w:szCs w:val="32"/>
          <w:highlight w:val="none"/>
          <w:lang w:eastAsia="zh-CN"/>
        </w:rPr>
        <w:t>控制</w:t>
      </w:r>
      <w:r>
        <w:rPr>
          <w:rFonts w:hint="eastAsia" w:ascii="国标仿宋-GB/T 2312" w:hAnsi="国标仿宋-GB/T 2312" w:eastAsia="国标仿宋-GB/T 2312" w:cs="国标仿宋-GB/T 2312"/>
          <w:b w:val="0"/>
          <w:bCs w:val="0"/>
          <w:color w:val="auto"/>
          <w:sz w:val="32"/>
          <w:szCs w:val="32"/>
          <w:highlight w:val="none"/>
        </w:rPr>
        <w:t>。</w:t>
      </w:r>
      <w:r>
        <w:rPr>
          <w:rFonts w:hint="eastAsia" w:ascii="国标仿宋-GB/T 2312" w:hAnsi="国标仿宋-GB/T 2312" w:eastAsia="国标仿宋-GB/T 2312" w:cs="国标仿宋-GB/T 2312"/>
          <w:sz w:val="32"/>
          <w:szCs w:val="32"/>
          <w:highlight w:val="none"/>
          <w:lang w:val="en-US" w:eastAsia="zh-CN"/>
        </w:rPr>
        <w:t>合理布置噪声设备位置，优化厂区平面布局，对高噪声设备采取基础减振措施，控制作业时间，减少噪声对周边的影响，厂界噪声满足《工业企业厂界环境噪声排放标准》（GB12348-2008）3类标准</w:t>
      </w:r>
      <w:r>
        <w:rPr>
          <w:rFonts w:hint="eastAsia" w:ascii="国标仿宋-GB/T 2312" w:hAnsi="国标仿宋-GB/T 2312" w:eastAsia="国标仿宋-GB/T 2312" w:cs="国标仿宋-GB/T 2312"/>
          <w:b w:val="0"/>
          <w:bCs w:val="0"/>
          <w:color w:val="auto"/>
          <w:sz w:val="32"/>
          <w:szCs w:val="32"/>
          <w:highlight w:val="none"/>
          <w:lang w:val="en-US" w:eastAsia="zh-CN"/>
        </w:rPr>
        <w:t>。</w:t>
      </w:r>
    </w:p>
    <w:p>
      <w:pPr>
        <w:keepNext w:val="0"/>
        <w:keepLines w:val="0"/>
        <w:widowControl/>
        <w:suppressLineNumbers w:val="0"/>
        <w:jc w:val="left"/>
        <w:rPr>
          <w:rFonts w:hint="eastAsia" w:ascii="国标仿宋-GB/T 2312" w:hAnsi="国标仿宋-GB/T 2312" w:eastAsia="国标仿宋-GB/T 2312" w:cs="国标仿宋-GB/T 2312"/>
          <w:b w:val="0"/>
          <w:bCs w:val="0"/>
          <w:color w:val="auto"/>
          <w:sz w:val="32"/>
          <w:szCs w:val="32"/>
          <w:highlight w:val="none"/>
          <w:lang w:val="en-US" w:eastAsia="zh-CN"/>
        </w:rPr>
      </w:pPr>
      <w:r>
        <w:rPr>
          <w:rFonts w:hint="eastAsia" w:ascii="国标仿宋-GB/T 2312" w:hAnsi="国标仿宋-GB/T 2312" w:eastAsia="国标仿宋-GB/T 2312" w:cs="国标仿宋-GB/T 2312"/>
          <w:b w:val="0"/>
          <w:bCs w:val="0"/>
          <w:color w:val="auto"/>
          <w:sz w:val="32"/>
          <w:szCs w:val="32"/>
          <w:highlight w:val="none"/>
          <w:lang w:val="en-US" w:eastAsia="zh-CN"/>
        </w:rPr>
        <w:t>（四）严格落实固体废物处置措施。本项目产生的危险废物包括废包装物、废活性炭、废机油、含油废手套抹布、实验室固废</w:t>
      </w:r>
      <w:r>
        <w:rPr>
          <w:rFonts w:hint="default" w:ascii="国标仿宋-GB/T 2312" w:hAnsi="国标仿宋-GB/T 2312" w:eastAsia="国标仿宋-GB/T 2312" w:cs="国标仿宋-GB/T 2312"/>
          <w:b w:val="0"/>
          <w:bCs w:val="0"/>
          <w:color w:val="auto"/>
          <w:sz w:val="32"/>
          <w:szCs w:val="32"/>
          <w:highlight w:val="none"/>
          <w:lang w:val="en-US" w:eastAsia="zh-CN"/>
        </w:rPr>
        <w:t>等</w:t>
      </w:r>
      <w:r>
        <w:rPr>
          <w:rFonts w:hint="eastAsia" w:ascii="国标仿宋-GB/T 2312" w:hAnsi="国标仿宋-GB/T 2312" w:eastAsia="国标仿宋-GB/T 2312" w:cs="国标仿宋-GB/T 2312"/>
          <w:b w:val="0"/>
          <w:bCs w:val="0"/>
          <w:color w:val="auto"/>
          <w:sz w:val="32"/>
          <w:szCs w:val="32"/>
          <w:highlight w:val="none"/>
          <w:lang w:val="en-US" w:eastAsia="zh-CN"/>
        </w:rPr>
        <w:t>收集后暂存在厂区危废暂存间，定期交由具有危废资质的单位处置。危险废物贮存严格按照《危险废物收集、贮存、运输技术规范》（HJ2025-2012）和《危险废物贮存污染控制标准》（GB18597-2023）的相关要求执行。根据报告分析及</w:t>
      </w:r>
      <w:r>
        <w:rPr>
          <w:rFonts w:ascii="宋体" w:hAnsi="宋体" w:eastAsia="宋体" w:cs="宋体"/>
          <w:color w:val="000000"/>
          <w:kern w:val="0"/>
          <w:sz w:val="20"/>
          <w:szCs w:val="20"/>
          <w:lang w:val="en-US" w:eastAsia="zh-CN" w:bidi="ar"/>
        </w:rPr>
        <w:t>《</w:t>
      </w:r>
      <w:r>
        <w:rPr>
          <w:rFonts w:hint="eastAsia" w:ascii="国标仿宋-GB/T 2312" w:hAnsi="国标仿宋-GB/T 2312" w:eastAsia="国标仿宋-GB/T 2312" w:cs="国标仿宋-GB/T 2312"/>
          <w:b w:val="0"/>
          <w:bCs w:val="0"/>
          <w:color w:val="auto"/>
          <w:sz w:val="32"/>
          <w:szCs w:val="32"/>
          <w:highlight w:val="none"/>
          <w:lang w:val="en-US" w:eastAsia="zh-CN"/>
        </w:rPr>
        <w:t>国家危险废物名录（</w:t>
      </w:r>
      <w:r>
        <w:rPr>
          <w:rFonts w:hint="default" w:ascii="国标仿宋-GB/T 2312" w:hAnsi="国标仿宋-GB/T 2312" w:eastAsia="国标仿宋-GB/T 2312" w:cs="国标仿宋-GB/T 2312"/>
          <w:b w:val="0"/>
          <w:bCs w:val="0"/>
          <w:color w:val="auto"/>
          <w:sz w:val="32"/>
          <w:szCs w:val="32"/>
          <w:highlight w:val="none"/>
          <w:lang w:val="en-US" w:eastAsia="zh-CN"/>
        </w:rPr>
        <w:t>2025</w:t>
      </w:r>
      <w:r>
        <w:rPr>
          <w:rFonts w:hint="eastAsia" w:ascii="国标仿宋-GB/T 2312" w:hAnsi="国标仿宋-GB/T 2312" w:eastAsia="国标仿宋-GB/T 2312" w:cs="国标仿宋-GB/T 2312"/>
          <w:b w:val="0"/>
          <w:bCs w:val="0"/>
          <w:color w:val="auto"/>
          <w:sz w:val="32"/>
          <w:szCs w:val="32"/>
          <w:highlight w:val="none"/>
          <w:lang w:val="en-US" w:eastAsia="zh-CN"/>
        </w:rPr>
        <w:t>年版）》水性油墨设备清洗废液作为一般固废管理，定点收集后，委托专业处置单位处置。生活垃圾统一收集，交由环卫部门定期清运。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国标仿宋-GB/T 2312" w:hAnsi="国标仿宋-GB/T 2312" w:eastAsia="国标仿宋-GB/T 2312" w:cs="国标仿宋-GB/T 2312"/>
          <w:b w:val="0"/>
          <w:bCs w:val="0"/>
          <w:color w:val="auto"/>
          <w:sz w:val="32"/>
          <w:szCs w:val="32"/>
          <w:highlight w:val="none"/>
        </w:rPr>
        <w:t>（五）严格落实环境管理要求</w:t>
      </w:r>
      <w:r>
        <w:rPr>
          <w:rFonts w:hint="eastAsia" w:ascii="国标仿宋-GB/T 2312" w:hAnsi="国标仿宋-GB/T 2312" w:eastAsia="国标仿宋-GB/T 2312" w:cs="国标仿宋-GB/T 2312"/>
          <w:b w:val="0"/>
          <w:bCs w:val="0"/>
          <w:color w:val="auto"/>
          <w:sz w:val="32"/>
          <w:szCs w:val="32"/>
          <w:highlight w:val="none"/>
          <w:lang w:eastAsia="zh-CN"/>
        </w:rPr>
        <w:t>。</w:t>
      </w:r>
      <w:r>
        <w:rPr>
          <w:rFonts w:hint="eastAsia" w:ascii="国标仿宋-GB/T 2312" w:hAnsi="国标仿宋-GB/T 2312" w:eastAsia="国标仿宋-GB/T 2312" w:cs="国标仿宋-GB/T 2312"/>
          <w:b w:val="0"/>
          <w:bCs w:val="0"/>
          <w:color w:val="auto"/>
          <w:sz w:val="32"/>
          <w:szCs w:val="32"/>
          <w:highlight w:val="none"/>
        </w:rPr>
        <w:t>明确</w:t>
      </w:r>
      <w:r>
        <w:rPr>
          <w:rFonts w:hint="eastAsia" w:ascii="国标仿宋-GB/T 2312" w:hAnsi="国标仿宋-GB/T 2312" w:eastAsia="国标仿宋-GB/T 2312" w:cs="国标仿宋-GB/T 2312"/>
          <w:b w:val="0"/>
          <w:bCs w:val="0"/>
          <w:color w:val="auto"/>
          <w:sz w:val="32"/>
          <w:szCs w:val="32"/>
          <w:highlight w:val="none"/>
          <w:lang w:eastAsia="zh-CN"/>
        </w:rPr>
        <w:t>环保</w:t>
      </w:r>
      <w:r>
        <w:rPr>
          <w:rFonts w:hint="eastAsia" w:ascii="国标仿宋-GB/T 2312" w:hAnsi="国标仿宋-GB/T 2312" w:eastAsia="国标仿宋-GB/T 2312" w:cs="国标仿宋-GB/T 2312"/>
          <w:b w:val="0"/>
          <w:bCs w:val="0"/>
          <w:color w:val="auto"/>
          <w:sz w:val="32"/>
          <w:szCs w:val="32"/>
          <w:highlight w:val="none"/>
        </w:rPr>
        <w:t>机构、人员、职责和制度，确保环保设施运行稳定、所有外排污染物长期稳定达标排放</w:t>
      </w:r>
      <w:r>
        <w:rPr>
          <w:rFonts w:hint="eastAsia" w:ascii="国标仿宋-GB/T 2312" w:hAnsi="国标仿宋-GB/T 2312" w:eastAsia="国标仿宋-GB/T 2312" w:cs="国标仿宋-GB/T 2312"/>
          <w:b w:val="0"/>
          <w:bCs w:val="0"/>
          <w:color w:val="auto"/>
          <w:sz w:val="32"/>
          <w:szCs w:val="32"/>
          <w:highlight w:val="none"/>
          <w:lang w:eastAsia="zh-CN"/>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三、环境影响报告</w:t>
      </w:r>
      <w:r>
        <w:rPr>
          <w:rFonts w:hint="eastAsia" w:ascii="仿宋_GB2312" w:hAnsi="仿宋_GB2312" w:eastAsia="仿宋_GB2312" w:cs="仿宋_GB2312"/>
          <w:b w:val="0"/>
          <w:bCs/>
          <w:sz w:val="32"/>
          <w:szCs w:val="32"/>
          <w:highlight w:val="none"/>
          <w:lang w:eastAsia="zh-CN"/>
        </w:rPr>
        <w:t>表</w:t>
      </w:r>
      <w:r>
        <w:rPr>
          <w:rFonts w:hint="eastAsia" w:ascii="仿宋_GB2312" w:hAnsi="仿宋_GB2312" w:eastAsia="仿宋_GB2312" w:cs="仿宋_GB2312"/>
          <w:b w:val="0"/>
          <w:bCs/>
          <w:sz w:val="32"/>
          <w:szCs w:val="32"/>
          <w:highlight w:val="none"/>
        </w:rPr>
        <w:t>经批准后，建设项目的性质、规模、地点、采用的生产工艺或者防治污染、防止生态破坏的措施发生重大变动的，建设单位应当重新报批建设项目的环境影响评价文件。</w:t>
      </w:r>
      <w:r>
        <w:rPr>
          <w:rFonts w:hint="eastAsia" w:ascii="仿宋_GB2312" w:hAnsi="仿宋_GB2312" w:eastAsia="仿宋_GB2312" w:cs="仿宋_GB2312"/>
          <w:b w:val="0"/>
          <w:bCs/>
          <w:sz w:val="32"/>
          <w:szCs w:val="32"/>
          <w:highlight w:val="none"/>
          <w:lang w:val="en-US" w:eastAsia="zh-CN"/>
        </w:rPr>
        <w:t>企业在项目建成投运前按排污许可管理要求申领排污许证，</w:t>
      </w:r>
      <w:r>
        <w:rPr>
          <w:rFonts w:hint="eastAsia" w:ascii="仿宋_GB2312" w:hAnsi="仿宋_GB2312" w:eastAsia="仿宋_GB2312" w:cs="仿宋_GB2312"/>
          <w:b w:val="0"/>
          <w:bCs/>
          <w:sz w:val="32"/>
          <w:szCs w:val="32"/>
          <w:highlight w:val="none"/>
          <w:lang w:eastAsia="zh-CN"/>
        </w:rPr>
        <w:t>同时建设单位要按规定程序进行环保“三同时”验收，相关信息按规定自行发布。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仿宋_GB2312" w:hAnsi="仿宋_GB2312" w:eastAsia="仿宋_GB2312" w:cs="仿宋_GB2312"/>
          <w:spacing w:val="-1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976" w:firstLineChars="1800"/>
        <w:textAlignment w:val="auto"/>
        <w:rPr>
          <w:rFonts w:hint="eastAsia" w:ascii="仿宋_GB2312" w:hAnsi="仿宋_GB2312" w:eastAsia="仿宋_GB2312" w:cs="仿宋_GB2312"/>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rPr>
        <w:t>常德</w:t>
      </w:r>
      <w:r>
        <w:rPr>
          <w:rFonts w:hint="eastAsia" w:ascii="仿宋_GB2312" w:hAnsi="仿宋_GB2312" w:eastAsia="仿宋_GB2312" w:cs="仿宋_GB2312"/>
          <w:color w:val="auto"/>
          <w:spacing w:val="0"/>
          <w:sz w:val="32"/>
          <w:szCs w:val="32"/>
          <w:highlight w:val="none"/>
          <w:lang w:eastAsia="zh-CN"/>
        </w:rPr>
        <w:t>市生态环境局</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color w:val="auto"/>
          <w:sz w:val="32"/>
          <w:szCs w:val="32"/>
          <w:highlight w:val="none"/>
          <w:lang w:eastAsia="zh-CN"/>
        </w:rPr>
        <w:t>　　　　　　　　　　　　　　　　　　</w:t>
      </w:r>
      <w:r>
        <w:rPr>
          <w:rFonts w:hint="eastAsia" w:ascii="仿宋_GB2312" w:hAnsi="仿宋_GB2312" w:eastAsia="仿宋_GB2312" w:cs="仿宋_GB2312"/>
          <w:color w:val="auto"/>
          <w:spacing w:val="0"/>
          <w:sz w:val="32"/>
          <w:szCs w:val="32"/>
          <w:highlight w:val="none"/>
        </w:rPr>
        <w:t>20</w:t>
      </w:r>
      <w:r>
        <w:rPr>
          <w:rFonts w:hint="eastAsia" w:ascii="仿宋_GB2312" w:hAnsi="仿宋_GB2312" w:eastAsia="仿宋_GB2312" w:cs="仿宋_GB2312"/>
          <w:color w:val="auto"/>
          <w:spacing w:val="0"/>
          <w:sz w:val="32"/>
          <w:szCs w:val="32"/>
          <w:highlight w:val="none"/>
          <w:lang w:val="en-US" w:eastAsia="zh-CN"/>
        </w:rPr>
        <w:t>25</w:t>
      </w:r>
      <w:r>
        <w:rPr>
          <w:rFonts w:hint="eastAsia" w:ascii="仿宋_GB2312" w:hAnsi="仿宋_GB2312" w:eastAsia="仿宋_GB2312" w:cs="仿宋_GB2312"/>
          <w:color w:val="auto"/>
          <w:spacing w:val="0"/>
          <w:sz w:val="32"/>
          <w:szCs w:val="32"/>
          <w:highlight w:val="none"/>
        </w:rPr>
        <w:t>年</w:t>
      </w:r>
      <w:r>
        <w:rPr>
          <w:rFonts w:hint="eastAsia" w:ascii="仿宋_GB2312" w:hAnsi="仿宋_GB2312" w:eastAsia="仿宋_GB2312" w:cs="仿宋_GB2312"/>
          <w:color w:val="auto"/>
          <w:spacing w:val="0"/>
          <w:sz w:val="32"/>
          <w:szCs w:val="32"/>
          <w:highlight w:val="none"/>
          <w:lang w:val="en-US" w:eastAsia="zh-CN"/>
        </w:rPr>
        <w:t>12</w:t>
      </w:r>
      <w:r>
        <w:rPr>
          <w:rFonts w:hint="eastAsia" w:ascii="仿宋_GB2312" w:hAnsi="仿宋_GB2312" w:eastAsia="仿宋_GB2312" w:cs="仿宋_GB2312"/>
          <w:color w:val="auto"/>
          <w:spacing w:val="0"/>
          <w:sz w:val="32"/>
          <w:szCs w:val="32"/>
          <w:highlight w:val="none"/>
        </w:rPr>
        <w:t>月</w:t>
      </w:r>
      <w:r>
        <w:rPr>
          <w:rFonts w:hint="eastAsia" w:ascii="仿宋_GB2312" w:hAnsi="仿宋_GB2312" w:eastAsia="仿宋_GB2312" w:cs="仿宋_GB2312"/>
          <w:color w:val="auto"/>
          <w:spacing w:val="0"/>
          <w:sz w:val="32"/>
          <w:szCs w:val="32"/>
          <w:highlight w:val="none"/>
          <w:lang w:val="en-US" w:eastAsia="zh-CN"/>
        </w:rPr>
        <w:t>31</w:t>
      </w:r>
      <w:r>
        <w:rPr>
          <w:rFonts w:hint="eastAsia" w:ascii="仿宋_GB2312" w:hAnsi="仿宋_GB2312" w:eastAsia="仿宋_GB2312" w:cs="仿宋_GB2312"/>
          <w:color w:val="auto"/>
          <w:spacing w:val="0"/>
          <w:sz w:val="32"/>
          <w:szCs w:val="32"/>
          <w:highlight w:val="none"/>
        </w:rPr>
        <w:t>日</w:t>
      </w:r>
    </w:p>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60CBF"/>
    <w:multiLevelType w:val="singleLevel"/>
    <w:tmpl w:val="6FF60C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2EyYTg2YWM5Yzg5ODBiZTE2MDk5NTM1M2ZkODMifQ=="/>
  </w:docVars>
  <w:rsids>
    <w:rsidRoot w:val="00000000"/>
    <w:rsid w:val="08F65DB0"/>
    <w:rsid w:val="0E3B36AA"/>
    <w:rsid w:val="10B84E99"/>
    <w:rsid w:val="17E56B23"/>
    <w:rsid w:val="1B59C7A6"/>
    <w:rsid w:val="2398041B"/>
    <w:rsid w:val="249279A7"/>
    <w:rsid w:val="2B9FE444"/>
    <w:rsid w:val="37FFC6B6"/>
    <w:rsid w:val="3B63378C"/>
    <w:rsid w:val="3BF589E9"/>
    <w:rsid w:val="3C77B50A"/>
    <w:rsid w:val="3F6F162A"/>
    <w:rsid w:val="464F23EA"/>
    <w:rsid w:val="4BEB4C52"/>
    <w:rsid w:val="4FAF1182"/>
    <w:rsid w:val="4FEB6CB1"/>
    <w:rsid w:val="537FA014"/>
    <w:rsid w:val="57EE1B51"/>
    <w:rsid w:val="5DD16BFC"/>
    <w:rsid w:val="5DFD6B7D"/>
    <w:rsid w:val="5E7B1AFD"/>
    <w:rsid w:val="5E7B7AF9"/>
    <w:rsid w:val="6FF64DA3"/>
    <w:rsid w:val="6FFFE5B0"/>
    <w:rsid w:val="72584407"/>
    <w:rsid w:val="767E7EAA"/>
    <w:rsid w:val="77EF00CA"/>
    <w:rsid w:val="7C7FDE7D"/>
    <w:rsid w:val="7DEB2BDC"/>
    <w:rsid w:val="7DEED33A"/>
    <w:rsid w:val="7DFFCA17"/>
    <w:rsid w:val="7E7DFA81"/>
    <w:rsid w:val="7EF3B95F"/>
    <w:rsid w:val="7F9F438C"/>
    <w:rsid w:val="7FE791EB"/>
    <w:rsid w:val="A3FB3B42"/>
    <w:rsid w:val="AC8B868E"/>
    <w:rsid w:val="BBFF1C0F"/>
    <w:rsid w:val="BDDD8201"/>
    <w:rsid w:val="BF2B6A22"/>
    <w:rsid w:val="BF2FB6ED"/>
    <w:rsid w:val="BFDD7ACA"/>
    <w:rsid w:val="CA76789C"/>
    <w:rsid w:val="D27DD99C"/>
    <w:rsid w:val="D9A2B356"/>
    <w:rsid w:val="DF7BC3CA"/>
    <w:rsid w:val="DFF62F7A"/>
    <w:rsid w:val="E1FFE5AA"/>
    <w:rsid w:val="E6FEC739"/>
    <w:rsid w:val="EBFF5805"/>
    <w:rsid w:val="EEEDD9EB"/>
    <w:rsid w:val="EF961598"/>
    <w:rsid w:val="F21DEE76"/>
    <w:rsid w:val="F2F3A353"/>
    <w:rsid w:val="F5AE9400"/>
    <w:rsid w:val="F7FFCB06"/>
    <w:rsid w:val="FAEFE128"/>
    <w:rsid w:val="FE3DB76D"/>
    <w:rsid w:val="FEFE3B96"/>
    <w:rsid w:val="FF9EEA70"/>
    <w:rsid w:val="FFBFA3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4"/>
    <w:qFormat/>
    <w:uiPriority w:val="0"/>
    <w:pPr>
      <w:spacing w:after="120"/>
    </w:pPr>
  </w:style>
  <w:style w:type="paragraph" w:customStyle="1" w:styleId="4">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First Indent"/>
    <w:basedOn w:val="3"/>
    <w:next w:val="1"/>
    <w:qFormat/>
    <w:uiPriority w:val="0"/>
    <w:pPr>
      <w:ind w:firstLine="420" w:firstLineChars="100"/>
    </w:pPr>
  </w:style>
  <w:style w:type="paragraph" w:customStyle="1" w:styleId="8">
    <w:name w:val="正文1"/>
    <w:qFormat/>
    <w:uiPriority w:val="0"/>
    <w:pPr>
      <w:widowControl w:val="0"/>
      <w:tabs>
        <w:tab w:val="left" w:pos="22680"/>
      </w:tabs>
      <w:spacing w:line="360" w:lineRule="auto"/>
      <w:ind w:firstLine="602" w:firstLineChars="200"/>
    </w:pPr>
    <w:rPr>
      <w:rFonts w:ascii="宋体" w:hAnsi="宋体" w:eastAsia="宋体" w:cs="Times New Roman"/>
      <w:kern w:val="2"/>
      <w:sz w:val="24"/>
      <w:lang w:val="en-US" w:eastAsia="zh-CN" w:bidi="ar-SA"/>
    </w:rPr>
  </w:style>
  <w:style w:type="paragraph" w:customStyle="1" w:styleId="9">
    <w:name w:val="表（周）"/>
    <w:basedOn w:val="10"/>
    <w:qFormat/>
    <w:uiPriority w:val="0"/>
    <w:pPr>
      <w:tabs>
        <w:tab w:val="left" w:pos="1068"/>
      </w:tabs>
      <w:autoSpaceDE/>
      <w:autoSpaceDN/>
      <w:spacing w:beforeLines="0" w:line="240" w:lineRule="auto"/>
      <w:ind w:firstLine="0" w:firstLineChars="0"/>
      <w:jc w:val="center"/>
    </w:pPr>
    <w:rPr>
      <w:rFonts w:ascii="Times New Roman" w:hAnsi="Times New Roman" w:eastAsia="宋体"/>
      <w:bCs/>
      <w:color w:val="0C0C0C"/>
      <w:kern w:val="0"/>
      <w:sz w:val="21"/>
      <w:szCs w:val="21"/>
    </w:rPr>
  </w:style>
  <w:style w:type="paragraph" w:customStyle="1" w:styleId="10">
    <w:name w:val="正文文字标准"/>
    <w:basedOn w:val="5"/>
    <w:qFormat/>
    <w:uiPriority w:val="0"/>
    <w:pPr>
      <w:snapToGrid/>
      <w:spacing w:after="0" w:line="480" w:lineRule="exact"/>
      <w:ind w:firstLine="200" w:firstLineChars="200"/>
      <w:textAlignment w:val="baseline"/>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1471</Words>
  <Characters>1625</Characters>
  <Lines>0</Lines>
  <Paragraphs>0</Paragraphs>
  <TotalTime>111</TotalTime>
  <ScaleCrop>false</ScaleCrop>
  <LinksUpToDate>false</LinksUpToDate>
  <CharactersWithSpaces>1660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2025-08-13T18:43:00Z</dcterms:created>
  <dc:creator>17435</dc:creator>
  <cp:lastModifiedBy>快乐无忧</cp:lastModifiedBy>
  <dcterms:modified xsi:type="dcterms:W3CDTF">2025-12-31T08:49:36Z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eyJoZGlkIjoiODMyOWVmNWRhNGQ5NjFkNzQ1MjU5YzljMDA1ODIwYmYiLCJ1c2VySWQiOiI3MzM0NjE1MzEifQ==</vt:lpwstr>
  </property>
  <property fmtid="{D5CDD505-2E9C-101B-9397-08002B2CF9AE}" pid="4" name="ICV">
    <vt:lpwstr>00E2FA903EDD4328902B2354774F8AEF_13</vt:lpwstr>
  </property>
</Properties>
</file>