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eastAsia" w:ascii="仿宋_GB2312" w:eastAsia="仿宋_GB2312"/>
          <w:color w:val="FF0000"/>
          <w:sz w:val="32"/>
          <w:szCs w:val="32"/>
          <w:highlight w:val="yellow"/>
        </w:rPr>
      </w:pPr>
      <w:r>
        <w:rPr>
          <w:rFonts w:hint="eastAsia" w:ascii="仿宋_GB2312" w:eastAsia="仿宋_GB2312"/>
          <w:color w:val="auto"/>
          <w:sz w:val="32"/>
          <w:szCs w:val="32"/>
          <w:highlight w:val="none"/>
          <w:lang w:val="en-US" w:eastAsia="zh-CN"/>
        </w:rPr>
        <w:t>常</w:t>
      </w:r>
      <w:r>
        <w:rPr>
          <w:rFonts w:hint="eastAsia" w:ascii="仿宋_GB2312" w:eastAsia="仿宋_GB2312"/>
          <w:color w:val="auto"/>
          <w:sz w:val="32"/>
          <w:szCs w:val="32"/>
          <w:highlight w:val="none"/>
        </w:rPr>
        <w:t>环</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建</w:t>
      </w:r>
      <w:r>
        <w:rPr>
          <w:rFonts w:hint="eastAsia" w:ascii="仿宋_GB2312" w:hAnsi="Times New Roman" w:eastAsia="仿宋_GB2312" w:cs="仿宋_GB2312"/>
          <w:color w:val="auto"/>
          <w:sz w:val="32"/>
          <w:szCs w:val="32"/>
          <w:highlight w:val="none"/>
        </w:rPr>
        <w:t>〔</w:t>
      </w:r>
      <w:r>
        <w:rPr>
          <w:rFonts w:ascii="仿宋_GB2312" w:hAnsi="Times New Roman" w:eastAsia="仿宋_GB2312" w:cs="仿宋_GB2312"/>
          <w:color w:val="auto"/>
          <w:sz w:val="32"/>
          <w:szCs w:val="32"/>
          <w:highlight w:val="none"/>
        </w:rPr>
        <w:t>202</w:t>
      </w:r>
      <w:r>
        <w:rPr>
          <w:rFonts w:hint="eastAsia" w:ascii="仿宋_GB2312" w:hAnsi="Times New Roman" w:eastAsia="仿宋_GB2312" w:cs="仿宋_GB2312"/>
          <w:color w:val="auto"/>
          <w:sz w:val="32"/>
          <w:szCs w:val="32"/>
          <w:highlight w:val="none"/>
          <w:lang w:val="en-US" w:eastAsia="zh-CN"/>
        </w:rPr>
        <w:t>6</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val="en-US" w:eastAsia="zh-CN"/>
        </w:rPr>
        <w:t>1</w:t>
      </w:r>
      <w:r>
        <w:rPr>
          <w:rFonts w:hint="eastAsia" w:ascii="仿宋_GB2312" w:eastAsia="仿宋_GB2312"/>
          <w:color w:val="auto"/>
          <w:sz w:val="32"/>
          <w:szCs w:val="32"/>
          <w:highlight w:val="none"/>
        </w:rPr>
        <w:t>号</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spacing w:line="60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lang w:val="en-US" w:eastAsia="zh-CN"/>
        </w:rPr>
        <w:t xml:space="preserve"> 常德市</w:t>
      </w:r>
      <w:r>
        <w:rPr>
          <w:rFonts w:hint="eastAsia" w:ascii="方正小标宋简体" w:hAnsi="宋体" w:eastAsia="方正小标宋简体"/>
          <w:sz w:val="44"/>
          <w:szCs w:val="44"/>
          <w:highlight w:val="none"/>
        </w:rPr>
        <w:t>生态环境局</w:t>
      </w:r>
    </w:p>
    <w:p>
      <w:pPr>
        <w:spacing w:line="600" w:lineRule="exact"/>
        <w:jc w:val="center"/>
        <w:rPr>
          <w:rFonts w:hint="eastAsia" w:ascii="方正小标宋简体" w:hAnsi="宋体" w:eastAsia="方正小标宋简体" w:cs="Times New Roman"/>
          <w:spacing w:val="0"/>
          <w:sz w:val="44"/>
          <w:szCs w:val="44"/>
          <w:highlight w:val="none"/>
          <w:lang w:val="en-US" w:eastAsia="zh-CN"/>
        </w:rPr>
      </w:pPr>
      <w:bookmarkStart w:id="8" w:name="_GoBack"/>
      <w:r>
        <w:rPr>
          <w:rFonts w:hint="eastAsia" w:ascii="方正小标宋简体" w:hAnsi="宋体" w:eastAsia="方正小标宋简体" w:cs="Times New Roman"/>
          <w:spacing w:val="0"/>
          <w:sz w:val="44"/>
          <w:szCs w:val="44"/>
          <w:highlight w:val="none"/>
          <w:lang w:val="en-US" w:eastAsia="zh-CN"/>
        </w:rPr>
        <w:t>关于湖南常德纳菲尔新材料科技有限公司钨合金油田钻采机械部件制造项目环境影响报告表的批复</w:t>
      </w:r>
    </w:p>
    <w:bookmarkEnd w:id="8"/>
    <w:p>
      <w:pPr>
        <w:pageBreakBefore w:val="0"/>
        <w:kinsoku/>
        <w:wordWrap/>
        <w:overflowPunct/>
        <w:topLinePunct w:val="0"/>
        <w:autoSpaceDE/>
        <w:autoSpaceDN/>
        <w:bidi w:val="0"/>
        <w:adjustRightInd/>
        <w:snapToGrid/>
        <w:spacing w:line="560" w:lineRule="exact"/>
        <w:textAlignment w:val="auto"/>
        <w:rPr>
          <w:rFonts w:hint="eastAsia" w:ascii="国标仿宋-GB/T 2312" w:hAnsi="国标仿宋-GB/T 2312" w:eastAsia="国标仿宋-GB/T 2312" w:cs="国标仿宋-GB/T 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GB/T 2312" w:hAnsi="国标仿宋-GB/T 2312" w:eastAsia="国标仿宋-GB/T 2312" w:cs="国标仿宋-GB/T 2312"/>
          <w:sz w:val="32"/>
          <w:szCs w:val="32"/>
          <w:highlight w:val="none"/>
          <w:lang w:val="en-US" w:eastAsia="zh-CN"/>
        </w:rPr>
      </w:pPr>
      <w:r>
        <w:rPr>
          <w:rFonts w:hint="eastAsia" w:ascii="国标仿宋-GB/T 2312" w:hAnsi="国标仿宋-GB/T 2312" w:eastAsia="国标仿宋-GB/T 2312" w:cs="国标仿宋-GB/T 2312"/>
          <w:sz w:val="32"/>
          <w:szCs w:val="32"/>
          <w:highlight w:val="none"/>
          <w:lang w:val="en-US" w:eastAsia="zh-CN"/>
        </w:rPr>
        <w:t>湖南常德纳菲尔新材料科技有限公司：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sz w:val="32"/>
          <w:szCs w:val="32"/>
          <w:highlight w:val="none"/>
          <w:lang w:val="en-US" w:eastAsia="zh-CN"/>
        </w:rPr>
      </w:pPr>
      <w:r>
        <w:rPr>
          <w:rFonts w:hint="eastAsia" w:ascii="国标仿宋-GB/T 2312" w:hAnsi="国标仿宋-GB/T 2312" w:eastAsia="国标仿宋-GB/T 2312" w:cs="国标仿宋-GB/T 2312"/>
          <w:sz w:val="32"/>
          <w:szCs w:val="32"/>
          <w:highlight w:val="none"/>
          <w:lang w:val="en-US" w:eastAsia="zh-CN"/>
        </w:rPr>
        <w:t>你公司《</w:t>
      </w:r>
      <w:bookmarkStart w:id="0" w:name="OLE_LINK1"/>
      <w:r>
        <w:rPr>
          <w:rFonts w:hint="eastAsia" w:ascii="国标仿宋-GB/T 2312" w:hAnsi="国标仿宋-GB/T 2312" w:eastAsia="国标仿宋-GB/T 2312" w:cs="国标仿宋-GB/T 2312"/>
          <w:sz w:val="32"/>
          <w:szCs w:val="32"/>
          <w:highlight w:val="none"/>
          <w:lang w:val="en-US" w:eastAsia="zh-CN"/>
        </w:rPr>
        <w:t>钨合金油田钻采机械部件制造项目</w:t>
      </w:r>
      <w:bookmarkEnd w:id="0"/>
      <w:r>
        <w:rPr>
          <w:rFonts w:hint="eastAsia" w:ascii="国标仿宋-GB/T 2312" w:hAnsi="国标仿宋-GB/T 2312" w:eastAsia="国标仿宋-GB/T 2312" w:cs="国标仿宋-GB/T 2312"/>
          <w:sz w:val="32"/>
          <w:szCs w:val="32"/>
          <w:highlight w:val="none"/>
          <w:lang w:val="en-US" w:eastAsia="zh-CN"/>
        </w:rPr>
        <w:t>环境影响报告表》（以下简称“报告表”）及相关附件收悉，根据环评报告结论、专家审查意见，经研究，批复如下：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567" w:firstLineChars="0"/>
        <w:jc w:val="both"/>
        <w:textAlignment w:val="auto"/>
        <w:outlineLvl w:val="9"/>
        <w:rPr>
          <w:rFonts w:hint="eastAsia" w:ascii="国标仿宋-GB/T 2312" w:hAnsi="国标仿宋-GB/T 2312" w:eastAsia="国标仿宋-GB/T 2312" w:cs="国标仿宋-GB/T 2312"/>
          <w:b w:val="0"/>
          <w:bCs w:val="0"/>
          <w:color w:val="auto"/>
          <w:sz w:val="32"/>
          <w:szCs w:val="32"/>
          <w:highlight w:val="none"/>
        </w:rPr>
      </w:pPr>
      <w:r>
        <w:rPr>
          <w:rFonts w:hint="eastAsia" w:ascii="国标仿宋-GB/T 2312" w:hAnsi="国标仿宋-GB/T 2312" w:eastAsia="国标仿宋-GB/T 2312" w:cs="国标仿宋-GB/T 2312"/>
          <w:sz w:val="32"/>
          <w:szCs w:val="32"/>
          <w:highlight w:val="none"/>
          <w:lang w:val="en-US" w:eastAsia="zh-CN"/>
        </w:rPr>
        <w:t>湖南常德纳菲尔新材料科技有限公司</w:t>
      </w:r>
      <w:r>
        <w:rPr>
          <w:rFonts w:hint="eastAsia" w:ascii="仿宋" w:hAnsi="仿宋" w:eastAsia="仿宋" w:cs="Times New Roman"/>
          <w:color w:val="auto"/>
          <w:sz w:val="32"/>
          <w:szCs w:val="32"/>
          <w:highlight w:val="none"/>
          <w:lang w:val="en-US" w:eastAsia="zh-CN"/>
        </w:rPr>
        <w:t>钨合金油田钻采机械部件制造项目位于常德经济技术开发区民建路以北、运煤通道以东，总用地面积20235.2m</w:t>
      </w:r>
      <w:r>
        <w:rPr>
          <w:rFonts w:hint="eastAsia" w:ascii="仿宋" w:hAnsi="仿宋" w:eastAsia="仿宋" w:cs="Times New Roman"/>
          <w:color w:val="auto"/>
          <w:sz w:val="32"/>
          <w:szCs w:val="32"/>
          <w:highlight w:val="none"/>
          <w:vertAlign w:val="superscript"/>
          <w:lang w:val="en-US" w:eastAsia="zh-CN"/>
        </w:rPr>
        <w:t>2</w:t>
      </w:r>
      <w:r>
        <w:rPr>
          <w:rFonts w:hint="eastAsia" w:ascii="仿宋" w:hAnsi="仿宋" w:eastAsia="仿宋" w:cs="Times New Roman"/>
          <w:color w:val="auto"/>
          <w:sz w:val="32"/>
          <w:szCs w:val="32"/>
          <w:highlight w:val="none"/>
          <w:lang w:val="en-US" w:eastAsia="zh-CN"/>
        </w:rPr>
        <w:t>，总建筑面积13160m</w:t>
      </w:r>
      <w:r>
        <w:rPr>
          <w:rFonts w:hint="eastAsia" w:ascii="仿宋" w:hAnsi="仿宋" w:eastAsia="仿宋" w:cs="Times New Roman"/>
          <w:color w:val="auto"/>
          <w:sz w:val="32"/>
          <w:szCs w:val="32"/>
          <w:highlight w:val="none"/>
          <w:vertAlign w:val="superscript"/>
          <w:lang w:val="en-US" w:eastAsia="zh-CN"/>
        </w:rPr>
        <w:t>2</w:t>
      </w:r>
      <w:r>
        <w:rPr>
          <w:rFonts w:hint="eastAsia" w:ascii="仿宋" w:hAnsi="仿宋" w:eastAsia="仿宋" w:cs="Times New Roman"/>
          <w:color w:val="auto"/>
          <w:sz w:val="32"/>
          <w:szCs w:val="32"/>
          <w:highlight w:val="none"/>
          <w:lang w:val="en-US" w:eastAsia="zh-CN"/>
        </w:rPr>
        <w:t>，主要建设1栋生产车间、1栋研发生活楼、1栋门卫及配套公用工程、环保工程。主要建设防腐油管生产线，对油管、套管、抽油杆进行加工，建成后年加工油管、套管、抽油杆5万吨。项目总投资19000万元，其中环保投资42万元。根据</w:t>
      </w:r>
      <w:r>
        <w:rPr>
          <w:rFonts w:hint="eastAsia" w:ascii="仿宋" w:hAnsi="仿宋" w:eastAsia="仿宋" w:cs="Times New Roman"/>
          <w:color w:val="000000"/>
          <w:sz w:val="32"/>
          <w:szCs w:val="32"/>
          <w:highlight w:val="none"/>
          <w:u w:val="none"/>
          <w:lang w:val="en-US" w:eastAsia="zh-CN"/>
        </w:rPr>
        <w:t>报告表分析结论，在建设</w:t>
      </w:r>
      <w:r>
        <w:rPr>
          <w:rFonts w:hint="eastAsia" w:ascii="仿宋" w:hAnsi="仿宋" w:eastAsia="仿宋" w:cs="Times New Roman"/>
          <w:color w:val="auto"/>
          <w:sz w:val="32"/>
          <w:szCs w:val="32"/>
          <w:highlight w:val="none"/>
          <w:lang w:val="en-US" w:eastAsia="zh-CN"/>
        </w:rPr>
        <w:t>单位认真落实各项污染防治措施，外排污染物实现长期稳定达标排放的情况下，从环境保护的角度分析，</w:t>
      </w:r>
      <w:r>
        <w:rPr>
          <w:rFonts w:hint="eastAsia" w:ascii="国标仿宋-GB/T 2312" w:hAnsi="国标仿宋-GB/T 2312" w:eastAsia="国标仿宋-GB/T 2312" w:cs="国标仿宋-GB/T 2312"/>
          <w:b w:val="0"/>
          <w:bCs w:val="0"/>
          <w:color w:val="auto"/>
          <w:sz w:val="32"/>
          <w:szCs w:val="32"/>
          <w:highlight w:val="none"/>
        </w:rPr>
        <w:t>我局原则</w:t>
      </w:r>
      <w:r>
        <w:rPr>
          <w:rFonts w:hint="eastAsia" w:ascii="国标仿宋-GB/T 2312" w:hAnsi="国标仿宋-GB/T 2312" w:eastAsia="国标仿宋-GB/T 2312" w:cs="国标仿宋-GB/T 2312"/>
          <w:b w:val="0"/>
          <w:bCs w:val="0"/>
          <w:color w:val="auto"/>
          <w:sz w:val="32"/>
          <w:szCs w:val="32"/>
          <w:highlight w:val="none"/>
          <w:lang w:eastAsia="zh-CN"/>
        </w:rPr>
        <w:t>上</w:t>
      </w:r>
      <w:r>
        <w:rPr>
          <w:rFonts w:hint="eastAsia" w:ascii="国标仿宋-GB/T 2312" w:hAnsi="国标仿宋-GB/T 2312" w:eastAsia="国标仿宋-GB/T 2312" w:cs="国标仿宋-GB/T 2312"/>
          <w:b w:val="0"/>
          <w:bCs w:val="0"/>
          <w:color w:val="auto"/>
          <w:sz w:val="32"/>
          <w:szCs w:val="32"/>
          <w:highlight w:val="none"/>
          <w:lang w:val="en-US" w:eastAsia="zh-CN"/>
        </w:rPr>
        <w:t>同意该项目建设。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color w:val="auto"/>
          <w:sz w:val="32"/>
          <w:szCs w:val="32"/>
          <w:highlight w:val="none"/>
        </w:rPr>
      </w:pPr>
      <w:r>
        <w:rPr>
          <w:rFonts w:hint="eastAsia" w:ascii="国标仿宋-GB/T 2312" w:hAnsi="国标仿宋-GB/T 2312" w:eastAsia="国标仿宋-GB/T 2312" w:cs="国标仿宋-GB/T 2312"/>
          <w:color w:val="auto"/>
          <w:sz w:val="32"/>
          <w:szCs w:val="32"/>
          <w:highlight w:val="none"/>
        </w:rPr>
        <w:t>二、你单位在</w:t>
      </w:r>
      <w:r>
        <w:rPr>
          <w:rFonts w:hint="eastAsia" w:ascii="国标仿宋-GB/T 2312" w:hAnsi="国标仿宋-GB/T 2312" w:eastAsia="国标仿宋-GB/T 2312" w:cs="国标仿宋-GB/T 2312"/>
          <w:color w:val="auto"/>
          <w:sz w:val="32"/>
          <w:szCs w:val="32"/>
          <w:highlight w:val="none"/>
          <w:lang w:eastAsia="zh-CN"/>
        </w:rPr>
        <w:t>项目</w:t>
      </w:r>
      <w:r>
        <w:rPr>
          <w:rFonts w:hint="eastAsia" w:ascii="国标仿宋-GB/T 2312" w:hAnsi="国标仿宋-GB/T 2312" w:eastAsia="国标仿宋-GB/T 2312" w:cs="国标仿宋-GB/T 2312"/>
          <w:color w:val="auto"/>
          <w:sz w:val="32"/>
          <w:szCs w:val="32"/>
          <w:highlight w:val="none"/>
        </w:rPr>
        <w:t>设计、建设和运行管理中，须全面落实</w:t>
      </w:r>
      <w:r>
        <w:rPr>
          <w:rFonts w:hint="eastAsia" w:ascii="国标仿宋-GB/T 2312" w:hAnsi="国标仿宋-GB/T 2312" w:eastAsia="国标仿宋-GB/T 2312" w:cs="国标仿宋-GB/T 2312"/>
          <w:color w:val="auto"/>
          <w:sz w:val="32"/>
          <w:szCs w:val="32"/>
          <w:highlight w:val="none"/>
          <w:lang w:eastAsia="zh-CN"/>
        </w:rPr>
        <w:t>报告表</w:t>
      </w:r>
      <w:r>
        <w:rPr>
          <w:rFonts w:hint="eastAsia" w:ascii="国标仿宋-GB/T 2312" w:hAnsi="国标仿宋-GB/T 2312" w:eastAsia="国标仿宋-GB/T 2312" w:cs="国标仿宋-GB/T 2312"/>
          <w:color w:val="auto"/>
          <w:sz w:val="32"/>
          <w:szCs w:val="32"/>
          <w:highlight w:val="none"/>
        </w:rPr>
        <w:t>中提出的各项污染防治措施</w:t>
      </w:r>
      <w:r>
        <w:rPr>
          <w:rFonts w:hint="eastAsia" w:ascii="国标仿宋-GB/T 2312" w:hAnsi="国标仿宋-GB/T 2312" w:eastAsia="国标仿宋-GB/T 2312" w:cs="国标仿宋-GB/T 2312"/>
          <w:color w:val="auto"/>
          <w:sz w:val="32"/>
          <w:szCs w:val="32"/>
          <w:highlight w:val="none"/>
          <w:lang w:val="en-US" w:eastAsia="zh-CN"/>
        </w:rPr>
        <w:t>和环境管理要求</w:t>
      </w:r>
      <w:r>
        <w:rPr>
          <w:rFonts w:hint="eastAsia" w:ascii="国标仿宋-GB/T 2312" w:hAnsi="国标仿宋-GB/T 2312" w:eastAsia="国标仿宋-GB/T 2312" w:cs="国标仿宋-GB/T 2312"/>
          <w:color w:val="auto"/>
          <w:sz w:val="32"/>
          <w:szCs w:val="32"/>
          <w:highlight w:val="none"/>
        </w:rPr>
        <w:t>，并着重做好以下工作：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国标仿宋-GB/T 2312" w:hAnsi="国标仿宋-GB/T 2312" w:eastAsia="国标仿宋-GB/T 2312" w:cs="国标仿宋-GB/T 2312"/>
          <w:color w:val="auto"/>
          <w:sz w:val="32"/>
          <w:szCs w:val="32"/>
          <w:highlight w:val="none"/>
          <w:lang w:val="en-US" w:eastAsia="zh-CN"/>
        </w:rPr>
      </w:pPr>
      <w:r>
        <w:rPr>
          <w:rFonts w:hint="eastAsia" w:ascii="国标仿宋-GB/T 2312" w:hAnsi="国标仿宋-GB/T 2312" w:eastAsia="国标仿宋-GB/T 2312" w:cs="国标仿宋-GB/T 2312"/>
          <w:color w:val="auto"/>
          <w:sz w:val="32"/>
          <w:szCs w:val="32"/>
          <w:highlight w:val="none"/>
        </w:rPr>
        <w:t>（一）严格落实</w:t>
      </w:r>
      <w:r>
        <w:rPr>
          <w:rFonts w:hint="eastAsia" w:ascii="国标仿宋-GB/T 2312" w:hAnsi="国标仿宋-GB/T 2312" w:eastAsia="国标仿宋-GB/T 2312" w:cs="国标仿宋-GB/T 2312"/>
          <w:color w:val="auto"/>
          <w:sz w:val="32"/>
          <w:szCs w:val="32"/>
          <w:highlight w:val="none"/>
          <w:lang w:eastAsia="zh-CN"/>
        </w:rPr>
        <w:t>废气</w:t>
      </w:r>
      <w:r>
        <w:rPr>
          <w:rFonts w:hint="eastAsia" w:ascii="国标仿宋-GB/T 2312" w:hAnsi="国标仿宋-GB/T 2312" w:eastAsia="国标仿宋-GB/T 2312" w:cs="国标仿宋-GB/T 2312"/>
          <w:color w:val="auto"/>
          <w:sz w:val="32"/>
          <w:szCs w:val="32"/>
          <w:highlight w:val="none"/>
        </w:rPr>
        <w:t>污染防治措施。</w:t>
      </w:r>
      <w:bookmarkStart w:id="1" w:name="OLE_LINK7"/>
      <w:r>
        <w:rPr>
          <w:rFonts w:hint="eastAsia" w:ascii="国标仿宋-GB/T 2312" w:hAnsi="国标仿宋-GB/T 2312" w:eastAsia="国标仿宋-GB/T 2312" w:cs="国标仿宋-GB/T 2312"/>
          <w:color w:val="auto"/>
          <w:sz w:val="32"/>
          <w:szCs w:val="32"/>
          <w:highlight w:val="none"/>
        </w:rPr>
        <w:t>外壁喷砂</w:t>
      </w:r>
      <w:r>
        <w:rPr>
          <w:rFonts w:hint="eastAsia" w:ascii="国标仿宋-GB/T 2312" w:hAnsi="国标仿宋-GB/T 2312" w:eastAsia="国标仿宋-GB/T 2312" w:cs="国标仿宋-GB/T 2312"/>
          <w:color w:val="auto"/>
          <w:sz w:val="32"/>
          <w:szCs w:val="32"/>
          <w:highlight w:val="none"/>
          <w:lang w:eastAsia="zh-CN"/>
        </w:rPr>
        <w:t>产生的颗粒物</w:t>
      </w:r>
      <w:r>
        <w:rPr>
          <w:rFonts w:hint="eastAsia" w:ascii="国标仿宋-GB/T 2312" w:hAnsi="国标仿宋-GB/T 2312" w:eastAsia="国标仿宋-GB/T 2312" w:cs="国标仿宋-GB/T 2312"/>
          <w:color w:val="auto"/>
          <w:sz w:val="32"/>
          <w:szCs w:val="32"/>
          <w:highlight w:val="none"/>
        </w:rPr>
        <w:t>废气</w:t>
      </w:r>
      <w:r>
        <w:rPr>
          <w:rFonts w:hint="eastAsia" w:ascii="国标仿宋-GB/T 2312" w:hAnsi="国标仿宋-GB/T 2312" w:eastAsia="国标仿宋-GB/T 2312" w:cs="国标仿宋-GB/T 2312"/>
          <w:color w:val="auto"/>
          <w:sz w:val="32"/>
          <w:szCs w:val="32"/>
          <w:highlight w:val="none"/>
          <w:lang w:val="en-US" w:eastAsia="zh-CN"/>
        </w:rPr>
        <w:t>由脉冲反吹滤筒式除尘器处理后</w:t>
      </w:r>
      <w:r>
        <w:rPr>
          <w:rFonts w:hint="eastAsia" w:ascii="国标仿宋-GB/T 2312" w:hAnsi="国标仿宋-GB/T 2312" w:eastAsia="国标仿宋-GB/T 2312" w:cs="国标仿宋-GB/T 2312"/>
          <w:color w:val="auto"/>
          <w:sz w:val="32"/>
          <w:szCs w:val="32"/>
          <w:highlight w:val="none"/>
        </w:rPr>
        <w:t>通过</w:t>
      </w:r>
      <w:r>
        <w:rPr>
          <w:rFonts w:hint="eastAsia" w:ascii="国标仿宋-GB/T 2312" w:hAnsi="国标仿宋-GB/T 2312" w:eastAsia="国标仿宋-GB/T 2312" w:cs="国标仿宋-GB/T 2312"/>
          <w:color w:val="auto"/>
          <w:sz w:val="32"/>
          <w:szCs w:val="32"/>
          <w:highlight w:val="none"/>
          <w:lang w:eastAsia="zh-CN"/>
        </w:rPr>
        <w:t>不低于</w:t>
      </w:r>
      <w:r>
        <w:rPr>
          <w:rFonts w:hint="eastAsia" w:ascii="国标仿宋-GB/T 2312" w:hAnsi="国标仿宋-GB/T 2312" w:eastAsia="国标仿宋-GB/T 2312" w:cs="国标仿宋-GB/T 2312"/>
          <w:color w:val="auto"/>
          <w:sz w:val="32"/>
          <w:szCs w:val="32"/>
          <w:highlight w:val="none"/>
        </w:rPr>
        <w:t>15m排气筒</w:t>
      </w:r>
      <w:r>
        <w:rPr>
          <w:rFonts w:hint="eastAsia" w:ascii="国标仿宋-GB/T 2312" w:hAnsi="国标仿宋-GB/T 2312" w:eastAsia="国标仿宋-GB/T 2312" w:cs="国标仿宋-GB/T 2312"/>
          <w:color w:val="auto"/>
          <w:sz w:val="32"/>
          <w:szCs w:val="32"/>
          <w:highlight w:val="none"/>
          <w:lang w:eastAsia="zh-CN"/>
        </w:rPr>
        <w:t>排放</w:t>
      </w:r>
      <w:bookmarkEnd w:id="1"/>
      <w:r>
        <w:rPr>
          <w:rFonts w:hint="eastAsia" w:ascii="国标仿宋-GB/T 2312" w:hAnsi="国标仿宋-GB/T 2312" w:eastAsia="国标仿宋-GB/T 2312" w:cs="国标仿宋-GB/T 2312"/>
          <w:color w:val="auto"/>
          <w:sz w:val="32"/>
          <w:szCs w:val="32"/>
          <w:highlight w:val="none"/>
        </w:rPr>
        <w:t>；</w:t>
      </w:r>
      <w:r>
        <w:rPr>
          <w:rFonts w:hint="eastAsia" w:ascii="国标仿宋-GB/T 2312" w:hAnsi="国标仿宋-GB/T 2312" w:eastAsia="国标仿宋-GB/T 2312" w:cs="国标仿宋-GB/T 2312"/>
          <w:color w:val="auto"/>
          <w:sz w:val="32"/>
          <w:szCs w:val="32"/>
          <w:highlight w:val="none"/>
          <w:lang w:eastAsia="zh-CN"/>
        </w:rPr>
        <w:t>内</w:t>
      </w:r>
      <w:r>
        <w:rPr>
          <w:rFonts w:hint="eastAsia" w:ascii="国标仿宋-GB/T 2312" w:hAnsi="国标仿宋-GB/T 2312" w:eastAsia="国标仿宋-GB/T 2312" w:cs="国标仿宋-GB/T 2312"/>
          <w:color w:val="auto"/>
          <w:sz w:val="32"/>
          <w:szCs w:val="32"/>
          <w:highlight w:val="none"/>
        </w:rPr>
        <w:t>壁喷砂</w:t>
      </w:r>
      <w:r>
        <w:rPr>
          <w:rFonts w:hint="eastAsia" w:ascii="国标仿宋-GB/T 2312" w:hAnsi="国标仿宋-GB/T 2312" w:eastAsia="国标仿宋-GB/T 2312" w:cs="国标仿宋-GB/T 2312"/>
          <w:color w:val="auto"/>
          <w:sz w:val="32"/>
          <w:szCs w:val="32"/>
          <w:highlight w:val="none"/>
          <w:lang w:eastAsia="zh-CN"/>
        </w:rPr>
        <w:t>产生的颗粒物</w:t>
      </w:r>
      <w:r>
        <w:rPr>
          <w:rFonts w:hint="eastAsia" w:ascii="国标仿宋-GB/T 2312" w:hAnsi="国标仿宋-GB/T 2312" w:eastAsia="国标仿宋-GB/T 2312" w:cs="国标仿宋-GB/T 2312"/>
          <w:color w:val="auto"/>
          <w:sz w:val="32"/>
          <w:szCs w:val="32"/>
          <w:highlight w:val="none"/>
        </w:rPr>
        <w:t>废气</w:t>
      </w:r>
      <w:r>
        <w:rPr>
          <w:rFonts w:hint="eastAsia" w:ascii="国标仿宋-GB/T 2312" w:hAnsi="国标仿宋-GB/T 2312" w:eastAsia="国标仿宋-GB/T 2312" w:cs="国标仿宋-GB/T 2312"/>
          <w:color w:val="auto"/>
          <w:sz w:val="32"/>
          <w:szCs w:val="32"/>
          <w:highlight w:val="none"/>
          <w:lang w:val="en-US" w:eastAsia="zh-CN"/>
        </w:rPr>
        <w:t>由两级袋式除尘器</w:t>
      </w:r>
      <w:bookmarkStart w:id="2" w:name="OLE_LINK8"/>
      <w:r>
        <w:rPr>
          <w:rFonts w:hint="eastAsia" w:ascii="国标仿宋-GB/T 2312" w:hAnsi="国标仿宋-GB/T 2312" w:eastAsia="国标仿宋-GB/T 2312" w:cs="国标仿宋-GB/T 2312"/>
          <w:color w:val="auto"/>
          <w:sz w:val="32"/>
          <w:szCs w:val="32"/>
          <w:highlight w:val="none"/>
          <w:lang w:val="en-US" w:eastAsia="zh-CN"/>
        </w:rPr>
        <w:t>处理后</w:t>
      </w:r>
      <w:r>
        <w:rPr>
          <w:rFonts w:hint="eastAsia" w:ascii="国标仿宋-GB/T 2312" w:hAnsi="国标仿宋-GB/T 2312" w:eastAsia="国标仿宋-GB/T 2312" w:cs="国标仿宋-GB/T 2312"/>
          <w:color w:val="auto"/>
          <w:sz w:val="32"/>
          <w:szCs w:val="32"/>
          <w:highlight w:val="none"/>
        </w:rPr>
        <w:t>通过</w:t>
      </w:r>
      <w:r>
        <w:rPr>
          <w:rFonts w:hint="eastAsia" w:ascii="国标仿宋-GB/T 2312" w:hAnsi="国标仿宋-GB/T 2312" w:eastAsia="国标仿宋-GB/T 2312" w:cs="国标仿宋-GB/T 2312"/>
          <w:color w:val="auto"/>
          <w:sz w:val="32"/>
          <w:szCs w:val="32"/>
          <w:highlight w:val="none"/>
          <w:lang w:eastAsia="zh-CN"/>
        </w:rPr>
        <w:t>不低于</w:t>
      </w:r>
      <w:r>
        <w:rPr>
          <w:rFonts w:hint="eastAsia" w:ascii="国标仿宋-GB/T 2312" w:hAnsi="国标仿宋-GB/T 2312" w:eastAsia="国标仿宋-GB/T 2312" w:cs="国标仿宋-GB/T 2312"/>
          <w:color w:val="auto"/>
          <w:sz w:val="32"/>
          <w:szCs w:val="32"/>
          <w:highlight w:val="none"/>
        </w:rPr>
        <w:t>15m排气筒</w:t>
      </w:r>
      <w:r>
        <w:rPr>
          <w:rFonts w:hint="eastAsia" w:ascii="国标仿宋-GB/T 2312" w:hAnsi="国标仿宋-GB/T 2312" w:eastAsia="国标仿宋-GB/T 2312" w:cs="国标仿宋-GB/T 2312"/>
          <w:color w:val="auto"/>
          <w:sz w:val="32"/>
          <w:szCs w:val="32"/>
          <w:highlight w:val="none"/>
          <w:lang w:eastAsia="zh-CN"/>
        </w:rPr>
        <w:t>排放</w:t>
      </w:r>
      <w:bookmarkEnd w:id="2"/>
      <w:r>
        <w:rPr>
          <w:rFonts w:hint="eastAsia" w:ascii="国标仿宋-GB/T 2312" w:hAnsi="国标仿宋-GB/T 2312" w:eastAsia="国标仿宋-GB/T 2312" w:cs="国标仿宋-GB/T 2312"/>
          <w:color w:val="auto"/>
          <w:sz w:val="32"/>
          <w:szCs w:val="32"/>
          <w:highlight w:val="none"/>
          <w:lang w:eastAsia="zh-CN"/>
        </w:rPr>
        <w:t>；涂装废气由干式过滤+活性炭吸附/脱附浓缩+催化燃烧（CO）</w:t>
      </w:r>
      <w:r>
        <w:rPr>
          <w:rFonts w:hint="eastAsia" w:ascii="国标仿宋-GB/T 2312" w:hAnsi="国标仿宋-GB/T 2312" w:eastAsia="国标仿宋-GB/T 2312" w:cs="国标仿宋-GB/T 2312"/>
          <w:color w:val="auto"/>
          <w:sz w:val="32"/>
          <w:szCs w:val="32"/>
          <w:highlight w:val="none"/>
          <w:lang w:val="en-US" w:eastAsia="zh-CN"/>
        </w:rPr>
        <w:t>处理后</w:t>
      </w:r>
      <w:r>
        <w:rPr>
          <w:rFonts w:hint="eastAsia" w:ascii="国标仿宋-GB/T 2312" w:hAnsi="国标仿宋-GB/T 2312" w:eastAsia="国标仿宋-GB/T 2312" w:cs="国标仿宋-GB/T 2312"/>
          <w:color w:val="auto"/>
          <w:sz w:val="32"/>
          <w:szCs w:val="32"/>
          <w:highlight w:val="none"/>
        </w:rPr>
        <w:t>通过</w:t>
      </w:r>
      <w:r>
        <w:rPr>
          <w:rFonts w:hint="eastAsia" w:ascii="国标仿宋-GB/T 2312" w:hAnsi="国标仿宋-GB/T 2312" w:eastAsia="国标仿宋-GB/T 2312" w:cs="国标仿宋-GB/T 2312"/>
          <w:color w:val="auto"/>
          <w:sz w:val="32"/>
          <w:szCs w:val="32"/>
          <w:highlight w:val="none"/>
          <w:lang w:eastAsia="zh-CN"/>
        </w:rPr>
        <w:t>不低于</w:t>
      </w:r>
      <w:r>
        <w:rPr>
          <w:rFonts w:hint="eastAsia" w:ascii="国标仿宋-GB/T 2312" w:hAnsi="国标仿宋-GB/T 2312" w:eastAsia="国标仿宋-GB/T 2312" w:cs="国标仿宋-GB/T 2312"/>
          <w:color w:val="auto"/>
          <w:sz w:val="32"/>
          <w:szCs w:val="32"/>
          <w:highlight w:val="none"/>
        </w:rPr>
        <w:t>15m排气筒</w:t>
      </w:r>
      <w:r>
        <w:rPr>
          <w:rFonts w:hint="eastAsia" w:ascii="国标仿宋-GB/T 2312" w:hAnsi="国标仿宋-GB/T 2312" w:eastAsia="国标仿宋-GB/T 2312" w:cs="国标仿宋-GB/T 2312"/>
          <w:color w:val="auto"/>
          <w:sz w:val="32"/>
          <w:szCs w:val="32"/>
          <w:highlight w:val="none"/>
          <w:lang w:eastAsia="zh-CN"/>
        </w:rPr>
        <w:t>排放。</w:t>
      </w:r>
      <w:bookmarkStart w:id="3" w:name="OLE_LINK3"/>
      <w:r>
        <w:rPr>
          <w:rFonts w:hint="eastAsia" w:ascii="国标仿宋-GB/T 2312" w:hAnsi="国标仿宋-GB/T 2312" w:eastAsia="国标仿宋-GB/T 2312" w:cs="国标仿宋-GB/T 2312"/>
          <w:color w:val="auto"/>
          <w:sz w:val="32"/>
          <w:szCs w:val="32"/>
          <w:highlight w:val="none"/>
          <w:lang w:eastAsia="zh-CN"/>
        </w:rPr>
        <w:t>有机废气的排放</w:t>
      </w:r>
      <w:bookmarkEnd w:id="3"/>
      <w:r>
        <w:rPr>
          <w:rFonts w:hint="eastAsia" w:ascii="国标仿宋-GB/T 2312" w:hAnsi="国标仿宋-GB/T 2312" w:eastAsia="国标仿宋-GB/T 2312" w:cs="国标仿宋-GB/T 2312"/>
          <w:color w:val="auto"/>
          <w:sz w:val="32"/>
          <w:szCs w:val="32"/>
          <w:highlight w:val="none"/>
        </w:rPr>
        <w:t>满足《表面涂装（汽车制造及维修）挥发性有机物、镍排放标准》（</w:t>
      </w:r>
      <w:bookmarkStart w:id="4" w:name="OLE_LINK4"/>
      <w:r>
        <w:rPr>
          <w:rFonts w:hint="eastAsia" w:ascii="国标仿宋-GB/T 2312" w:hAnsi="国标仿宋-GB/T 2312" w:eastAsia="国标仿宋-GB/T 2312" w:cs="国标仿宋-GB/T 2312"/>
          <w:color w:val="auto"/>
          <w:sz w:val="32"/>
          <w:szCs w:val="32"/>
          <w:highlight w:val="none"/>
        </w:rPr>
        <w:t>DB43/1356-2017</w:t>
      </w:r>
      <w:bookmarkEnd w:id="4"/>
      <w:r>
        <w:rPr>
          <w:rFonts w:hint="eastAsia" w:ascii="国标仿宋-GB/T 2312" w:hAnsi="国标仿宋-GB/T 2312" w:eastAsia="国标仿宋-GB/T 2312" w:cs="国标仿宋-GB/T 2312"/>
          <w:color w:val="auto"/>
          <w:sz w:val="32"/>
          <w:szCs w:val="32"/>
          <w:highlight w:val="none"/>
        </w:rPr>
        <w:t>）</w:t>
      </w:r>
      <w:r>
        <w:rPr>
          <w:rFonts w:hint="eastAsia" w:ascii="国标仿宋-GB/T 2312" w:hAnsi="国标仿宋-GB/T 2312" w:eastAsia="国标仿宋-GB/T 2312" w:cs="国标仿宋-GB/T 2312"/>
          <w:color w:val="auto"/>
          <w:sz w:val="32"/>
          <w:szCs w:val="32"/>
          <w:highlight w:val="none"/>
          <w:lang w:eastAsia="zh-CN"/>
        </w:rPr>
        <w:t>表</w:t>
      </w:r>
      <w:r>
        <w:rPr>
          <w:rFonts w:hint="eastAsia" w:ascii="国标仿宋-GB/T 2312" w:hAnsi="国标仿宋-GB/T 2312" w:eastAsia="国标仿宋-GB/T 2312" w:cs="国标仿宋-GB/T 2312"/>
          <w:color w:val="auto"/>
          <w:sz w:val="32"/>
          <w:szCs w:val="32"/>
          <w:highlight w:val="none"/>
          <w:lang w:val="en-US" w:eastAsia="zh-CN"/>
        </w:rPr>
        <w:t>1及</w:t>
      </w:r>
      <w:r>
        <w:rPr>
          <w:rFonts w:hint="eastAsia" w:ascii="国标仿宋-GB/T 2312" w:hAnsi="国标仿宋-GB/T 2312" w:eastAsia="国标仿宋-GB/T 2312" w:cs="国标仿宋-GB/T 2312"/>
          <w:color w:val="auto"/>
          <w:sz w:val="32"/>
          <w:szCs w:val="32"/>
          <w:highlight w:val="none"/>
          <w:lang w:eastAsia="zh-CN"/>
        </w:rPr>
        <w:t>表</w:t>
      </w:r>
      <w:r>
        <w:rPr>
          <w:rFonts w:hint="eastAsia" w:ascii="国标仿宋-GB/T 2312" w:hAnsi="国标仿宋-GB/T 2312" w:eastAsia="国标仿宋-GB/T 2312" w:cs="国标仿宋-GB/T 2312"/>
          <w:color w:val="auto"/>
          <w:sz w:val="32"/>
          <w:szCs w:val="32"/>
          <w:highlight w:val="none"/>
          <w:lang w:val="en-US" w:eastAsia="zh-CN"/>
        </w:rPr>
        <w:t>3排放限值</w:t>
      </w:r>
      <w:r>
        <w:rPr>
          <w:rFonts w:hint="eastAsia" w:ascii="国标仿宋-GB/T 2312" w:hAnsi="国标仿宋-GB/T 2312" w:eastAsia="国标仿宋-GB/T 2312" w:cs="国标仿宋-GB/T 2312"/>
          <w:color w:val="auto"/>
          <w:sz w:val="32"/>
          <w:szCs w:val="32"/>
          <w:highlight w:val="none"/>
        </w:rPr>
        <w:t>、颗粒物</w:t>
      </w:r>
      <w:r>
        <w:rPr>
          <w:rFonts w:hint="eastAsia" w:ascii="国标仿宋-GB/T 2312" w:hAnsi="国标仿宋-GB/T 2312" w:eastAsia="国标仿宋-GB/T 2312" w:cs="国标仿宋-GB/T 2312"/>
          <w:color w:val="auto"/>
          <w:sz w:val="32"/>
          <w:szCs w:val="32"/>
          <w:highlight w:val="none"/>
          <w:lang w:eastAsia="zh-CN"/>
        </w:rPr>
        <w:t>的排放</w:t>
      </w:r>
      <w:r>
        <w:rPr>
          <w:rFonts w:hint="eastAsia" w:ascii="国标仿宋-GB/T 2312" w:hAnsi="国标仿宋-GB/T 2312" w:eastAsia="国标仿宋-GB/T 2312" w:cs="国标仿宋-GB/T 2312"/>
          <w:color w:val="auto"/>
          <w:sz w:val="32"/>
          <w:szCs w:val="32"/>
          <w:highlight w:val="none"/>
        </w:rPr>
        <w:t>满足《大气污染物综合排放标准》（GB16297-1996）表2颗粒物二级标准及无组织</w:t>
      </w:r>
      <w:bookmarkStart w:id="5" w:name="OLE_LINK6"/>
      <w:r>
        <w:rPr>
          <w:rFonts w:hint="eastAsia" w:ascii="国标仿宋-GB/T 2312" w:hAnsi="国标仿宋-GB/T 2312" w:eastAsia="国标仿宋-GB/T 2312" w:cs="国标仿宋-GB/T 2312"/>
          <w:color w:val="auto"/>
          <w:sz w:val="32"/>
          <w:szCs w:val="32"/>
          <w:highlight w:val="none"/>
        </w:rPr>
        <w:t>排放限值</w:t>
      </w:r>
      <w:bookmarkEnd w:id="5"/>
      <w:r>
        <w:rPr>
          <w:rFonts w:hint="eastAsia" w:ascii="国标仿宋-GB/T 2312" w:hAnsi="国标仿宋-GB/T 2312" w:eastAsia="国标仿宋-GB/T 2312" w:cs="国标仿宋-GB/T 2312"/>
          <w:color w:val="auto"/>
          <w:sz w:val="32"/>
          <w:szCs w:val="32"/>
          <w:highlight w:val="none"/>
        </w:rPr>
        <w:t>、厂内非甲烷总烃</w:t>
      </w:r>
      <w:r>
        <w:rPr>
          <w:rFonts w:hint="eastAsia" w:ascii="国标仿宋-GB/T 2312" w:hAnsi="国标仿宋-GB/T 2312" w:eastAsia="国标仿宋-GB/T 2312" w:cs="国标仿宋-GB/T 2312"/>
          <w:color w:val="auto"/>
          <w:sz w:val="32"/>
          <w:szCs w:val="32"/>
          <w:highlight w:val="none"/>
          <w:lang w:eastAsia="zh-CN"/>
        </w:rPr>
        <w:t>排放</w:t>
      </w:r>
      <w:r>
        <w:rPr>
          <w:rFonts w:hint="eastAsia" w:ascii="国标仿宋-GB/T 2312" w:hAnsi="国标仿宋-GB/T 2312" w:eastAsia="国标仿宋-GB/T 2312" w:cs="国标仿宋-GB/T 2312"/>
          <w:color w:val="auto"/>
          <w:sz w:val="32"/>
          <w:szCs w:val="32"/>
          <w:highlight w:val="none"/>
        </w:rPr>
        <w:t>满足</w:t>
      </w:r>
      <w:bookmarkStart w:id="6" w:name="OLE_LINK653"/>
      <w:r>
        <w:rPr>
          <w:rFonts w:hint="eastAsia" w:ascii="国标仿宋-GB/T 2312" w:hAnsi="国标仿宋-GB/T 2312" w:eastAsia="国标仿宋-GB/T 2312" w:cs="国标仿宋-GB/T 2312"/>
          <w:color w:val="auto"/>
          <w:sz w:val="32"/>
          <w:szCs w:val="32"/>
          <w:highlight w:val="none"/>
          <w:lang w:val="en-US" w:eastAsia="zh-CN"/>
        </w:rPr>
        <w:t>《挥发性有机物无组织排放控制标准》（</w:t>
      </w:r>
      <w:bookmarkStart w:id="7" w:name="OLE_LINK274"/>
      <w:r>
        <w:rPr>
          <w:rFonts w:hint="eastAsia" w:ascii="国标仿宋-GB/T 2312" w:hAnsi="国标仿宋-GB/T 2312" w:eastAsia="国标仿宋-GB/T 2312" w:cs="国标仿宋-GB/T 2312"/>
          <w:color w:val="auto"/>
          <w:sz w:val="32"/>
          <w:szCs w:val="32"/>
          <w:highlight w:val="none"/>
          <w:lang w:val="en-US" w:eastAsia="zh-CN"/>
        </w:rPr>
        <w:t>GB37822-2019</w:t>
      </w:r>
      <w:bookmarkEnd w:id="7"/>
      <w:r>
        <w:rPr>
          <w:rFonts w:hint="eastAsia" w:ascii="国标仿宋-GB/T 2312" w:hAnsi="国标仿宋-GB/T 2312" w:eastAsia="国标仿宋-GB/T 2312" w:cs="国标仿宋-GB/T 2312"/>
          <w:color w:val="auto"/>
          <w:sz w:val="32"/>
          <w:szCs w:val="32"/>
          <w:highlight w:val="none"/>
          <w:lang w:val="en-US" w:eastAsia="zh-CN"/>
        </w:rPr>
        <w:t>）</w:t>
      </w:r>
      <w:bookmarkEnd w:id="6"/>
      <w:r>
        <w:rPr>
          <w:rFonts w:hint="eastAsia" w:ascii="国标仿宋-GB/T 2312" w:hAnsi="国标仿宋-GB/T 2312" w:eastAsia="国标仿宋-GB/T 2312" w:cs="国标仿宋-GB/T 2312"/>
          <w:color w:val="auto"/>
          <w:sz w:val="32"/>
          <w:szCs w:val="32"/>
          <w:highlight w:val="none"/>
        </w:rPr>
        <w:t>排放限值</w:t>
      </w:r>
      <w:r>
        <w:rPr>
          <w:rFonts w:hint="eastAsia" w:ascii="国标仿宋-GB/T 2312" w:hAnsi="国标仿宋-GB/T 2312" w:eastAsia="国标仿宋-GB/T 2312" w:cs="国标仿宋-GB/T 2312"/>
          <w:color w:val="auto"/>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snapToGrid/>
        <w:spacing w:before="0" w:beforeLines="0" w:line="560" w:lineRule="exact"/>
        <w:ind w:firstLine="640" w:firstLineChars="200"/>
        <w:jc w:val="left"/>
        <w:rPr>
          <w:rFonts w:hint="default" w:ascii="仿宋" w:hAnsi="仿宋" w:eastAsia="仿宋" w:cs="Times New Roman"/>
          <w:bCs w:val="0"/>
          <w:color w:val="auto"/>
          <w:kern w:val="2"/>
          <w:sz w:val="32"/>
          <w:szCs w:val="32"/>
          <w:highlight w:val="none"/>
          <w:lang w:val="en-US" w:eastAsia="zh-CN" w:bidi="ar-SA"/>
        </w:rPr>
      </w:pPr>
      <w:r>
        <w:rPr>
          <w:rFonts w:hint="eastAsia" w:ascii="国标仿宋-GB/T 2312" w:hAnsi="国标仿宋-GB/T 2312" w:eastAsia="国标仿宋-GB/T 2312" w:cs="国标仿宋-GB/T 2312"/>
          <w:b w:val="0"/>
          <w:bCs w:val="0"/>
          <w:color w:val="auto"/>
          <w:sz w:val="32"/>
          <w:szCs w:val="32"/>
          <w:highlight w:val="none"/>
        </w:rPr>
        <w:t>（二）严格落实</w:t>
      </w:r>
      <w:r>
        <w:rPr>
          <w:rFonts w:hint="eastAsia" w:ascii="国标仿宋-GB/T 2312" w:hAnsi="国标仿宋-GB/T 2312" w:eastAsia="国标仿宋-GB/T 2312" w:cs="国标仿宋-GB/T 2312"/>
          <w:b w:val="0"/>
          <w:bCs w:val="0"/>
          <w:color w:val="auto"/>
          <w:sz w:val="32"/>
          <w:szCs w:val="32"/>
          <w:highlight w:val="none"/>
          <w:lang w:eastAsia="zh-CN"/>
        </w:rPr>
        <w:t>废水处理</w:t>
      </w:r>
      <w:r>
        <w:rPr>
          <w:rFonts w:hint="eastAsia" w:ascii="国标仿宋-GB/T 2312" w:hAnsi="国标仿宋-GB/T 2312" w:eastAsia="国标仿宋-GB/T 2312" w:cs="国标仿宋-GB/T 2312"/>
          <w:b w:val="0"/>
          <w:bCs w:val="0"/>
          <w:color w:val="auto"/>
          <w:sz w:val="32"/>
          <w:szCs w:val="32"/>
          <w:highlight w:val="none"/>
        </w:rPr>
        <w:t>措施。</w:t>
      </w:r>
      <w:r>
        <w:rPr>
          <w:rFonts w:hint="default" w:ascii="仿宋" w:hAnsi="仿宋" w:eastAsia="仿宋" w:cs="Times New Roman"/>
          <w:bCs w:val="0"/>
          <w:color w:val="auto"/>
          <w:kern w:val="2"/>
          <w:sz w:val="32"/>
          <w:szCs w:val="32"/>
          <w:highlight w:val="none"/>
          <w:lang w:val="en-US" w:eastAsia="zh-CN" w:bidi="ar-SA"/>
        </w:rPr>
        <w:t>地面拖洗废水</w:t>
      </w:r>
      <w:r>
        <w:rPr>
          <w:rFonts w:hint="eastAsia" w:ascii="仿宋" w:hAnsi="仿宋" w:eastAsia="仿宋" w:cs="Times New Roman"/>
          <w:bCs w:val="0"/>
          <w:color w:val="auto"/>
          <w:kern w:val="2"/>
          <w:sz w:val="32"/>
          <w:szCs w:val="32"/>
          <w:highlight w:val="none"/>
          <w:lang w:val="en-US" w:eastAsia="zh-CN" w:bidi="ar-SA"/>
        </w:rPr>
        <w:t>及</w:t>
      </w:r>
      <w:r>
        <w:rPr>
          <w:rFonts w:hint="default" w:ascii="仿宋" w:hAnsi="仿宋" w:eastAsia="仿宋" w:cs="Times New Roman"/>
          <w:bCs w:val="0"/>
          <w:color w:val="auto"/>
          <w:kern w:val="2"/>
          <w:sz w:val="32"/>
          <w:szCs w:val="32"/>
          <w:highlight w:val="none"/>
          <w:lang w:val="en-US" w:eastAsia="zh-CN" w:bidi="ar-SA"/>
        </w:rPr>
        <w:t>生活废水经</w:t>
      </w:r>
      <w:r>
        <w:rPr>
          <w:rFonts w:hint="eastAsia" w:ascii="仿宋" w:hAnsi="仿宋" w:eastAsia="仿宋" w:cs="Times New Roman"/>
          <w:bCs w:val="0"/>
          <w:color w:val="auto"/>
          <w:kern w:val="2"/>
          <w:sz w:val="32"/>
          <w:szCs w:val="32"/>
          <w:highlight w:val="none"/>
          <w:lang w:val="en-US" w:eastAsia="zh-CN" w:bidi="ar-SA"/>
        </w:rPr>
        <w:t>隔油池+</w:t>
      </w:r>
      <w:r>
        <w:rPr>
          <w:rFonts w:hint="default" w:ascii="仿宋" w:hAnsi="仿宋" w:eastAsia="仿宋" w:cs="Times New Roman"/>
          <w:bCs w:val="0"/>
          <w:color w:val="auto"/>
          <w:kern w:val="2"/>
          <w:sz w:val="32"/>
          <w:szCs w:val="32"/>
          <w:highlight w:val="none"/>
          <w:lang w:val="en-US" w:eastAsia="zh-CN" w:bidi="ar-SA"/>
        </w:rPr>
        <w:t>化粪池</w:t>
      </w:r>
      <w:r>
        <w:rPr>
          <w:rFonts w:hint="eastAsia" w:ascii="仿宋" w:hAnsi="仿宋" w:eastAsia="仿宋" w:cs="Times New Roman"/>
          <w:bCs w:val="0"/>
          <w:color w:val="auto"/>
          <w:kern w:val="2"/>
          <w:sz w:val="32"/>
          <w:szCs w:val="32"/>
          <w:highlight w:val="none"/>
          <w:lang w:val="en-US" w:eastAsia="zh-CN" w:bidi="ar-SA"/>
        </w:rPr>
        <w:t>预</w:t>
      </w:r>
      <w:r>
        <w:rPr>
          <w:rFonts w:hint="default" w:ascii="仿宋" w:hAnsi="仿宋" w:eastAsia="仿宋" w:cs="Times New Roman"/>
          <w:bCs w:val="0"/>
          <w:color w:val="auto"/>
          <w:kern w:val="2"/>
          <w:sz w:val="32"/>
          <w:szCs w:val="32"/>
          <w:highlight w:val="none"/>
          <w:lang w:val="en-US" w:eastAsia="zh-CN" w:bidi="ar-SA"/>
        </w:rPr>
        <w:t>处理</w:t>
      </w:r>
      <w:r>
        <w:rPr>
          <w:rFonts w:hint="eastAsia" w:ascii="仿宋" w:hAnsi="仿宋" w:eastAsia="仿宋" w:cs="Times New Roman"/>
          <w:bCs w:val="0"/>
          <w:color w:val="auto"/>
          <w:kern w:val="2"/>
          <w:sz w:val="32"/>
          <w:szCs w:val="32"/>
          <w:highlight w:val="none"/>
          <w:lang w:val="en-US" w:eastAsia="zh-CN" w:bidi="ar-SA"/>
        </w:rPr>
        <w:t>后经管道进入常德经开区东区工业污水处理厂处理，满足常德经开区东区工业污水处理厂进水水质要求。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b w:val="0"/>
          <w:bCs w:val="0"/>
          <w:color w:val="auto"/>
          <w:sz w:val="32"/>
          <w:szCs w:val="32"/>
          <w:highlight w:val="none"/>
        </w:rPr>
      </w:pPr>
      <w:r>
        <w:rPr>
          <w:rFonts w:hint="eastAsia" w:ascii="国标仿宋-GB/T 2312" w:hAnsi="国标仿宋-GB/T 2312" w:eastAsia="国标仿宋-GB/T 2312" w:cs="国标仿宋-GB/T 2312"/>
          <w:b w:val="0"/>
          <w:bCs w:val="0"/>
          <w:color w:val="auto"/>
          <w:sz w:val="32"/>
          <w:szCs w:val="32"/>
          <w:highlight w:val="none"/>
        </w:rPr>
        <w:t>（三）</w:t>
      </w:r>
      <w:r>
        <w:rPr>
          <w:rFonts w:hint="eastAsia" w:ascii="国标仿宋-GB/T 2312" w:hAnsi="国标仿宋-GB/T 2312" w:eastAsia="国标仿宋-GB/T 2312" w:cs="国标仿宋-GB/T 2312"/>
          <w:b w:val="0"/>
          <w:bCs w:val="0"/>
          <w:color w:val="auto"/>
          <w:sz w:val="32"/>
          <w:szCs w:val="32"/>
          <w:highlight w:val="none"/>
          <w:lang w:eastAsia="zh-CN"/>
        </w:rPr>
        <w:t>加强</w:t>
      </w:r>
      <w:r>
        <w:rPr>
          <w:rFonts w:hint="eastAsia" w:ascii="国标仿宋-GB/T 2312" w:hAnsi="国标仿宋-GB/T 2312" w:eastAsia="国标仿宋-GB/T 2312" w:cs="国标仿宋-GB/T 2312"/>
          <w:b w:val="0"/>
          <w:bCs w:val="0"/>
          <w:color w:val="auto"/>
          <w:sz w:val="32"/>
          <w:szCs w:val="32"/>
          <w:highlight w:val="none"/>
        </w:rPr>
        <w:t>噪声污染</w:t>
      </w:r>
      <w:r>
        <w:rPr>
          <w:rFonts w:hint="eastAsia" w:ascii="国标仿宋-GB/T 2312" w:hAnsi="国标仿宋-GB/T 2312" w:eastAsia="国标仿宋-GB/T 2312" w:cs="国标仿宋-GB/T 2312"/>
          <w:b w:val="0"/>
          <w:bCs w:val="0"/>
          <w:color w:val="auto"/>
          <w:sz w:val="32"/>
          <w:szCs w:val="32"/>
          <w:highlight w:val="none"/>
          <w:lang w:eastAsia="zh-CN"/>
        </w:rPr>
        <w:t>控制</w:t>
      </w:r>
      <w:r>
        <w:rPr>
          <w:rFonts w:hint="eastAsia" w:ascii="国标仿宋-GB/T 2312" w:hAnsi="国标仿宋-GB/T 2312" w:eastAsia="国标仿宋-GB/T 2312" w:cs="国标仿宋-GB/T 2312"/>
          <w:b w:val="0"/>
          <w:bCs w:val="0"/>
          <w:color w:val="auto"/>
          <w:sz w:val="32"/>
          <w:szCs w:val="32"/>
          <w:highlight w:val="none"/>
        </w:rPr>
        <w:t>。</w:t>
      </w:r>
      <w:r>
        <w:rPr>
          <w:rFonts w:hint="eastAsia" w:ascii="国标仿宋-GB/T 2312" w:hAnsi="国标仿宋-GB/T 2312" w:eastAsia="国标仿宋-GB/T 2312" w:cs="国标仿宋-GB/T 2312"/>
          <w:sz w:val="32"/>
          <w:szCs w:val="32"/>
          <w:highlight w:val="none"/>
          <w:lang w:val="en-US" w:eastAsia="zh-CN"/>
        </w:rPr>
        <w:t>合理布置噪声设备位置，优化厂区平面布局，对高噪声设备采取基础减振措施，控制作业时间，减少噪声对周边的影响，厂界噪声满足《工业企业厂界环境噪声排放标准》（GB12348-2008）3类（东厂界、西厂界、北厂界）、4类（南厂界）标准</w:t>
      </w:r>
      <w:r>
        <w:rPr>
          <w:rFonts w:hint="eastAsia" w:ascii="国标仿宋-GB/T 2312" w:hAnsi="国标仿宋-GB/T 2312" w:eastAsia="国标仿宋-GB/T 2312" w:cs="国标仿宋-GB/T 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b w:val="0"/>
          <w:bCs w:val="0"/>
          <w:color w:val="auto"/>
          <w:sz w:val="32"/>
          <w:szCs w:val="32"/>
          <w:highlight w:val="none"/>
          <w:lang w:val="en-US" w:eastAsia="zh-CN"/>
        </w:rPr>
      </w:pPr>
      <w:r>
        <w:rPr>
          <w:rFonts w:hint="eastAsia" w:ascii="国标仿宋-GB/T 2312" w:hAnsi="国标仿宋-GB/T 2312" w:eastAsia="国标仿宋-GB/T 2312" w:cs="国标仿宋-GB/T 2312"/>
          <w:b w:val="0"/>
          <w:bCs w:val="0"/>
          <w:color w:val="auto"/>
          <w:sz w:val="32"/>
          <w:szCs w:val="32"/>
          <w:highlight w:val="none"/>
          <w:lang w:val="en-US" w:eastAsia="zh-CN"/>
        </w:rPr>
        <w:t>（四）严格落实固体废物处置措施。本项目产生的危险废物包括废油漆桶、废矿物油、废油桶、含油抹布及手套、废活性炭、废催化剂、废过滤棉、漆渣等收集后暂存在厂区危废暂存间，定期交由具有危废资质的单位处置。危险废物贮存严格按照《危险废物收集、贮存、运输技术规范》（HJ2025-2012）和《危险废物贮存污染控制标准》（GB18597-2023）的相关要求进行建设。一般固废分类收集、定点堆放在厂区一般固废场所，按一般固废处置。生活垃圾统一收集，交由环卫部门定期清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国标仿宋-GB/T 2312" w:hAnsi="国标仿宋-GB/T 2312" w:eastAsia="国标仿宋-GB/T 2312" w:cs="国标仿宋-GB/T 2312"/>
          <w:b w:val="0"/>
          <w:bCs w:val="0"/>
          <w:color w:val="auto"/>
          <w:sz w:val="32"/>
          <w:szCs w:val="32"/>
          <w:highlight w:val="none"/>
        </w:rPr>
        <w:t>（五）严格落实环境管理要求</w:t>
      </w:r>
      <w:r>
        <w:rPr>
          <w:rFonts w:hint="eastAsia" w:ascii="国标仿宋-GB/T 2312" w:hAnsi="国标仿宋-GB/T 2312" w:eastAsia="国标仿宋-GB/T 2312" w:cs="国标仿宋-GB/T 2312"/>
          <w:b w:val="0"/>
          <w:bCs w:val="0"/>
          <w:color w:val="auto"/>
          <w:sz w:val="32"/>
          <w:szCs w:val="32"/>
          <w:highlight w:val="none"/>
          <w:lang w:eastAsia="zh-CN"/>
        </w:rPr>
        <w:t>。</w:t>
      </w:r>
      <w:r>
        <w:rPr>
          <w:rFonts w:hint="eastAsia" w:ascii="国标仿宋-GB/T 2312" w:hAnsi="国标仿宋-GB/T 2312" w:eastAsia="国标仿宋-GB/T 2312" w:cs="国标仿宋-GB/T 2312"/>
          <w:b w:val="0"/>
          <w:bCs w:val="0"/>
          <w:color w:val="auto"/>
          <w:sz w:val="32"/>
          <w:szCs w:val="32"/>
          <w:highlight w:val="none"/>
        </w:rPr>
        <w:t>明确</w:t>
      </w:r>
      <w:r>
        <w:rPr>
          <w:rFonts w:hint="eastAsia" w:ascii="国标仿宋-GB/T 2312" w:hAnsi="国标仿宋-GB/T 2312" w:eastAsia="国标仿宋-GB/T 2312" w:cs="国标仿宋-GB/T 2312"/>
          <w:b w:val="0"/>
          <w:bCs w:val="0"/>
          <w:color w:val="auto"/>
          <w:sz w:val="32"/>
          <w:szCs w:val="32"/>
          <w:highlight w:val="none"/>
          <w:lang w:eastAsia="zh-CN"/>
        </w:rPr>
        <w:t>环保</w:t>
      </w:r>
      <w:r>
        <w:rPr>
          <w:rFonts w:hint="eastAsia" w:ascii="国标仿宋-GB/T 2312" w:hAnsi="国标仿宋-GB/T 2312" w:eastAsia="国标仿宋-GB/T 2312" w:cs="国标仿宋-GB/T 2312"/>
          <w:b w:val="0"/>
          <w:bCs w:val="0"/>
          <w:color w:val="auto"/>
          <w:sz w:val="32"/>
          <w:szCs w:val="32"/>
          <w:highlight w:val="none"/>
        </w:rPr>
        <w:t>机构、人员、职责和制度，确保环保设施运行稳定、所有外排污染物长期稳定达标排放</w:t>
      </w:r>
      <w:r>
        <w:rPr>
          <w:rFonts w:hint="eastAsia" w:ascii="国标仿宋-GB/T 2312" w:hAnsi="国标仿宋-GB/T 2312" w:eastAsia="国标仿宋-GB/T 2312" w:cs="国标仿宋-GB/T 2312"/>
          <w:b w:val="0"/>
          <w:bCs w:val="0"/>
          <w:color w:val="auto"/>
          <w:sz w:val="32"/>
          <w:szCs w:val="32"/>
          <w:highlight w:val="none"/>
          <w:lang w:eastAsia="zh-CN"/>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三、环境影响报告</w:t>
      </w:r>
      <w:r>
        <w:rPr>
          <w:rFonts w:hint="eastAsia" w:ascii="仿宋_GB2312" w:hAnsi="仿宋_GB2312" w:eastAsia="仿宋_GB2312" w:cs="仿宋_GB2312"/>
          <w:b w:val="0"/>
          <w:bCs/>
          <w:sz w:val="32"/>
          <w:szCs w:val="32"/>
          <w:highlight w:val="none"/>
          <w:lang w:eastAsia="zh-CN"/>
        </w:rPr>
        <w:t>表</w:t>
      </w:r>
      <w:r>
        <w:rPr>
          <w:rFonts w:hint="eastAsia" w:ascii="仿宋_GB2312" w:hAnsi="仿宋_GB2312" w:eastAsia="仿宋_GB2312" w:cs="仿宋_GB2312"/>
          <w:b w:val="0"/>
          <w:bCs/>
          <w:sz w:val="32"/>
          <w:szCs w:val="32"/>
          <w:highlight w:val="none"/>
        </w:rPr>
        <w:t>经批准后，建设项目的性质、规模、地点、采用的生产工艺或者防治污染、防止生态破坏的措施发生重大变动的，建设单位应当重新报批建设项目的环境影响评价文件。</w:t>
      </w:r>
      <w:r>
        <w:rPr>
          <w:rFonts w:hint="eastAsia" w:ascii="仿宋_GB2312" w:hAnsi="仿宋_GB2312" w:eastAsia="仿宋_GB2312" w:cs="仿宋_GB2312"/>
          <w:b w:val="0"/>
          <w:bCs/>
          <w:sz w:val="32"/>
          <w:szCs w:val="32"/>
          <w:highlight w:val="none"/>
          <w:lang w:val="en-US" w:eastAsia="zh-CN"/>
        </w:rPr>
        <w:t>企业的排污许可按登记管理执行，</w:t>
      </w:r>
      <w:r>
        <w:rPr>
          <w:rFonts w:hint="eastAsia" w:ascii="仿宋_GB2312" w:hAnsi="仿宋_GB2312" w:eastAsia="仿宋_GB2312" w:cs="仿宋_GB2312"/>
          <w:b w:val="0"/>
          <w:bCs/>
          <w:sz w:val="32"/>
          <w:szCs w:val="32"/>
          <w:highlight w:val="none"/>
          <w:lang w:eastAsia="zh-CN"/>
        </w:rPr>
        <w:t>同时建设单位要按规定程序进行环保“三同时”验收，相关信息按规定自行发布。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_GB2312" w:hAnsi="仿宋_GB2312" w:eastAsia="仿宋_GB2312" w:cs="仿宋_GB2312"/>
          <w:spacing w:val="-1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976" w:firstLineChars="1800"/>
        <w:textAlignment w:val="auto"/>
        <w:rPr>
          <w:rFonts w:hint="eastAsia" w:ascii="仿宋_GB2312" w:hAnsi="仿宋_GB2312" w:eastAsia="仿宋_GB2312" w:cs="仿宋_GB2312"/>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976" w:firstLineChars="1800"/>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rPr>
        <w:t>常德</w:t>
      </w:r>
      <w:r>
        <w:rPr>
          <w:rFonts w:hint="eastAsia" w:ascii="仿宋_GB2312" w:hAnsi="仿宋_GB2312" w:eastAsia="仿宋_GB2312" w:cs="仿宋_GB2312"/>
          <w:color w:val="auto"/>
          <w:spacing w:val="6"/>
          <w:sz w:val="32"/>
          <w:szCs w:val="32"/>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w:t>
      </w:r>
    </w:p>
    <w:p>
      <w:pPr>
        <w:keepNext w:val="0"/>
        <w:keepLines w:val="0"/>
        <w:pageBreakBefore w:val="0"/>
        <w:kinsoku/>
        <w:wordWrap/>
        <w:overflowPunct/>
        <w:topLinePunct w:val="0"/>
        <w:autoSpaceDE/>
        <w:autoSpaceDN/>
        <w:bidi w:val="0"/>
        <w:spacing w:line="560" w:lineRule="exact"/>
        <w:rPr>
          <w:color w:val="auto"/>
        </w:rPr>
      </w:pPr>
    </w:p>
    <w:p>
      <w:pPr>
        <w:keepNext w:val="0"/>
        <w:keepLines w:val="0"/>
        <w:pageBreakBefore w:val="0"/>
        <w:kinsoku/>
        <w:wordWrap/>
        <w:overflowPunct/>
        <w:topLinePunct w:val="0"/>
        <w:autoSpaceDE/>
        <w:autoSpaceDN/>
        <w:bidi w:val="0"/>
        <w:spacing w:line="560" w:lineRule="exact"/>
      </w:pPr>
    </w:p>
    <w:sectPr>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60CBF"/>
    <w:multiLevelType w:val="singleLevel"/>
    <w:tmpl w:val="6FF60C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2EyYTg2YWM5Yzg5ODBiZTE2MDk5NTM1M2ZkODMifQ=="/>
  </w:docVars>
  <w:rsids>
    <w:rsidRoot w:val="00000000"/>
    <w:rsid w:val="08F65DB0"/>
    <w:rsid w:val="0E3B36AA"/>
    <w:rsid w:val="17E56B23"/>
    <w:rsid w:val="2398041B"/>
    <w:rsid w:val="249279A7"/>
    <w:rsid w:val="2EC7DAC8"/>
    <w:rsid w:val="3B63378C"/>
    <w:rsid w:val="3DFC30CB"/>
    <w:rsid w:val="4BEB4C52"/>
    <w:rsid w:val="4FAF1182"/>
    <w:rsid w:val="57EE1B51"/>
    <w:rsid w:val="5D871A99"/>
    <w:rsid w:val="6A55260E"/>
    <w:rsid w:val="6FF64DA3"/>
    <w:rsid w:val="70EFF5A0"/>
    <w:rsid w:val="767E7EAA"/>
    <w:rsid w:val="77EF00CA"/>
    <w:rsid w:val="7F9F438C"/>
    <w:rsid w:val="AC8B868E"/>
    <w:rsid w:val="AEDA67A3"/>
    <w:rsid w:val="BDDD8201"/>
    <w:rsid w:val="BF2FB6ED"/>
    <w:rsid w:val="CEC94B0E"/>
    <w:rsid w:val="DFF62F7A"/>
    <w:rsid w:val="E1FFE5AA"/>
    <w:rsid w:val="EF961598"/>
    <w:rsid w:val="EFBFDCCA"/>
    <w:rsid w:val="F21DEE76"/>
    <w:rsid w:val="F2F3A353"/>
    <w:rsid w:val="F7FE82F9"/>
    <w:rsid w:val="F7FFCB06"/>
    <w:rsid w:val="F99FDD11"/>
    <w:rsid w:val="FB7FEFE0"/>
    <w:rsid w:val="FE3DB76D"/>
    <w:rsid w:val="FF9EEA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4"/>
    <w:qFormat/>
    <w:uiPriority w:val="0"/>
    <w:pPr>
      <w:spacing w:after="120"/>
    </w:pPr>
  </w:style>
  <w:style w:type="paragraph" w:customStyle="1" w:styleId="4">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5">
    <w:name w:val="Body Text First Indent"/>
    <w:basedOn w:val="3"/>
    <w:next w:val="1"/>
    <w:qFormat/>
    <w:uiPriority w:val="0"/>
    <w:pPr>
      <w:ind w:firstLine="420" w:firstLineChars="100"/>
    </w:pPr>
  </w:style>
  <w:style w:type="paragraph" w:customStyle="1" w:styleId="8">
    <w:name w:val="正文1"/>
    <w:qFormat/>
    <w:uiPriority w:val="0"/>
    <w:pPr>
      <w:widowControl w:val="0"/>
      <w:tabs>
        <w:tab w:val="left" w:pos="22680"/>
      </w:tabs>
      <w:spacing w:line="360" w:lineRule="auto"/>
      <w:ind w:firstLine="602" w:firstLineChars="200"/>
    </w:pPr>
    <w:rPr>
      <w:rFonts w:ascii="宋体" w:hAnsi="宋体" w:eastAsia="宋体" w:cs="Times New Roman"/>
      <w:kern w:val="2"/>
      <w:sz w:val="24"/>
      <w:lang w:val="en-US" w:eastAsia="zh-CN" w:bidi="ar-SA"/>
    </w:rPr>
  </w:style>
  <w:style w:type="paragraph" w:customStyle="1" w:styleId="9">
    <w:name w:val="表（周）"/>
    <w:basedOn w:val="10"/>
    <w:qFormat/>
    <w:uiPriority w:val="0"/>
    <w:pPr>
      <w:tabs>
        <w:tab w:val="left" w:pos="1068"/>
      </w:tabs>
      <w:autoSpaceDE/>
      <w:autoSpaceDN/>
      <w:spacing w:beforeLines="0" w:line="240" w:lineRule="auto"/>
      <w:ind w:firstLine="0" w:firstLineChars="0"/>
      <w:jc w:val="center"/>
    </w:pPr>
    <w:rPr>
      <w:rFonts w:ascii="Times New Roman" w:hAnsi="Times New Roman" w:eastAsia="宋体"/>
      <w:bCs/>
      <w:color w:val="0C0C0C"/>
      <w:kern w:val="0"/>
      <w:sz w:val="21"/>
      <w:szCs w:val="21"/>
    </w:rPr>
  </w:style>
  <w:style w:type="paragraph" w:customStyle="1" w:styleId="10">
    <w:name w:val="正文文字标准"/>
    <w:basedOn w:val="5"/>
    <w:qFormat/>
    <w:uiPriority w:val="0"/>
    <w:pPr>
      <w:snapToGrid/>
      <w:spacing w:after="0" w:line="480" w:lineRule="exact"/>
      <w:ind w:firstLine="200" w:firstLineChars="200"/>
      <w:textAlignment w:val="baseline"/>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1330</Words>
  <Characters>1458</Characters>
  <Lines>0</Lines>
  <Paragraphs>0</Paragraphs>
  <TotalTime>24</TotalTime>
  <ScaleCrop>false</ScaleCrop>
  <LinksUpToDate>false</LinksUpToDate>
  <CharactersWithSpaces>1460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2025-08-13T02:43:00Z</dcterms:created>
  <dc:creator>17435</dc:creator>
  <cp:lastModifiedBy>快乐无忧</cp:lastModifiedBy>
  <cp:lastPrinted>2026-01-09T17:41:00Z</cp:lastPrinted>
  <dcterms:modified xsi:type="dcterms:W3CDTF">2026-01-12T01:29:33Z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eyJoZGlkIjoiM2JmODNhNjhiZDNiN2NmZTdkYTk2NWJkNGM4MjNjNmIiLCJ1c2VySWQiOiI5ODQzMDAzNzcifQ==</vt:lpwstr>
  </property>
  <property fmtid="{D5CDD505-2E9C-101B-9397-08002B2CF9AE}" pid="4" name="ICV">
    <vt:lpwstr>A62E10CEA77747FEA6BA49D2091046AF_13</vt:lpwstr>
  </property>
</Properties>
</file>