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rPr>
          <w:rFonts w:ascii="仿宋_GB2312" w:hAnsi="仿宋_GB2312" w:eastAsia="仿宋_GB2312" w:cs="仿宋_GB2312"/>
          <w:sz w:val="36"/>
          <w:szCs w:val="36"/>
        </w:rPr>
      </w:pPr>
      <w:bookmarkStart w:id="15" w:name="_GoBack"/>
      <w:bookmarkEnd w:id="15"/>
    </w:p>
    <w:p>
      <w:pPr>
        <w:spacing w:line="240" w:lineRule="auto"/>
        <w:ind w:firstLine="0" w:firstLineChars="0"/>
        <w:jc w:val="center"/>
        <w:rPr>
          <w:rFonts w:ascii="仿宋_GB2312" w:eastAsia="仿宋_GB2312"/>
          <w:sz w:val="36"/>
          <w:szCs w:val="36"/>
        </w:rPr>
      </w:pPr>
    </w:p>
    <w:p>
      <w:pPr>
        <w:spacing w:line="240" w:lineRule="auto"/>
        <w:ind w:firstLine="0" w:firstLineChars="0"/>
        <w:jc w:val="center"/>
        <w:rPr>
          <w:rFonts w:ascii="仿宋_GB2312" w:eastAsia="仿宋_GB2312"/>
          <w:sz w:val="36"/>
          <w:szCs w:val="36"/>
        </w:rPr>
      </w:pPr>
    </w:p>
    <w:p>
      <w:pPr>
        <w:spacing w:line="240" w:lineRule="auto"/>
        <w:ind w:firstLine="0" w:firstLineChars="0"/>
        <w:jc w:val="center"/>
        <w:rPr>
          <w:rFonts w:ascii="仿宋_GB2312" w:eastAsia="仿宋_GB2312"/>
          <w:sz w:val="36"/>
          <w:szCs w:val="36"/>
        </w:rPr>
      </w:pPr>
    </w:p>
    <w:p>
      <w:pPr>
        <w:ind w:firstLine="0" w:firstLineChars="0"/>
        <w:jc w:val="center"/>
        <w:rPr>
          <w:rFonts w:ascii="方正小标宋_GBK" w:eastAsia="方正小标宋_GBK"/>
          <w:sz w:val="72"/>
          <w:szCs w:val="72"/>
        </w:rPr>
      </w:pPr>
      <w:r>
        <w:rPr>
          <w:rFonts w:hint="eastAsia" w:ascii="方正小标宋_GBK" w:eastAsia="方正小标宋_GBK"/>
          <w:sz w:val="72"/>
          <w:szCs w:val="72"/>
        </w:rPr>
        <w:t>建设项目环境影响报告表</w:t>
      </w:r>
    </w:p>
    <w:p>
      <w:pPr>
        <w:ind w:firstLine="0" w:firstLineChars="0"/>
        <w:jc w:val="center"/>
        <w:rPr>
          <w:rFonts w:ascii="楷体_GB2312" w:eastAsia="楷体_GB2312"/>
          <w:sz w:val="48"/>
          <w:szCs w:val="48"/>
        </w:rPr>
      </w:pPr>
      <w:r>
        <w:rPr>
          <w:rFonts w:hint="eastAsia" w:ascii="楷体_GB2312" w:eastAsia="楷体_GB2312"/>
          <w:sz w:val="48"/>
          <w:szCs w:val="48"/>
        </w:rPr>
        <w:t>（污染影响类）</w:t>
      </w:r>
    </w:p>
    <w:p>
      <w:pPr>
        <w:ind w:firstLine="1040"/>
        <w:jc w:val="center"/>
        <w:rPr>
          <w:rFonts w:eastAsia="仿宋"/>
          <w:sz w:val="52"/>
          <w:szCs w:val="52"/>
        </w:rPr>
      </w:pPr>
    </w:p>
    <w:p>
      <w:pPr>
        <w:ind w:firstLine="880"/>
        <w:rPr>
          <w:rFonts w:eastAsia="仿宋"/>
          <w:sz w:val="44"/>
          <w:szCs w:val="44"/>
        </w:rPr>
      </w:pPr>
    </w:p>
    <w:p>
      <w:pPr>
        <w:ind w:firstLine="880"/>
        <w:rPr>
          <w:rFonts w:eastAsia="仿宋"/>
          <w:sz w:val="44"/>
          <w:szCs w:val="44"/>
        </w:rPr>
      </w:pPr>
    </w:p>
    <w:p>
      <w:pPr>
        <w:ind w:firstLine="880"/>
        <w:rPr>
          <w:rFonts w:eastAsia="仿宋"/>
          <w:sz w:val="44"/>
          <w:szCs w:val="44"/>
        </w:rPr>
      </w:pPr>
    </w:p>
    <w:p>
      <w:pPr>
        <w:ind w:firstLine="880"/>
        <w:rPr>
          <w:rFonts w:eastAsia="仿宋"/>
          <w:sz w:val="44"/>
          <w:szCs w:val="44"/>
        </w:rPr>
      </w:pPr>
    </w:p>
    <w:p>
      <w:pPr>
        <w:keepNext w:val="0"/>
        <w:keepLines w:val="0"/>
        <w:widowControl/>
        <w:suppressLineNumbers w:val="0"/>
        <w:ind w:left="4680" w:leftChars="0" w:hanging="4680" w:hangingChars="1300"/>
        <w:jc w:val="left"/>
        <w:rPr>
          <w:rFonts w:hint="eastAsia" w:ascii="仿宋_GB2312" w:eastAsia="仿宋_GB2312"/>
          <w:sz w:val="36"/>
          <w:szCs w:val="36"/>
          <w:lang w:val="en-US" w:eastAsia="zh-CN"/>
        </w:rPr>
      </w:pPr>
      <w:r>
        <w:rPr>
          <w:rFonts w:hint="eastAsia" w:ascii="仿宋_GB2312" w:eastAsia="仿宋_GB2312"/>
          <w:sz w:val="36"/>
          <w:szCs w:val="36"/>
        </w:rPr>
        <w:t>项目名称</w:t>
      </w:r>
      <w:r>
        <w:rPr>
          <w:rFonts w:hint="eastAsia" w:ascii="仿宋_GB2312" w:eastAsia="仿宋_GB2312"/>
          <w:sz w:val="36"/>
          <w:szCs w:val="36"/>
          <w:lang w:eastAsia="zh-CN"/>
        </w:rPr>
        <w:t>：湖南海利常德农药化工有限公司</w:t>
      </w:r>
      <w:r>
        <w:rPr>
          <w:rFonts w:hint="eastAsia" w:ascii="仿宋_GB2312" w:eastAsia="仿宋_GB2312"/>
          <w:sz w:val="36"/>
          <w:szCs w:val="36"/>
          <w:lang w:val="en-US" w:eastAsia="zh-CN"/>
        </w:rPr>
        <w:t>仓库改造和</w:t>
      </w:r>
    </w:p>
    <w:p>
      <w:pPr>
        <w:keepNext w:val="0"/>
        <w:keepLines w:val="0"/>
        <w:widowControl/>
        <w:suppressLineNumbers w:val="0"/>
        <w:ind w:left="4680" w:leftChars="750" w:hanging="2880" w:hangingChars="800"/>
        <w:jc w:val="left"/>
        <w:rPr>
          <w:rFonts w:ascii="仿宋_GB2312" w:eastAsia="仿宋_GB2312"/>
          <w:sz w:val="36"/>
          <w:szCs w:val="36"/>
        </w:rPr>
      </w:pPr>
      <w:r>
        <w:rPr>
          <w:rFonts w:hint="eastAsia" w:ascii="仿宋_GB2312" w:eastAsia="仿宋_GB2312"/>
          <w:sz w:val="36"/>
          <w:szCs w:val="36"/>
          <w:lang w:val="en-US" w:eastAsia="zh-CN"/>
        </w:rPr>
        <w:t>建设项目</w:t>
      </w:r>
    </w:p>
    <w:p>
      <w:pPr>
        <w:ind w:left="0" w:leftChars="0" w:firstLine="0" w:firstLineChars="0"/>
        <w:jc w:val="left"/>
        <w:rPr>
          <w:rFonts w:ascii="仿宋_GB2312" w:eastAsia="仿宋_GB2312"/>
          <w:sz w:val="36"/>
          <w:szCs w:val="36"/>
        </w:rPr>
      </w:pPr>
      <w:r>
        <w:rPr>
          <w:rFonts w:hint="eastAsia" w:ascii="仿宋_GB2312" w:eastAsia="仿宋_GB2312"/>
          <w:sz w:val="36"/>
          <w:szCs w:val="36"/>
        </w:rPr>
        <w:t>建设单位（盖章）：</w:t>
      </w:r>
      <w:r>
        <w:rPr>
          <w:rFonts w:hint="eastAsia" w:ascii="仿宋_GB2312" w:eastAsia="仿宋_GB2312"/>
          <w:sz w:val="36"/>
          <w:szCs w:val="36"/>
          <w:lang w:eastAsia="zh-CN"/>
        </w:rPr>
        <w:t>湖南海利常德农药化工有限公司</w:t>
      </w:r>
    </w:p>
    <w:p>
      <w:pPr>
        <w:ind w:left="0" w:leftChars="0" w:firstLine="0" w:firstLineChars="0"/>
        <w:jc w:val="left"/>
        <w:rPr>
          <w:rFonts w:ascii="仿宋_GB2312" w:eastAsia="仿宋_GB2312"/>
          <w:sz w:val="36"/>
          <w:szCs w:val="36"/>
        </w:rPr>
      </w:pPr>
      <w:r>
        <w:rPr>
          <w:rFonts w:hint="eastAsia" w:ascii="仿宋_GB2312" w:eastAsia="仿宋_GB2312"/>
          <w:sz w:val="36"/>
          <w:szCs w:val="36"/>
        </w:rPr>
        <w:t>编制日期：             202</w:t>
      </w:r>
      <w:r>
        <w:rPr>
          <w:rFonts w:hint="eastAsia" w:ascii="仿宋_GB2312" w:eastAsia="仿宋_GB2312"/>
          <w:sz w:val="36"/>
          <w:szCs w:val="36"/>
          <w:lang w:val="en-US" w:eastAsia="zh-CN"/>
        </w:rPr>
        <w:t>6</w:t>
      </w:r>
      <w:r>
        <w:rPr>
          <w:rFonts w:hint="eastAsia" w:ascii="仿宋_GB2312" w:eastAsia="仿宋_GB2312"/>
          <w:sz w:val="36"/>
          <w:szCs w:val="36"/>
        </w:rPr>
        <w:t>年</w:t>
      </w:r>
      <w:r>
        <w:rPr>
          <w:rFonts w:hint="eastAsia" w:ascii="仿宋_GB2312" w:eastAsia="仿宋_GB2312"/>
          <w:sz w:val="36"/>
          <w:szCs w:val="36"/>
          <w:lang w:val="en-US" w:eastAsia="zh-CN"/>
        </w:rPr>
        <w:t>4</w:t>
      </w:r>
      <w:r>
        <w:rPr>
          <w:rFonts w:hint="eastAsia" w:ascii="仿宋_GB2312" w:eastAsia="仿宋_GB2312"/>
          <w:sz w:val="36"/>
          <w:szCs w:val="36"/>
        </w:rPr>
        <w:t xml:space="preserve">月            </w:t>
      </w:r>
    </w:p>
    <w:p>
      <w:pPr>
        <w:ind w:firstLine="540" w:firstLineChars="150"/>
        <w:jc w:val="center"/>
        <w:rPr>
          <w:rFonts w:ascii="楷体_GB2312" w:eastAsia="楷体_GB2312"/>
          <w:sz w:val="36"/>
          <w:szCs w:val="36"/>
        </w:rPr>
      </w:pPr>
    </w:p>
    <w:p>
      <w:pPr>
        <w:ind w:firstLine="540" w:firstLineChars="150"/>
        <w:jc w:val="center"/>
        <w:rPr>
          <w:rFonts w:ascii="楷体_GB2312" w:eastAsia="楷体_GB2312"/>
          <w:sz w:val="36"/>
          <w:szCs w:val="36"/>
        </w:rPr>
      </w:pPr>
    </w:p>
    <w:p>
      <w:pPr>
        <w:ind w:firstLine="540" w:firstLineChars="150"/>
        <w:jc w:val="center"/>
        <w:rPr>
          <w:rFonts w:ascii="楷体_GB2312" w:eastAsia="楷体_GB2312"/>
          <w:sz w:val="36"/>
          <w:szCs w:val="36"/>
        </w:rPr>
      </w:pPr>
    </w:p>
    <w:p>
      <w:pPr>
        <w:ind w:firstLine="540" w:firstLineChars="150"/>
        <w:jc w:val="center"/>
        <w:rPr>
          <w:rFonts w:ascii="楷体_GB2312" w:eastAsia="楷体_GB2312"/>
          <w:sz w:val="36"/>
          <w:szCs w:val="36"/>
        </w:rPr>
      </w:pPr>
    </w:p>
    <w:p>
      <w:pPr>
        <w:ind w:firstLine="540" w:firstLineChars="150"/>
        <w:jc w:val="center"/>
        <w:rPr>
          <w:rFonts w:ascii="黑体" w:hAnsi="黑体" w:eastAsia="黑体"/>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18" w:right="1588" w:bottom="1418" w:left="1588" w:header="851" w:footer="992" w:gutter="0"/>
          <w:cols w:space="425" w:num="1"/>
          <w:docGrid w:type="lines" w:linePitch="326" w:charSpace="0"/>
        </w:sectPr>
      </w:pPr>
      <w:r>
        <w:rPr>
          <w:rFonts w:hint="eastAsia" w:ascii="楷体_GB2312" w:eastAsia="楷体_GB2312"/>
          <w:sz w:val="36"/>
          <w:szCs w:val="36"/>
        </w:rPr>
        <w:t>中华人民共和国生态环境部制</w:t>
      </w:r>
    </w:p>
    <w:p>
      <w:pPr>
        <w:pStyle w:val="2"/>
        <w:jc w:val="center"/>
        <w:rPr>
          <w:rFonts w:ascii="黑体" w:hAnsi="黑体" w:eastAsia="黑体"/>
          <w:b w:val="0"/>
          <w:bCs w:val="0"/>
          <w:sz w:val="30"/>
          <w:szCs w:val="30"/>
        </w:rPr>
      </w:pPr>
      <w:r>
        <w:rPr>
          <w:rFonts w:hint="eastAsia" w:ascii="黑体" w:hAnsi="黑体" w:eastAsia="黑体"/>
          <w:b w:val="0"/>
          <w:bCs w:val="0"/>
          <w:sz w:val="30"/>
          <w:szCs w:val="30"/>
        </w:rPr>
        <w:t>一、建设项目基本情况</w:t>
      </w:r>
    </w:p>
    <w:tbl>
      <w:tblPr>
        <w:tblStyle w:val="17"/>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1967"/>
        <w:gridCol w:w="1963"/>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188" w:type="dxa"/>
            <w:vAlign w:val="center"/>
          </w:tcPr>
          <w:p>
            <w:pPr>
              <w:spacing w:line="240" w:lineRule="auto"/>
              <w:ind w:firstLine="0" w:firstLineChars="0"/>
              <w:jc w:val="center"/>
              <w:rPr>
                <w:sz w:val="21"/>
                <w:szCs w:val="21"/>
              </w:rPr>
            </w:pPr>
            <w:r>
              <w:rPr>
                <w:sz w:val="21"/>
                <w:szCs w:val="21"/>
              </w:rPr>
              <w:t>建设项目名称</w:t>
            </w:r>
          </w:p>
        </w:tc>
        <w:tc>
          <w:tcPr>
            <w:tcW w:w="6765" w:type="dxa"/>
            <w:gridSpan w:val="3"/>
            <w:vAlign w:val="center"/>
          </w:tcPr>
          <w:p>
            <w:pPr>
              <w:spacing w:line="240" w:lineRule="auto"/>
              <w:ind w:firstLine="0" w:firstLineChars="0"/>
              <w:jc w:val="center"/>
              <w:rPr>
                <w:rFonts w:hint="eastAsia" w:eastAsia="宋体"/>
                <w:sz w:val="21"/>
                <w:szCs w:val="21"/>
                <w:lang w:val="en-US" w:eastAsia="zh-CN"/>
              </w:rPr>
            </w:pPr>
            <w:r>
              <w:rPr>
                <w:rFonts w:hint="eastAsia"/>
                <w:sz w:val="21"/>
                <w:szCs w:val="21"/>
              </w:rPr>
              <w:t>湖南海利常德农药化工有限公司仓库改造和建设项目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8" w:type="dxa"/>
            <w:vAlign w:val="center"/>
          </w:tcPr>
          <w:p>
            <w:pPr>
              <w:spacing w:line="240" w:lineRule="auto"/>
              <w:ind w:firstLine="0" w:firstLineChars="0"/>
              <w:jc w:val="center"/>
              <w:rPr>
                <w:sz w:val="21"/>
                <w:szCs w:val="21"/>
              </w:rPr>
            </w:pPr>
            <w:r>
              <w:rPr>
                <w:sz w:val="21"/>
                <w:szCs w:val="21"/>
              </w:rPr>
              <w:t>项目代码</w:t>
            </w:r>
          </w:p>
        </w:tc>
        <w:tc>
          <w:tcPr>
            <w:tcW w:w="6765" w:type="dxa"/>
            <w:gridSpan w:val="3"/>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2510 - 430700 - 04 - 01 - 616105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8" w:type="dxa"/>
            <w:vAlign w:val="center"/>
          </w:tcPr>
          <w:p>
            <w:pPr>
              <w:spacing w:line="240" w:lineRule="auto"/>
              <w:ind w:firstLine="0" w:firstLineChars="0"/>
              <w:jc w:val="center"/>
              <w:rPr>
                <w:sz w:val="21"/>
                <w:szCs w:val="21"/>
              </w:rPr>
            </w:pPr>
            <w:r>
              <w:rPr>
                <w:sz w:val="21"/>
                <w:szCs w:val="21"/>
              </w:rPr>
              <w:t>建设单位联系人</w:t>
            </w:r>
          </w:p>
        </w:tc>
        <w:tc>
          <w:tcPr>
            <w:tcW w:w="1967" w:type="dxa"/>
            <w:vAlign w:val="center"/>
          </w:tcPr>
          <w:p>
            <w:pPr>
              <w:spacing w:line="240" w:lineRule="auto"/>
              <w:ind w:firstLine="0" w:firstLineChars="0"/>
              <w:jc w:val="center"/>
              <w:rPr>
                <w:rFonts w:hint="eastAsia" w:eastAsia="宋体"/>
                <w:sz w:val="21"/>
                <w:szCs w:val="21"/>
                <w:lang w:eastAsia="zh-CN"/>
              </w:rPr>
            </w:pPr>
          </w:p>
        </w:tc>
        <w:tc>
          <w:tcPr>
            <w:tcW w:w="1963" w:type="dxa"/>
            <w:vAlign w:val="center"/>
          </w:tcPr>
          <w:p>
            <w:pPr>
              <w:spacing w:line="240" w:lineRule="auto"/>
              <w:ind w:firstLine="0" w:firstLineChars="0"/>
              <w:jc w:val="center"/>
              <w:rPr>
                <w:sz w:val="21"/>
                <w:szCs w:val="21"/>
              </w:rPr>
            </w:pPr>
            <w:r>
              <w:rPr>
                <w:sz w:val="21"/>
                <w:szCs w:val="21"/>
              </w:rPr>
              <w:t>联系方式</w:t>
            </w:r>
          </w:p>
        </w:tc>
        <w:tc>
          <w:tcPr>
            <w:tcW w:w="2835" w:type="dxa"/>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2188" w:type="dxa"/>
            <w:vAlign w:val="center"/>
          </w:tcPr>
          <w:p>
            <w:pPr>
              <w:spacing w:line="240" w:lineRule="auto"/>
              <w:ind w:firstLine="0" w:firstLineChars="0"/>
              <w:jc w:val="center"/>
              <w:rPr>
                <w:sz w:val="21"/>
                <w:szCs w:val="21"/>
              </w:rPr>
            </w:pPr>
            <w:r>
              <w:rPr>
                <w:sz w:val="21"/>
                <w:szCs w:val="21"/>
              </w:rPr>
              <w:t>建设地点</w:t>
            </w:r>
          </w:p>
        </w:tc>
        <w:tc>
          <w:tcPr>
            <w:tcW w:w="6765" w:type="dxa"/>
            <w:gridSpan w:val="3"/>
            <w:vAlign w:val="center"/>
          </w:tcPr>
          <w:p>
            <w:pPr>
              <w:spacing w:line="240" w:lineRule="auto"/>
              <w:ind w:firstLine="0" w:firstLineChars="0"/>
              <w:jc w:val="center"/>
              <w:rPr>
                <w:rFonts w:hint="eastAsia" w:eastAsia="宋体"/>
                <w:sz w:val="21"/>
                <w:szCs w:val="21"/>
                <w:lang w:val="en-US" w:eastAsia="zh-CN"/>
              </w:rPr>
            </w:pPr>
            <w:r>
              <w:rPr>
                <w:rFonts w:hint="eastAsia"/>
                <w:sz w:val="21"/>
                <w:szCs w:val="21"/>
              </w:rPr>
              <w:t>常德</w:t>
            </w:r>
            <w:r>
              <w:rPr>
                <w:rFonts w:hint="eastAsia"/>
                <w:sz w:val="21"/>
                <w:szCs w:val="21"/>
                <w:lang w:eastAsia="zh-CN"/>
              </w:rPr>
              <w:t>经济技术开发区德山街道办事处苏家渡居委会苏家渡街道2号湖南海利常德农药化工有限公司现有厂区范围内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8" w:type="dxa"/>
            <w:vAlign w:val="center"/>
          </w:tcPr>
          <w:p>
            <w:pPr>
              <w:spacing w:line="240" w:lineRule="auto"/>
              <w:ind w:firstLine="0" w:firstLineChars="0"/>
              <w:jc w:val="center"/>
              <w:rPr>
                <w:sz w:val="21"/>
                <w:szCs w:val="21"/>
              </w:rPr>
            </w:pPr>
            <w:r>
              <w:rPr>
                <w:sz w:val="21"/>
                <w:szCs w:val="21"/>
              </w:rPr>
              <w:t>地理坐标</w:t>
            </w:r>
          </w:p>
        </w:tc>
        <w:tc>
          <w:tcPr>
            <w:tcW w:w="6765" w:type="dxa"/>
            <w:gridSpan w:val="3"/>
            <w:vAlign w:val="center"/>
          </w:tcPr>
          <w:p>
            <w:pPr>
              <w:spacing w:line="240" w:lineRule="auto"/>
              <w:ind w:firstLine="0" w:firstLineChars="0"/>
              <w:jc w:val="center"/>
              <w:rPr>
                <w:sz w:val="21"/>
                <w:szCs w:val="21"/>
              </w:rPr>
            </w:pPr>
            <w:r>
              <w:rPr>
                <w:sz w:val="21"/>
                <w:szCs w:val="21"/>
              </w:rPr>
              <w:t xml:space="preserve">（ </w:t>
            </w:r>
            <w:r>
              <w:rPr>
                <w:rFonts w:hint="eastAsia"/>
                <w:sz w:val="21"/>
                <w:szCs w:val="21"/>
                <w:lang w:eastAsia="zh-CN"/>
              </w:rPr>
              <w:t>东经：</w:t>
            </w:r>
            <w:r>
              <w:rPr>
                <w:rFonts w:hint="eastAsia"/>
                <w:sz w:val="21"/>
                <w:szCs w:val="21"/>
              </w:rPr>
              <w:t>111.734574</w:t>
            </w:r>
            <w:r>
              <w:rPr>
                <w:rFonts w:hint="eastAsia"/>
                <w:sz w:val="21"/>
                <w:szCs w:val="21"/>
                <w:lang w:val="en-US" w:eastAsia="zh-CN"/>
              </w:rPr>
              <w:t xml:space="preserve"> </w:t>
            </w:r>
            <w:r>
              <w:rPr>
                <w:rFonts w:hint="eastAsia"/>
                <w:sz w:val="21"/>
                <w:szCs w:val="21"/>
                <w:lang w:eastAsia="zh-CN"/>
              </w:rPr>
              <w:t>北纬：</w:t>
            </w:r>
            <w:r>
              <w:rPr>
                <w:rFonts w:hint="eastAsia"/>
                <w:sz w:val="21"/>
                <w:szCs w:val="21"/>
              </w:rPr>
              <w:t>28.955731</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188" w:type="dxa"/>
            <w:vAlign w:val="center"/>
          </w:tcPr>
          <w:p>
            <w:pPr>
              <w:spacing w:line="240" w:lineRule="auto"/>
              <w:ind w:firstLine="0" w:firstLineChars="0"/>
              <w:jc w:val="center"/>
              <w:rPr>
                <w:sz w:val="21"/>
                <w:szCs w:val="21"/>
              </w:rPr>
            </w:pPr>
            <w:r>
              <w:rPr>
                <w:sz w:val="21"/>
                <w:szCs w:val="21"/>
              </w:rPr>
              <w:t>国民经济</w:t>
            </w:r>
          </w:p>
          <w:p>
            <w:pPr>
              <w:spacing w:line="240" w:lineRule="auto"/>
              <w:ind w:firstLine="0" w:firstLineChars="0"/>
              <w:jc w:val="center"/>
              <w:rPr>
                <w:sz w:val="21"/>
                <w:szCs w:val="21"/>
              </w:rPr>
            </w:pPr>
            <w:r>
              <w:rPr>
                <w:sz w:val="21"/>
                <w:szCs w:val="21"/>
              </w:rPr>
              <w:t>行业类别</w:t>
            </w:r>
          </w:p>
        </w:tc>
        <w:tc>
          <w:tcPr>
            <w:tcW w:w="1967" w:type="dxa"/>
            <w:vAlign w:val="center"/>
          </w:tcPr>
          <w:p>
            <w:pPr>
              <w:spacing w:line="240" w:lineRule="auto"/>
              <w:ind w:firstLine="0" w:firstLineChars="0"/>
              <w:jc w:val="center"/>
              <w:rPr>
                <w:rFonts w:hint="eastAsia" w:eastAsia="宋体"/>
                <w:sz w:val="21"/>
                <w:szCs w:val="21"/>
                <w:lang w:eastAsia="zh-CN"/>
              </w:rPr>
            </w:pPr>
            <w:r>
              <w:rPr>
                <w:rFonts w:hint="eastAsia"/>
                <w:sz w:val="21"/>
                <w:szCs w:val="21"/>
                <w:lang w:val="en-US" w:eastAsia="zh-CN"/>
              </w:rPr>
              <w:t>G5942危险化学品仓储</w:t>
            </w:r>
          </w:p>
        </w:tc>
        <w:tc>
          <w:tcPr>
            <w:tcW w:w="1963" w:type="dxa"/>
            <w:vAlign w:val="center"/>
          </w:tcPr>
          <w:p>
            <w:pPr>
              <w:spacing w:line="240" w:lineRule="auto"/>
              <w:ind w:firstLine="0" w:firstLineChars="0"/>
              <w:jc w:val="center"/>
              <w:rPr>
                <w:sz w:val="21"/>
                <w:szCs w:val="21"/>
              </w:rPr>
            </w:pPr>
            <w:r>
              <w:rPr>
                <w:sz w:val="21"/>
                <w:szCs w:val="21"/>
              </w:rPr>
              <w:t>建设项目</w:t>
            </w:r>
          </w:p>
          <w:p>
            <w:pPr>
              <w:spacing w:line="240" w:lineRule="auto"/>
              <w:ind w:firstLine="0" w:firstLineChars="0"/>
              <w:jc w:val="center"/>
              <w:rPr>
                <w:sz w:val="21"/>
                <w:szCs w:val="21"/>
              </w:rPr>
            </w:pPr>
            <w:r>
              <w:rPr>
                <w:sz w:val="21"/>
                <w:szCs w:val="21"/>
              </w:rPr>
              <w:t>行业类别</w:t>
            </w:r>
          </w:p>
        </w:tc>
        <w:tc>
          <w:tcPr>
            <w:tcW w:w="2835" w:type="dxa"/>
            <w:vAlign w:val="center"/>
          </w:tcPr>
          <w:p>
            <w:pPr>
              <w:spacing w:line="240" w:lineRule="auto"/>
              <w:ind w:firstLine="0" w:firstLineChars="0"/>
              <w:jc w:val="left"/>
              <w:rPr>
                <w:sz w:val="21"/>
                <w:szCs w:val="21"/>
              </w:rPr>
            </w:pPr>
            <w:r>
              <w:rPr>
                <w:rFonts w:hint="eastAsia"/>
                <w:sz w:val="21"/>
                <w:szCs w:val="21"/>
                <w:lang w:eastAsia="zh-CN"/>
              </w:rPr>
              <w:t>五十三、装卸搬运和仓储业</w:t>
            </w:r>
            <w:r>
              <w:rPr>
                <w:rFonts w:hint="eastAsia"/>
                <w:sz w:val="21"/>
                <w:szCs w:val="21"/>
                <w:lang w:val="en-US" w:eastAsia="zh-CN"/>
              </w:rPr>
              <w:t>危险品仓储 594（不含加油站的油库；不含加气站的气库）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8" w:type="dxa"/>
            <w:vAlign w:val="center"/>
          </w:tcPr>
          <w:p>
            <w:pPr>
              <w:spacing w:line="240" w:lineRule="auto"/>
              <w:ind w:firstLine="0" w:firstLineChars="0"/>
              <w:jc w:val="center"/>
              <w:rPr>
                <w:sz w:val="21"/>
                <w:szCs w:val="21"/>
              </w:rPr>
            </w:pPr>
            <w:r>
              <w:rPr>
                <w:sz w:val="21"/>
                <w:szCs w:val="21"/>
              </w:rPr>
              <w:t>建设性质</w:t>
            </w:r>
          </w:p>
        </w:tc>
        <w:tc>
          <w:tcPr>
            <w:tcW w:w="1967" w:type="dxa"/>
            <w:vAlign w:val="center"/>
          </w:tcPr>
          <w:p>
            <w:pPr>
              <w:spacing w:line="240" w:lineRule="auto"/>
              <w:ind w:firstLine="0" w:firstLineChars="0"/>
              <w:rPr>
                <w:rFonts w:asciiTheme="minorEastAsia" w:hAnsiTheme="minorEastAsia" w:eastAsiaTheme="minorEastAsia"/>
                <w:sz w:val="21"/>
                <w:szCs w:val="21"/>
              </w:rPr>
            </w:pPr>
            <w:r>
              <w:rPr>
                <w:rFonts w:asciiTheme="minorEastAsia" w:hAnsiTheme="minorEastAsia" w:eastAsiaTheme="minorEastAsia"/>
                <w:sz w:val="21"/>
                <w:szCs w:val="21"/>
              </w:rPr>
              <w:t>□新建（迁建）</w:t>
            </w:r>
          </w:p>
          <w:p>
            <w:pPr>
              <w:spacing w:line="240" w:lineRule="auto"/>
              <w:ind w:firstLine="0" w:firstLineChars="0"/>
              <w:rPr>
                <w:rFonts w:asciiTheme="minorEastAsia" w:hAnsiTheme="minorEastAsia" w:eastAsiaTheme="minorEastAsia"/>
                <w:sz w:val="21"/>
                <w:szCs w:val="21"/>
              </w:rPr>
            </w:pPr>
            <w:r>
              <w:rPr>
                <w:rFonts w:ascii="宋体" w:hAnsi="宋体"/>
                <w:sz w:val="21"/>
                <w:szCs w:val="21"/>
              </w:rPr>
              <w:t>■</w:t>
            </w:r>
            <w:r>
              <w:rPr>
                <w:rFonts w:asciiTheme="minorEastAsia" w:hAnsiTheme="minorEastAsia" w:eastAsiaTheme="minorEastAsia"/>
                <w:sz w:val="21"/>
                <w:szCs w:val="21"/>
              </w:rPr>
              <w:t>改建</w:t>
            </w:r>
          </w:p>
          <w:p>
            <w:pPr>
              <w:spacing w:line="240" w:lineRule="auto"/>
              <w:ind w:firstLine="0" w:firstLineChars="0"/>
              <w:rPr>
                <w:rFonts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asciiTheme="minorEastAsia" w:hAnsiTheme="minorEastAsia" w:eastAsiaTheme="minorEastAsia"/>
                <w:sz w:val="21"/>
                <w:szCs w:val="21"/>
              </w:rPr>
              <w:t>扩建</w:t>
            </w:r>
          </w:p>
          <w:p>
            <w:pPr>
              <w:spacing w:line="240" w:lineRule="auto"/>
              <w:ind w:firstLine="0" w:firstLineChars="0"/>
              <w:rPr>
                <w:rFonts w:asciiTheme="minorEastAsia" w:hAnsiTheme="minorEastAsia" w:eastAsiaTheme="minorEastAsia"/>
                <w:sz w:val="21"/>
                <w:szCs w:val="21"/>
              </w:rPr>
            </w:pPr>
            <w:r>
              <w:rPr>
                <w:rFonts w:asciiTheme="minorEastAsia" w:hAnsiTheme="minorEastAsia" w:eastAsiaTheme="minorEastAsia"/>
                <w:sz w:val="21"/>
                <w:szCs w:val="21"/>
              </w:rPr>
              <w:t>□技术改造</w:t>
            </w:r>
          </w:p>
        </w:tc>
        <w:tc>
          <w:tcPr>
            <w:tcW w:w="1963" w:type="dxa"/>
            <w:vAlign w:val="center"/>
          </w:tcPr>
          <w:p>
            <w:pPr>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建设项目</w:t>
            </w:r>
          </w:p>
          <w:p>
            <w:pPr>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申报情形</w:t>
            </w:r>
          </w:p>
        </w:tc>
        <w:tc>
          <w:tcPr>
            <w:tcW w:w="2835" w:type="dxa"/>
            <w:vAlign w:val="center"/>
          </w:tcPr>
          <w:p>
            <w:pPr>
              <w:spacing w:line="240" w:lineRule="auto"/>
              <w:ind w:firstLine="0" w:firstLineChars="0"/>
              <w:rPr>
                <w:rFonts w:asciiTheme="minorEastAsia" w:hAnsiTheme="minorEastAsia" w:eastAsiaTheme="minorEastAsia"/>
                <w:sz w:val="21"/>
                <w:szCs w:val="21"/>
              </w:rPr>
            </w:pPr>
            <w:r>
              <w:rPr>
                <w:rFonts w:ascii="宋体" w:hAnsi="宋体"/>
                <w:sz w:val="21"/>
                <w:szCs w:val="21"/>
              </w:rPr>
              <w:t>■</w:t>
            </w:r>
            <w:r>
              <w:rPr>
                <w:rFonts w:asciiTheme="minorEastAsia" w:hAnsiTheme="minorEastAsia" w:eastAsiaTheme="minorEastAsia"/>
                <w:sz w:val="21"/>
                <w:szCs w:val="21"/>
              </w:rPr>
              <w:t>首次申报项目</w:t>
            </w:r>
          </w:p>
          <w:p>
            <w:pPr>
              <w:spacing w:line="240" w:lineRule="auto"/>
              <w:ind w:firstLine="0" w:firstLineChars="0"/>
              <w:rPr>
                <w:rFonts w:asciiTheme="minorEastAsia" w:hAnsiTheme="minorEastAsia" w:eastAsiaTheme="minorEastAsia"/>
                <w:sz w:val="21"/>
                <w:szCs w:val="21"/>
              </w:rPr>
            </w:pPr>
            <w:r>
              <w:rPr>
                <w:rFonts w:asciiTheme="minorEastAsia" w:hAnsiTheme="minorEastAsia" w:eastAsiaTheme="minorEastAsia"/>
                <w:sz w:val="21"/>
                <w:szCs w:val="21"/>
              </w:rPr>
              <w:t>□不予批准后再次申报项目</w:t>
            </w:r>
          </w:p>
          <w:p>
            <w:pPr>
              <w:spacing w:line="240" w:lineRule="auto"/>
              <w:ind w:firstLine="0" w:firstLineChars="0"/>
              <w:rPr>
                <w:rFonts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asciiTheme="minorEastAsia" w:hAnsiTheme="minorEastAsia" w:eastAsiaTheme="minorEastAsia"/>
                <w:sz w:val="21"/>
                <w:szCs w:val="21"/>
              </w:rPr>
              <w:t>超五年重新审核项目</w:t>
            </w:r>
          </w:p>
          <w:p>
            <w:pPr>
              <w:spacing w:line="240" w:lineRule="auto"/>
              <w:ind w:firstLine="0" w:firstLineChars="0"/>
              <w:rPr>
                <w:rFonts w:asciiTheme="minorEastAsia" w:hAnsiTheme="minorEastAsia" w:eastAsiaTheme="minorEastAsia"/>
                <w:sz w:val="21"/>
                <w:szCs w:val="21"/>
              </w:rPr>
            </w:pPr>
            <w:r>
              <w:rPr>
                <w:rFonts w:asciiTheme="minorEastAsia" w:hAnsiTheme="minorEastAsia" w:eastAsiaTheme="minorEastAsia"/>
                <w:sz w:val="21"/>
                <w:szCs w:val="21"/>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8" w:type="dxa"/>
            <w:vAlign w:val="center"/>
          </w:tcPr>
          <w:p>
            <w:pPr>
              <w:spacing w:line="240" w:lineRule="auto"/>
              <w:ind w:firstLine="0" w:firstLineChars="0"/>
              <w:jc w:val="center"/>
              <w:rPr>
                <w:sz w:val="21"/>
                <w:szCs w:val="21"/>
              </w:rPr>
            </w:pPr>
            <w:r>
              <w:rPr>
                <w:sz w:val="21"/>
                <w:szCs w:val="21"/>
              </w:rPr>
              <w:t>项目审批（核准/</w:t>
            </w:r>
          </w:p>
          <w:p>
            <w:pPr>
              <w:spacing w:line="240" w:lineRule="auto"/>
              <w:ind w:firstLine="0" w:firstLineChars="0"/>
              <w:jc w:val="center"/>
              <w:rPr>
                <w:sz w:val="21"/>
                <w:szCs w:val="21"/>
              </w:rPr>
            </w:pPr>
            <w:r>
              <w:rPr>
                <w:sz w:val="21"/>
                <w:szCs w:val="21"/>
              </w:rPr>
              <w:t>备案）部门（选填）</w:t>
            </w:r>
          </w:p>
        </w:tc>
        <w:tc>
          <w:tcPr>
            <w:tcW w:w="1967" w:type="dxa"/>
            <w:vAlign w:val="center"/>
          </w:tcPr>
          <w:p>
            <w:pPr>
              <w:spacing w:line="240" w:lineRule="auto"/>
              <w:ind w:firstLine="0" w:firstLineChars="0"/>
              <w:jc w:val="center"/>
              <w:rPr>
                <w:rFonts w:hint="default" w:eastAsia="宋体"/>
                <w:sz w:val="21"/>
                <w:szCs w:val="21"/>
                <w:lang w:val="en-US" w:eastAsia="zh-CN"/>
              </w:rPr>
            </w:pPr>
            <w:r>
              <w:rPr>
                <w:sz w:val="21"/>
                <w:szCs w:val="21"/>
              </w:rPr>
              <w:t>/</w:t>
            </w:r>
          </w:p>
        </w:tc>
        <w:tc>
          <w:tcPr>
            <w:tcW w:w="1963" w:type="dxa"/>
            <w:vAlign w:val="center"/>
          </w:tcPr>
          <w:p>
            <w:pPr>
              <w:spacing w:line="240" w:lineRule="auto"/>
              <w:ind w:firstLine="0" w:firstLineChars="0"/>
              <w:jc w:val="center"/>
              <w:rPr>
                <w:sz w:val="21"/>
                <w:szCs w:val="21"/>
              </w:rPr>
            </w:pPr>
            <w:r>
              <w:rPr>
                <w:sz w:val="21"/>
                <w:szCs w:val="21"/>
              </w:rPr>
              <w:t>项目审批（核准/</w:t>
            </w:r>
          </w:p>
          <w:p>
            <w:pPr>
              <w:spacing w:line="240" w:lineRule="auto"/>
              <w:ind w:firstLine="0" w:firstLineChars="0"/>
              <w:jc w:val="center"/>
              <w:rPr>
                <w:sz w:val="21"/>
                <w:szCs w:val="21"/>
              </w:rPr>
            </w:pPr>
            <w:r>
              <w:rPr>
                <w:sz w:val="21"/>
                <w:szCs w:val="21"/>
              </w:rPr>
              <w:t>备案）文号（选填）</w:t>
            </w:r>
          </w:p>
        </w:tc>
        <w:tc>
          <w:tcPr>
            <w:tcW w:w="2835" w:type="dxa"/>
            <w:vAlign w:val="center"/>
          </w:tcPr>
          <w:p>
            <w:pPr>
              <w:spacing w:line="240" w:lineRule="auto"/>
              <w:ind w:firstLine="0" w:firstLineChars="0"/>
              <w:jc w:val="center"/>
              <w:rPr>
                <w:rFonts w:hint="default" w:eastAsia="宋体"/>
                <w:sz w:val="21"/>
                <w:szCs w:val="21"/>
                <w:lang w:val="en-US" w:eastAsia="zh-CN"/>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8" w:type="dxa"/>
            <w:vAlign w:val="center"/>
          </w:tcPr>
          <w:p>
            <w:pPr>
              <w:spacing w:line="240" w:lineRule="auto"/>
              <w:ind w:firstLine="0" w:firstLineChars="0"/>
              <w:jc w:val="center"/>
              <w:rPr>
                <w:sz w:val="21"/>
                <w:szCs w:val="21"/>
              </w:rPr>
            </w:pPr>
            <w:r>
              <w:rPr>
                <w:sz w:val="21"/>
                <w:szCs w:val="21"/>
              </w:rPr>
              <w:t>总投资（万元）</w:t>
            </w:r>
          </w:p>
        </w:tc>
        <w:tc>
          <w:tcPr>
            <w:tcW w:w="1967"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630.00</w:t>
            </w:r>
          </w:p>
        </w:tc>
        <w:tc>
          <w:tcPr>
            <w:tcW w:w="1963" w:type="dxa"/>
            <w:vAlign w:val="center"/>
          </w:tcPr>
          <w:p>
            <w:pPr>
              <w:spacing w:line="240" w:lineRule="auto"/>
              <w:ind w:firstLine="0" w:firstLineChars="0"/>
              <w:jc w:val="center"/>
              <w:rPr>
                <w:sz w:val="21"/>
                <w:szCs w:val="21"/>
              </w:rPr>
            </w:pPr>
            <w:r>
              <w:rPr>
                <w:sz w:val="21"/>
                <w:szCs w:val="21"/>
              </w:rPr>
              <w:t>环保投资（万元）</w:t>
            </w:r>
          </w:p>
        </w:tc>
        <w:tc>
          <w:tcPr>
            <w:tcW w:w="2835"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8" w:type="dxa"/>
            <w:vAlign w:val="center"/>
          </w:tcPr>
          <w:p>
            <w:pPr>
              <w:spacing w:line="240" w:lineRule="auto"/>
              <w:ind w:firstLine="0" w:firstLineChars="0"/>
              <w:jc w:val="center"/>
              <w:rPr>
                <w:sz w:val="21"/>
                <w:szCs w:val="21"/>
              </w:rPr>
            </w:pPr>
            <w:r>
              <w:rPr>
                <w:sz w:val="21"/>
                <w:szCs w:val="21"/>
              </w:rPr>
              <w:t>环保投资占比（%）</w:t>
            </w:r>
          </w:p>
        </w:tc>
        <w:tc>
          <w:tcPr>
            <w:tcW w:w="1967"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4.8</w:t>
            </w:r>
          </w:p>
        </w:tc>
        <w:tc>
          <w:tcPr>
            <w:tcW w:w="1963" w:type="dxa"/>
            <w:vAlign w:val="center"/>
          </w:tcPr>
          <w:p>
            <w:pPr>
              <w:spacing w:line="240" w:lineRule="auto"/>
              <w:ind w:firstLine="0" w:firstLineChars="0"/>
              <w:jc w:val="center"/>
              <w:rPr>
                <w:sz w:val="21"/>
                <w:szCs w:val="21"/>
              </w:rPr>
            </w:pPr>
            <w:r>
              <w:rPr>
                <w:sz w:val="21"/>
                <w:szCs w:val="21"/>
              </w:rPr>
              <w:t>施工工期</w:t>
            </w:r>
          </w:p>
        </w:tc>
        <w:tc>
          <w:tcPr>
            <w:tcW w:w="2835" w:type="dxa"/>
            <w:vAlign w:val="center"/>
          </w:tcPr>
          <w:p>
            <w:pPr>
              <w:spacing w:line="240" w:lineRule="auto"/>
              <w:ind w:firstLine="0" w:firstLineChars="0"/>
              <w:jc w:val="center"/>
              <w:rPr>
                <w:sz w:val="21"/>
                <w:szCs w:val="21"/>
              </w:rPr>
            </w:pPr>
            <w:r>
              <w:rPr>
                <w:rFonts w:hint="eastAsia"/>
                <w:sz w:val="21"/>
                <w:szCs w:val="21"/>
                <w:lang w:val="en-US" w:eastAsia="zh-CN"/>
              </w:rPr>
              <w:t>14</w:t>
            </w:r>
            <w:r>
              <w:rPr>
                <w:rFonts w:hint="eastAsia"/>
                <w:sz w:val="21"/>
                <w:szCs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8" w:type="dxa"/>
            <w:vAlign w:val="center"/>
          </w:tcPr>
          <w:p>
            <w:pPr>
              <w:spacing w:line="240" w:lineRule="auto"/>
              <w:ind w:firstLine="0" w:firstLineChars="0"/>
              <w:jc w:val="center"/>
              <w:rPr>
                <w:sz w:val="21"/>
                <w:szCs w:val="21"/>
              </w:rPr>
            </w:pPr>
            <w:r>
              <w:rPr>
                <w:sz w:val="21"/>
                <w:szCs w:val="21"/>
              </w:rPr>
              <w:t>是否开工建设</w:t>
            </w:r>
          </w:p>
        </w:tc>
        <w:tc>
          <w:tcPr>
            <w:tcW w:w="1967" w:type="dxa"/>
            <w:vAlign w:val="center"/>
          </w:tcPr>
          <w:p>
            <w:pPr>
              <w:spacing w:line="240" w:lineRule="auto"/>
              <w:ind w:firstLine="0" w:firstLineChars="0"/>
              <w:rPr>
                <w:rFonts w:ascii="宋体" w:hAnsi="宋体"/>
                <w:sz w:val="21"/>
                <w:szCs w:val="21"/>
              </w:rPr>
            </w:pPr>
            <w:r>
              <w:rPr>
                <w:rFonts w:ascii="宋体" w:hAnsi="宋体"/>
                <w:sz w:val="21"/>
                <w:szCs w:val="21"/>
              </w:rPr>
              <w:t>■否</w:t>
            </w:r>
          </w:p>
          <w:p>
            <w:pPr>
              <w:spacing w:line="240" w:lineRule="auto"/>
              <w:ind w:firstLine="0" w:firstLineChars="0"/>
              <w:rPr>
                <w:sz w:val="21"/>
                <w:szCs w:val="21"/>
              </w:rPr>
            </w:pPr>
            <w:r>
              <w:rPr>
                <w:rFonts w:ascii="宋体" w:hAnsi="宋体"/>
                <w:sz w:val="21"/>
                <w:szCs w:val="21"/>
              </w:rPr>
              <w:sym w:font="Wingdings 2" w:char="00A3"/>
            </w:r>
            <w:r>
              <w:rPr>
                <w:rFonts w:ascii="宋体" w:hAnsi="宋体"/>
                <w:sz w:val="21"/>
                <w:szCs w:val="21"/>
              </w:rPr>
              <w:t xml:space="preserve">是：         </w:t>
            </w:r>
          </w:p>
        </w:tc>
        <w:tc>
          <w:tcPr>
            <w:tcW w:w="1963" w:type="dxa"/>
            <w:vAlign w:val="center"/>
          </w:tcPr>
          <w:p>
            <w:pPr>
              <w:spacing w:line="240" w:lineRule="auto"/>
              <w:ind w:firstLine="0" w:firstLineChars="0"/>
              <w:jc w:val="center"/>
              <w:rPr>
                <w:spacing w:val="-6"/>
                <w:sz w:val="21"/>
                <w:szCs w:val="21"/>
              </w:rPr>
            </w:pPr>
            <w:r>
              <w:rPr>
                <w:spacing w:val="-6"/>
                <w:sz w:val="21"/>
                <w:szCs w:val="21"/>
              </w:rPr>
              <w:t>用地（用海）</w:t>
            </w:r>
          </w:p>
          <w:p>
            <w:pPr>
              <w:spacing w:line="240" w:lineRule="auto"/>
              <w:ind w:firstLine="0" w:firstLineChars="0"/>
              <w:jc w:val="center"/>
              <w:rPr>
                <w:sz w:val="21"/>
                <w:szCs w:val="21"/>
              </w:rPr>
            </w:pPr>
            <w:r>
              <w:rPr>
                <w:spacing w:val="-6"/>
                <w:sz w:val="21"/>
                <w:szCs w:val="21"/>
              </w:rPr>
              <w:t>面积（m</w:t>
            </w:r>
            <w:r>
              <w:rPr>
                <w:spacing w:val="-6"/>
                <w:sz w:val="21"/>
                <w:szCs w:val="21"/>
                <w:vertAlign w:val="superscript"/>
              </w:rPr>
              <w:t>2</w:t>
            </w:r>
            <w:r>
              <w:rPr>
                <w:spacing w:val="-6"/>
                <w:sz w:val="21"/>
                <w:szCs w:val="21"/>
              </w:rPr>
              <w:t>）</w:t>
            </w:r>
          </w:p>
        </w:tc>
        <w:tc>
          <w:tcPr>
            <w:tcW w:w="2835"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1470m</w:t>
            </w:r>
            <w:r>
              <w:rPr>
                <w:rFonts w:hint="eastAsia"/>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188" w:type="dxa"/>
            <w:vAlign w:val="center"/>
          </w:tcPr>
          <w:p>
            <w:pPr>
              <w:autoSpaceDE w:val="0"/>
              <w:autoSpaceDN w:val="0"/>
              <w:spacing w:line="240" w:lineRule="auto"/>
              <w:ind w:firstLine="0" w:firstLineChars="0"/>
              <w:jc w:val="center"/>
              <w:rPr>
                <w:sz w:val="21"/>
                <w:szCs w:val="21"/>
              </w:rPr>
            </w:pPr>
            <w:r>
              <w:rPr>
                <w:sz w:val="21"/>
                <w:szCs w:val="21"/>
              </w:rPr>
              <w:t>专项评价设置情况</w:t>
            </w:r>
          </w:p>
        </w:tc>
        <w:tc>
          <w:tcPr>
            <w:tcW w:w="6765" w:type="dxa"/>
            <w:gridSpan w:val="3"/>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eastAsia="zh-CN"/>
              </w:rPr>
              <w:t>本项目储存的危险化学品的储存量</w:t>
            </w:r>
            <w:r>
              <w:rPr>
                <w:rFonts w:hint="eastAsia"/>
                <w:sz w:val="21"/>
                <w:szCs w:val="21"/>
                <w:lang w:val="en-US" w:eastAsia="zh-CN"/>
              </w:rPr>
              <w:t>按</w:t>
            </w:r>
            <w:r>
              <w:rPr>
                <w:rFonts w:hint="eastAsia"/>
                <w:sz w:val="21"/>
                <w:szCs w:val="21"/>
                <w:lang w:eastAsia="zh-CN"/>
              </w:rPr>
              <w:t>《建设项目环境风险评价技术导则》（</w:t>
            </w:r>
            <w:r>
              <w:rPr>
                <w:rFonts w:hint="eastAsia"/>
                <w:sz w:val="21"/>
                <w:szCs w:val="21"/>
                <w:lang w:val="en-US" w:eastAsia="zh-CN"/>
              </w:rPr>
              <w:t>HJ169-2018</w:t>
            </w:r>
            <w:r>
              <w:rPr>
                <w:rFonts w:hint="eastAsia"/>
                <w:sz w:val="21"/>
                <w:szCs w:val="21"/>
                <w:lang w:eastAsia="zh-CN"/>
              </w:rPr>
              <w:t>）附录</w:t>
            </w:r>
            <w:r>
              <w:rPr>
                <w:rFonts w:hint="eastAsia"/>
                <w:sz w:val="21"/>
                <w:szCs w:val="21"/>
                <w:lang w:val="en-US" w:eastAsia="zh-CN"/>
              </w:rPr>
              <w:t>B中临界量计算</w:t>
            </w:r>
            <w:r>
              <w:rPr>
                <w:rFonts w:hint="eastAsia"/>
                <w:bCs/>
                <w:color w:val="auto"/>
                <w:sz w:val="21"/>
                <w:szCs w:val="21"/>
              </w:rPr>
              <w:t>Q值</w:t>
            </w:r>
            <w:r>
              <w:rPr>
                <w:rFonts w:hint="eastAsia"/>
                <w:bCs/>
                <w:color w:val="auto"/>
                <w:sz w:val="21"/>
                <w:szCs w:val="21"/>
                <w:lang w:eastAsia="zh-CN"/>
              </w:rPr>
              <w:t>之和为</w:t>
            </w:r>
            <w:r>
              <w:rPr>
                <w:rFonts w:hint="eastAsia"/>
                <w:bCs/>
                <w:color w:val="auto"/>
                <w:sz w:val="21"/>
                <w:szCs w:val="21"/>
                <w:lang w:val="en-US" w:eastAsia="zh-CN"/>
              </w:rPr>
              <w:t>16.124</w:t>
            </w:r>
            <w:r>
              <w:rPr>
                <w:rFonts w:hint="eastAsia"/>
                <w:sz w:val="21"/>
                <w:szCs w:val="21"/>
                <w:lang w:val="en-US" w:eastAsia="zh-CN"/>
              </w:rPr>
              <w:t>，应设置环境风险专项评价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2188" w:type="dxa"/>
            <w:vAlign w:val="center"/>
          </w:tcPr>
          <w:p>
            <w:pPr>
              <w:autoSpaceDE w:val="0"/>
              <w:autoSpaceDN w:val="0"/>
              <w:spacing w:line="240" w:lineRule="auto"/>
              <w:ind w:firstLine="0" w:firstLineChars="0"/>
              <w:jc w:val="center"/>
              <w:rPr>
                <w:sz w:val="21"/>
                <w:szCs w:val="21"/>
              </w:rPr>
            </w:pPr>
            <w:r>
              <w:rPr>
                <w:sz w:val="21"/>
                <w:szCs w:val="21"/>
              </w:rPr>
              <w:t>规划情况</w:t>
            </w:r>
          </w:p>
        </w:tc>
        <w:tc>
          <w:tcPr>
            <w:tcW w:w="6765" w:type="dxa"/>
            <w:gridSpan w:val="3"/>
            <w:vAlign w:val="center"/>
          </w:tcPr>
          <w:p>
            <w:pPr>
              <w:numPr>
                <w:ilvl w:val="0"/>
                <w:numId w:val="0"/>
              </w:numPr>
              <w:spacing w:line="240" w:lineRule="auto"/>
              <w:jc w:val="both"/>
              <w:rPr>
                <w:rFonts w:hint="default"/>
                <w:sz w:val="21"/>
                <w:szCs w:val="21"/>
                <w:lang w:val="en-US"/>
              </w:rPr>
            </w:pPr>
            <w:r>
              <w:rPr>
                <w:rFonts w:hint="eastAsia"/>
                <w:sz w:val="21"/>
                <w:szCs w:val="21"/>
                <w:lang w:val="en-US" w:eastAsia="zh-CN"/>
              </w:rPr>
              <w:t>《常德市德山经济开发区概念性总体规划(2008-2030)》、《常德经济技术开发区控制性详细规划整合（2021-2030年）》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2188" w:type="dxa"/>
            <w:vAlign w:val="center"/>
          </w:tcPr>
          <w:p>
            <w:pPr>
              <w:spacing w:line="240" w:lineRule="auto"/>
              <w:ind w:firstLine="0" w:firstLineChars="0"/>
              <w:jc w:val="center"/>
              <w:rPr>
                <w:sz w:val="21"/>
                <w:szCs w:val="21"/>
              </w:rPr>
            </w:pPr>
            <w:r>
              <w:rPr>
                <w:sz w:val="21"/>
                <w:szCs w:val="21"/>
              </w:rPr>
              <w:t>规划环境影响</w:t>
            </w:r>
          </w:p>
          <w:p>
            <w:pPr>
              <w:spacing w:line="240" w:lineRule="auto"/>
              <w:ind w:firstLine="0" w:firstLineChars="0"/>
              <w:jc w:val="center"/>
              <w:rPr>
                <w:sz w:val="21"/>
                <w:szCs w:val="21"/>
              </w:rPr>
            </w:pPr>
            <w:r>
              <w:rPr>
                <w:sz w:val="21"/>
                <w:szCs w:val="21"/>
              </w:rPr>
              <w:t>评价情况</w:t>
            </w:r>
          </w:p>
        </w:tc>
        <w:tc>
          <w:tcPr>
            <w:tcW w:w="6765" w:type="dxa"/>
            <w:gridSpan w:val="3"/>
            <w:vAlign w:val="center"/>
          </w:tcPr>
          <w:p>
            <w:pPr>
              <w:numPr>
                <w:ilvl w:val="0"/>
                <w:numId w:val="0"/>
              </w:numPr>
              <w:spacing w:line="240" w:lineRule="auto"/>
              <w:ind w:firstLine="420" w:firstLineChars="200"/>
              <w:jc w:val="both"/>
              <w:rPr>
                <w:rFonts w:hint="eastAsia"/>
                <w:sz w:val="21"/>
                <w:szCs w:val="21"/>
                <w:lang w:eastAsia="zh-CN"/>
              </w:rPr>
            </w:pPr>
            <w:r>
              <w:rPr>
                <w:rFonts w:hint="eastAsia"/>
                <w:sz w:val="21"/>
                <w:szCs w:val="21"/>
                <w:lang w:val="en-US" w:eastAsia="zh-CN"/>
              </w:rPr>
              <w:t>原规划环评名称：《常德市德山经济开发区区域环境影响报告书》（北京师范大学环境科学研究所，2006年）。环评批复：原湖南省环境保护局《关于常德市德山经济开发区区域环境影响报告书的批复》</w:t>
            </w:r>
            <w:r>
              <w:rPr>
                <w:rFonts w:hint="eastAsia"/>
                <w:sz w:val="21"/>
                <w:szCs w:val="21"/>
                <w:lang w:eastAsia="zh-CN"/>
              </w:rPr>
              <w:t>（湘环评</w:t>
            </w:r>
            <w:r>
              <w:rPr>
                <w:rFonts w:hint="eastAsia"/>
                <w:sz w:val="21"/>
                <w:szCs w:val="21"/>
                <w:lang w:val="en-US" w:eastAsia="zh-CN"/>
              </w:rPr>
              <w:t>[2007]119号</w:t>
            </w:r>
            <w:r>
              <w:rPr>
                <w:rFonts w:hint="eastAsia"/>
                <w:sz w:val="21"/>
                <w:szCs w:val="21"/>
                <w:lang w:eastAsia="zh-CN"/>
              </w:rPr>
              <w:t>）。</w:t>
            </w:r>
          </w:p>
          <w:p>
            <w:pPr>
              <w:pStyle w:val="8"/>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规划环评名称：《</w:t>
            </w:r>
            <w:r>
              <w:rPr>
                <w:rFonts w:hint="eastAsia" w:ascii="Times New Roman" w:hAnsi="Times New Roman" w:eastAsia="宋体" w:cs="Times New Roman"/>
                <w:kern w:val="2"/>
                <w:sz w:val="21"/>
                <w:szCs w:val="21"/>
                <w:lang w:val="en-US" w:eastAsia="zh-CN" w:bidi="ar-SA"/>
              </w:rPr>
              <w:t>常德经济技术开发区调区扩区规划环境影响报告书</w:t>
            </w:r>
            <w:r>
              <w:rPr>
                <w:rFonts w:hint="eastAsia" w:cs="Times New Roman"/>
                <w:kern w:val="2"/>
                <w:sz w:val="21"/>
                <w:szCs w:val="21"/>
                <w:lang w:val="en-US" w:eastAsia="zh-CN" w:bidi="ar-SA"/>
              </w:rPr>
              <w:t>》（湖南省环境保护科学研究院，2023年）</w:t>
            </w:r>
          </w:p>
          <w:p>
            <w:pPr>
              <w:numPr>
                <w:ilvl w:val="0"/>
                <w:numId w:val="0"/>
              </w:numPr>
              <w:spacing w:line="240" w:lineRule="auto"/>
              <w:ind w:firstLine="420" w:firstLineChars="200"/>
              <w:jc w:val="both"/>
              <w:rPr>
                <w:rFonts w:hint="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5" w:hRule="atLeast"/>
          <w:jc w:val="center"/>
        </w:trPr>
        <w:tc>
          <w:tcPr>
            <w:tcW w:w="2188" w:type="dxa"/>
            <w:vAlign w:val="center"/>
          </w:tcPr>
          <w:p>
            <w:pPr>
              <w:autoSpaceDE w:val="0"/>
              <w:autoSpaceDN w:val="0"/>
              <w:spacing w:line="240" w:lineRule="auto"/>
              <w:ind w:firstLine="0" w:firstLineChars="0"/>
              <w:jc w:val="center"/>
              <w:rPr>
                <w:sz w:val="21"/>
                <w:szCs w:val="21"/>
              </w:rPr>
            </w:pPr>
            <w:r>
              <w:rPr>
                <w:sz w:val="21"/>
                <w:szCs w:val="21"/>
              </w:rPr>
              <w:t>规划及规划环境</w:t>
            </w:r>
          </w:p>
          <w:p>
            <w:pPr>
              <w:autoSpaceDE w:val="0"/>
              <w:autoSpaceDN w:val="0"/>
              <w:spacing w:line="240" w:lineRule="auto"/>
              <w:ind w:firstLine="0" w:firstLineChars="0"/>
              <w:jc w:val="center"/>
              <w:rPr>
                <w:sz w:val="21"/>
                <w:szCs w:val="21"/>
              </w:rPr>
            </w:pPr>
            <w:r>
              <w:rPr>
                <w:sz w:val="21"/>
                <w:szCs w:val="21"/>
              </w:rPr>
              <w:t>影响评价符合性分析</w:t>
            </w:r>
          </w:p>
        </w:tc>
        <w:tc>
          <w:tcPr>
            <w:tcW w:w="6765" w:type="dxa"/>
            <w:gridSpan w:val="3"/>
            <w:vAlign w:val="center"/>
          </w:tcPr>
          <w:p>
            <w:pPr>
              <w:spacing w:line="240" w:lineRule="auto"/>
              <w:ind w:firstLine="1050" w:firstLineChars="500"/>
              <w:rPr>
                <w:rFonts w:hint="eastAsia"/>
                <w:sz w:val="21"/>
                <w:szCs w:val="21"/>
                <w:lang w:val="en-US" w:eastAsia="zh-CN"/>
              </w:rPr>
            </w:pPr>
            <w:r>
              <w:rPr>
                <w:rFonts w:hint="eastAsia"/>
                <w:sz w:val="21"/>
                <w:szCs w:val="21"/>
              </w:rPr>
              <w:t>表1-</w:t>
            </w:r>
            <w:r>
              <w:rPr>
                <w:rFonts w:hint="eastAsia"/>
                <w:sz w:val="21"/>
                <w:szCs w:val="21"/>
                <w:lang w:val="en-US" w:eastAsia="zh-CN"/>
              </w:rPr>
              <w:t>1 项目与规划及规划环境影响评价符全性</w:t>
            </w:r>
          </w:p>
          <w:tbl>
            <w:tblPr>
              <w:tblStyle w:val="17"/>
              <w:tblW w:w="6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790"/>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265" w:type="dxa"/>
                  <w:vAlign w:val="center"/>
                </w:tcPr>
                <w:p>
                  <w:pPr>
                    <w:spacing w:line="240" w:lineRule="auto"/>
                    <w:ind w:left="0" w:leftChars="0" w:firstLine="0" w:firstLineChars="0"/>
                    <w:jc w:val="center"/>
                    <w:rPr>
                      <w:rFonts w:hint="eastAsia" w:eastAsia="宋体"/>
                      <w:sz w:val="21"/>
                      <w:szCs w:val="21"/>
                      <w:vertAlign w:val="baseline"/>
                      <w:lang w:eastAsia="zh-CN"/>
                    </w:rPr>
                  </w:pPr>
                  <w:r>
                    <w:rPr>
                      <w:rFonts w:hint="eastAsia"/>
                      <w:sz w:val="21"/>
                      <w:szCs w:val="21"/>
                      <w:vertAlign w:val="baseline"/>
                      <w:lang w:eastAsia="zh-CN"/>
                    </w:rPr>
                    <w:t>规划、规划环评要求</w:t>
                  </w:r>
                </w:p>
              </w:tc>
              <w:tc>
                <w:tcPr>
                  <w:tcW w:w="2790" w:type="dxa"/>
                  <w:vAlign w:val="center"/>
                </w:tcPr>
                <w:p>
                  <w:pPr>
                    <w:spacing w:line="240" w:lineRule="auto"/>
                    <w:jc w:val="center"/>
                    <w:rPr>
                      <w:rFonts w:hint="eastAsia" w:eastAsia="宋体"/>
                      <w:sz w:val="21"/>
                      <w:szCs w:val="21"/>
                      <w:vertAlign w:val="baseline"/>
                      <w:lang w:eastAsia="zh-CN"/>
                    </w:rPr>
                  </w:pPr>
                  <w:r>
                    <w:rPr>
                      <w:rFonts w:hint="eastAsia"/>
                      <w:sz w:val="21"/>
                      <w:szCs w:val="21"/>
                      <w:vertAlign w:val="baseline"/>
                      <w:lang w:eastAsia="zh-CN"/>
                    </w:rPr>
                    <w:t>项目情况</w:t>
                  </w:r>
                </w:p>
              </w:tc>
              <w:tc>
                <w:tcPr>
                  <w:tcW w:w="1466" w:type="dxa"/>
                  <w:vAlign w:val="center"/>
                </w:tcPr>
                <w:p>
                  <w:pPr>
                    <w:spacing w:line="240" w:lineRule="auto"/>
                    <w:ind w:left="0" w:leftChars="0" w:firstLine="0" w:firstLineChars="0"/>
                    <w:jc w:val="center"/>
                    <w:rPr>
                      <w:rFonts w:hint="eastAsia" w:eastAsia="宋体"/>
                      <w:sz w:val="21"/>
                      <w:szCs w:val="21"/>
                      <w:vertAlign w:val="baseline"/>
                      <w:lang w:eastAsia="zh-CN"/>
                    </w:rPr>
                  </w:pPr>
                  <w:r>
                    <w:rPr>
                      <w:rFonts w:hint="eastAsia"/>
                      <w:sz w:val="21"/>
                      <w:szCs w:val="21"/>
                      <w:vertAlign w:val="baseline"/>
                      <w:lang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265" w:type="dxa"/>
                  <w:vAlign w:val="center"/>
                </w:tcPr>
                <w:p>
                  <w:pPr>
                    <w:pStyle w:val="44"/>
                    <w:spacing w:line="240" w:lineRule="auto"/>
                    <w:ind w:left="0" w:leftChars="0" w:firstLine="0" w:firstLineChars="0"/>
                    <w:jc w:val="both"/>
                    <w:rPr>
                      <w:rFonts w:hint="eastAsia" w:eastAsia="宋体"/>
                      <w:sz w:val="21"/>
                      <w:szCs w:val="21"/>
                      <w:vertAlign w:val="baseline"/>
                      <w:lang w:eastAsia="zh-CN"/>
                    </w:rPr>
                  </w:pPr>
                  <w:r>
                    <w:rPr>
                      <w:rFonts w:hint="eastAsia" w:ascii="Times New Roman" w:hAnsi="Times New Roman"/>
                      <w:sz w:val="21"/>
                      <w:szCs w:val="21"/>
                      <w:lang w:eastAsia="zh-CN"/>
                    </w:rPr>
                    <w:t>常德经济技术开发区化工园区发展定位为：精细化工片区，产业定位为医药化工产业、新能源及材料产业。</w:t>
                  </w:r>
                </w:p>
              </w:tc>
              <w:tc>
                <w:tcPr>
                  <w:tcW w:w="2790" w:type="dxa"/>
                  <w:vAlign w:val="center"/>
                </w:tcPr>
                <w:p>
                  <w:pPr>
                    <w:spacing w:line="240" w:lineRule="auto"/>
                    <w:ind w:left="0" w:leftChars="0" w:firstLine="0" w:firstLineChars="0"/>
                    <w:jc w:val="center"/>
                    <w:rPr>
                      <w:rFonts w:hint="eastAsia" w:eastAsia="宋体"/>
                      <w:sz w:val="21"/>
                      <w:szCs w:val="21"/>
                      <w:vertAlign w:val="baseline"/>
                      <w:lang w:eastAsia="zh-CN"/>
                    </w:rPr>
                  </w:pPr>
                  <w:r>
                    <w:rPr>
                      <w:rFonts w:hint="eastAsia"/>
                      <w:sz w:val="21"/>
                      <w:szCs w:val="21"/>
                      <w:vertAlign w:val="baseline"/>
                      <w:lang w:eastAsia="zh-CN"/>
                    </w:rPr>
                    <w:t>本项目选址于湖南省常德经济技术开发区湖南海利常德农药化工有限公司现有厂址内，为</w:t>
                  </w:r>
                  <w:r>
                    <w:rPr>
                      <w:rFonts w:hint="eastAsia"/>
                      <w:sz w:val="21"/>
                      <w:szCs w:val="21"/>
                      <w:vertAlign w:val="baseline"/>
                      <w:lang w:val="en-US" w:eastAsia="zh-CN"/>
                    </w:rPr>
                    <w:t>本企业</w:t>
                  </w:r>
                  <w:r>
                    <w:rPr>
                      <w:rFonts w:hint="eastAsia"/>
                      <w:sz w:val="21"/>
                      <w:szCs w:val="21"/>
                      <w:vertAlign w:val="baseline"/>
                      <w:lang w:eastAsia="zh-CN"/>
                    </w:rPr>
                    <w:t>仓储，通过科学规划，致力于使现有厂区内部的危险化学品仓储现代化、专业化。项目的实施将有效提升厂区内危险化学品存放的安全性、稳定性和效率，降低风险。符合园区的产业定位。</w:t>
                  </w:r>
                </w:p>
              </w:tc>
              <w:tc>
                <w:tcPr>
                  <w:tcW w:w="1466" w:type="dxa"/>
                  <w:vAlign w:val="center"/>
                </w:tcPr>
                <w:p>
                  <w:pPr>
                    <w:spacing w:line="240" w:lineRule="auto"/>
                    <w:ind w:left="0" w:leftChars="0" w:firstLine="0" w:firstLineChars="0"/>
                    <w:jc w:val="center"/>
                    <w:rPr>
                      <w:rFonts w:hint="eastAsia"/>
                      <w:sz w:val="21"/>
                      <w:szCs w:val="21"/>
                      <w:vertAlign w:val="baseline"/>
                      <w:lang w:eastAsia="zh-CN"/>
                    </w:rPr>
                  </w:pPr>
                </w:p>
                <w:p>
                  <w:pPr>
                    <w:spacing w:line="240" w:lineRule="auto"/>
                    <w:ind w:left="0" w:leftChars="0" w:firstLine="210" w:firstLineChars="100"/>
                    <w:jc w:val="center"/>
                    <w:rPr>
                      <w:rFonts w:hint="eastAsia" w:eastAsia="宋体"/>
                      <w:sz w:val="21"/>
                      <w:szCs w:val="21"/>
                      <w:vertAlign w:val="baseline"/>
                      <w:lang w:eastAsia="zh-CN"/>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265" w:type="dxa"/>
                  <w:vAlign w:val="center"/>
                </w:tcPr>
                <w:p>
                  <w:pPr>
                    <w:pStyle w:val="44"/>
                    <w:spacing w:line="240" w:lineRule="auto"/>
                    <w:ind w:left="0" w:leftChars="0" w:firstLine="0" w:firstLineChars="0"/>
                    <w:jc w:val="both"/>
                    <w:rPr>
                      <w:rFonts w:hint="eastAsia"/>
                      <w:sz w:val="21"/>
                      <w:szCs w:val="21"/>
                      <w:vertAlign w:val="baseline"/>
                    </w:rPr>
                  </w:pPr>
                  <w:r>
                    <w:rPr>
                      <w:rFonts w:hint="eastAsia" w:ascii="Times New Roman" w:hAnsi="Times New Roman"/>
                      <w:sz w:val="21"/>
                      <w:szCs w:val="21"/>
                    </w:rPr>
                    <w:t>加强区域环境综合整治，污染物超标排放的企业应限期整改，达不到整改要求的企业，要责令其关停并转。</w:t>
                  </w:r>
                </w:p>
              </w:tc>
              <w:tc>
                <w:tcPr>
                  <w:tcW w:w="2790" w:type="dxa"/>
                  <w:vAlign w:val="center"/>
                </w:tcPr>
                <w:p>
                  <w:pPr>
                    <w:spacing w:line="240" w:lineRule="auto"/>
                    <w:ind w:left="0" w:leftChars="0" w:firstLine="0" w:firstLineChars="0"/>
                    <w:jc w:val="center"/>
                    <w:rPr>
                      <w:rFonts w:hint="eastAsia" w:eastAsia="宋体"/>
                      <w:sz w:val="21"/>
                      <w:szCs w:val="21"/>
                      <w:vertAlign w:val="baseline"/>
                      <w:lang w:eastAsia="zh-CN"/>
                    </w:rPr>
                  </w:pPr>
                  <w:r>
                    <w:rPr>
                      <w:rFonts w:hint="eastAsia"/>
                      <w:sz w:val="21"/>
                      <w:szCs w:val="21"/>
                      <w:vertAlign w:val="baseline"/>
                      <w:lang w:eastAsia="zh-CN"/>
                    </w:rPr>
                    <w:t>本项目各项污染物均能达标排放</w:t>
                  </w:r>
                </w:p>
              </w:tc>
              <w:tc>
                <w:tcPr>
                  <w:tcW w:w="1466" w:type="dxa"/>
                  <w:vAlign w:val="center"/>
                </w:tcPr>
                <w:p>
                  <w:pPr>
                    <w:spacing w:line="240" w:lineRule="auto"/>
                    <w:ind w:left="0" w:leftChars="0" w:firstLine="210" w:firstLineChars="100"/>
                    <w:jc w:val="center"/>
                    <w:rPr>
                      <w:rFonts w:hint="eastAsia"/>
                      <w:sz w:val="21"/>
                      <w:szCs w:val="21"/>
                      <w:vertAlign w:val="baseline"/>
                      <w:lang w:eastAsia="zh-CN"/>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265" w:type="dxa"/>
                  <w:vAlign w:val="center"/>
                </w:tcPr>
                <w:p>
                  <w:pPr>
                    <w:pStyle w:val="44"/>
                    <w:spacing w:line="240" w:lineRule="auto"/>
                    <w:ind w:left="0" w:leftChars="0" w:firstLine="0" w:firstLineChars="0"/>
                    <w:jc w:val="both"/>
                    <w:rPr>
                      <w:rFonts w:hint="eastAsia"/>
                      <w:sz w:val="21"/>
                      <w:szCs w:val="21"/>
                      <w:vertAlign w:val="baseline"/>
                      <w:lang w:eastAsia="zh-CN"/>
                    </w:rPr>
                  </w:pPr>
                  <w:r>
                    <w:rPr>
                      <w:rFonts w:hint="eastAsia" w:ascii="Times New Roman" w:hAnsi="Times New Roman"/>
                      <w:sz w:val="21"/>
                      <w:szCs w:val="21"/>
                    </w:rPr>
                    <w:t>生活废水排入污水处理厂集中处理后排放；工业废水经企业自行处理达到污水处理厂进水水质要求后，方可排入区内的污水管网，统一进入污水处理厂处理达标后排放。一类污染物在车间排放口达标。</w:t>
                  </w:r>
                </w:p>
              </w:tc>
              <w:tc>
                <w:tcPr>
                  <w:tcW w:w="2790" w:type="dxa"/>
                  <w:vAlign w:val="center"/>
                </w:tcPr>
                <w:p>
                  <w:pPr>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本项目为仓储项目，正常工况下无生产废水。</w:t>
                  </w:r>
                  <w:r>
                    <w:rPr>
                      <w:rFonts w:hint="eastAsia"/>
                      <w:sz w:val="21"/>
                      <w:szCs w:val="21"/>
                      <w:lang w:eastAsia="zh-CN"/>
                    </w:rPr>
                    <w:t>事故状态下，仓库内可能产生的洗眼器废水及地面冲洗废水采用集液槽和废水收集池收集后泵送至厂区污水处理区进行处理，经德山污水处理厂深度处理后排入东风河，最终排入沅江</w:t>
                  </w:r>
                  <w:r>
                    <w:rPr>
                      <w:rFonts w:hint="eastAsia"/>
                      <w:sz w:val="21"/>
                      <w:szCs w:val="21"/>
                    </w:rPr>
                    <w:t>。</w:t>
                  </w:r>
                </w:p>
              </w:tc>
              <w:tc>
                <w:tcPr>
                  <w:tcW w:w="1466" w:type="dxa"/>
                  <w:vAlign w:val="center"/>
                </w:tcPr>
                <w:p>
                  <w:pPr>
                    <w:spacing w:line="240" w:lineRule="auto"/>
                    <w:ind w:left="0" w:leftChars="0" w:firstLine="210" w:firstLineChars="100"/>
                    <w:jc w:val="center"/>
                    <w:rPr>
                      <w:rFonts w:hint="eastAsia"/>
                      <w:sz w:val="21"/>
                      <w:szCs w:val="21"/>
                      <w:vertAlign w:val="baseline"/>
                      <w:lang w:eastAsia="zh-CN"/>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265" w:type="dxa"/>
                  <w:vAlign w:val="center"/>
                </w:tcPr>
                <w:p>
                  <w:pPr>
                    <w:pStyle w:val="44"/>
                    <w:spacing w:line="240" w:lineRule="auto"/>
                    <w:ind w:left="0" w:leftChars="0" w:firstLine="0" w:firstLineChars="0"/>
                    <w:jc w:val="both"/>
                    <w:rPr>
                      <w:rFonts w:hint="eastAsia"/>
                      <w:sz w:val="21"/>
                      <w:szCs w:val="21"/>
                      <w:vertAlign w:val="baseline"/>
                      <w:lang w:eastAsia="zh-CN"/>
                    </w:rPr>
                  </w:pPr>
                  <w:r>
                    <w:rPr>
                      <w:rFonts w:hint="eastAsia" w:ascii="Times New Roman" w:hAnsi="Times New Roman"/>
                      <w:sz w:val="21"/>
                      <w:szCs w:val="21"/>
                    </w:rPr>
                    <w:t>区域内危险废物的收集、贮存要符合《危险废物贮存污染控制标准》的有关规定，严</w:t>
                  </w:r>
                  <w:r>
                    <w:rPr>
                      <w:rFonts w:hint="eastAsia" w:ascii="Times New Roman" w:hAnsi="Times New Roman"/>
                      <w:sz w:val="21"/>
                      <w:szCs w:val="21"/>
                      <w:lang w:eastAsia="zh-CN"/>
                    </w:rPr>
                    <w:t>禁</w:t>
                  </w:r>
                  <w:r>
                    <w:rPr>
                      <w:rFonts w:hint="eastAsia" w:ascii="Times New Roman" w:hAnsi="Times New Roman"/>
                      <w:sz w:val="21"/>
                      <w:szCs w:val="21"/>
                    </w:rPr>
                    <w:t>造成二次污染。</w:t>
                  </w:r>
                </w:p>
              </w:tc>
              <w:tc>
                <w:tcPr>
                  <w:tcW w:w="2790" w:type="dxa"/>
                  <w:vAlign w:val="center"/>
                </w:tcPr>
                <w:p>
                  <w:pPr>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本项目</w:t>
                  </w:r>
                  <w:r>
                    <w:rPr>
                      <w:rFonts w:hint="eastAsia"/>
                      <w:sz w:val="21"/>
                      <w:szCs w:val="21"/>
                      <w:vertAlign w:val="baseline"/>
                      <w:lang w:val="en-US" w:eastAsia="zh-CN"/>
                    </w:rPr>
                    <w:t>正常状况不产生</w:t>
                  </w:r>
                  <w:r>
                    <w:rPr>
                      <w:rFonts w:hint="eastAsia"/>
                      <w:sz w:val="21"/>
                      <w:szCs w:val="21"/>
                      <w:vertAlign w:val="baseline"/>
                      <w:lang w:eastAsia="zh-CN"/>
                    </w:rPr>
                    <w:t>危险废物。</w:t>
                  </w:r>
                  <w:r>
                    <w:rPr>
                      <w:rFonts w:hint="eastAsia"/>
                      <w:sz w:val="21"/>
                      <w:szCs w:val="21"/>
                      <w:vertAlign w:val="baseline"/>
                      <w:lang w:val="en-US" w:eastAsia="zh-CN"/>
                    </w:rPr>
                    <w:t>但储存装卸过程中如产生泄漏，按应急措施进行处置，收集的泄漏物质按危险废物暂存及管理</w:t>
                  </w:r>
                  <w:r>
                    <w:rPr>
                      <w:rFonts w:hint="eastAsia"/>
                      <w:sz w:val="21"/>
                      <w:szCs w:val="21"/>
                      <w:vertAlign w:val="baseline"/>
                      <w:lang w:eastAsia="zh-CN"/>
                    </w:rPr>
                    <w:t>。</w:t>
                  </w:r>
                </w:p>
              </w:tc>
              <w:tc>
                <w:tcPr>
                  <w:tcW w:w="1466" w:type="dxa"/>
                  <w:vAlign w:val="center"/>
                </w:tcPr>
                <w:p>
                  <w:pPr>
                    <w:spacing w:line="240" w:lineRule="auto"/>
                    <w:ind w:left="0" w:leftChars="0" w:firstLine="210" w:firstLineChars="100"/>
                    <w:jc w:val="center"/>
                    <w:rPr>
                      <w:rFonts w:hint="eastAsia"/>
                      <w:sz w:val="21"/>
                      <w:szCs w:val="21"/>
                      <w:vertAlign w:val="baseline"/>
                      <w:lang w:eastAsia="zh-CN"/>
                    </w:rPr>
                  </w:pPr>
                  <w:r>
                    <w:rPr>
                      <w:rFonts w:hint="eastAsia"/>
                      <w:sz w:val="21"/>
                      <w:szCs w:val="21"/>
                      <w:vertAlign w:val="baseline"/>
                      <w:lang w:eastAsia="zh-CN"/>
                    </w:rPr>
                    <w:t>符合</w:t>
                  </w:r>
                </w:p>
              </w:tc>
            </w:tr>
          </w:tbl>
          <w:p>
            <w:pPr>
              <w:spacing w:line="240" w:lineRule="auto"/>
              <w:ind w:left="0" w:leftChars="0" w:firstLine="0" w:firstLineChars="0"/>
              <w:rPr>
                <w:rFonts w:hint="eastAsia"/>
                <w:sz w:val="21"/>
                <w:szCs w:val="21"/>
                <w:lang w:val="en-US" w:eastAsia="zh-CN"/>
              </w:rPr>
            </w:pPr>
          </w:p>
          <w:p>
            <w:pPr>
              <w:ind w:left="0" w:leftChars="0" w:firstLine="0" w:firstLineChars="0"/>
              <w:jc w:val="left"/>
              <w:rPr>
                <w:rFonts w:hint="default"/>
                <w:sz w:val="21"/>
                <w:szCs w:val="21"/>
                <w:lang w:val="en-US" w:eastAsia="zh-CN"/>
              </w:rPr>
            </w:pPr>
          </w:p>
        </w:tc>
      </w:tr>
    </w:tbl>
    <w:p>
      <w:pPr>
        <w:ind w:firstLine="0" w:firstLineChars="0"/>
        <w:jc w:val="center"/>
        <w:sectPr>
          <w:footerReference r:id="rId11" w:type="default"/>
          <w:pgSz w:w="11906" w:h="16838"/>
          <w:pgMar w:top="1418" w:right="1588" w:bottom="1418" w:left="1588" w:header="851" w:footer="992" w:gutter="0"/>
          <w:pgNumType w:fmt="numberInDash" w:start="1"/>
          <w:cols w:space="425" w:num="1"/>
          <w:docGrid w:type="lines" w:linePitch="326" w:charSpace="0"/>
        </w:sectPr>
      </w:pPr>
    </w:p>
    <w:tbl>
      <w:tblPr>
        <w:tblStyle w:val="17"/>
        <w:tblW w:w="14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9"/>
        <w:gridCol w:w="1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9" w:type="dxa"/>
            <w:vAlign w:val="center"/>
          </w:tcPr>
          <w:p>
            <w:pPr>
              <w:ind w:firstLine="0" w:firstLineChars="0"/>
              <w:jc w:val="center"/>
            </w:pPr>
            <w:r>
              <w:rPr>
                <w:sz w:val="21"/>
                <w:szCs w:val="21"/>
              </w:rPr>
              <w:t>其他符合性分析</w:t>
            </w:r>
          </w:p>
        </w:tc>
        <w:tc>
          <w:tcPr>
            <w:tcW w:w="11987" w:type="dxa"/>
          </w:tcPr>
          <w:p>
            <w:pPr>
              <w:spacing w:line="276" w:lineRule="auto"/>
              <w:ind w:firstLine="0" w:firstLineChars="0"/>
              <w:rPr>
                <w:b/>
                <w:bCs/>
                <w:sz w:val="21"/>
                <w:szCs w:val="21"/>
              </w:rPr>
            </w:pPr>
            <w:r>
              <w:rPr>
                <w:rFonts w:hint="eastAsia"/>
                <w:b/>
                <w:bCs/>
                <w:sz w:val="21"/>
                <w:szCs w:val="21"/>
              </w:rPr>
              <w:t>1、与</w:t>
            </w:r>
            <w:r>
              <w:rPr>
                <w:rFonts w:hint="eastAsia"/>
                <w:b/>
                <w:bCs/>
                <w:sz w:val="21"/>
                <w:szCs w:val="21"/>
                <w:lang w:eastAsia="zh-CN"/>
              </w:rPr>
              <w:t>生态环境准入清单的</w:t>
            </w:r>
            <w:r>
              <w:rPr>
                <w:rFonts w:hint="eastAsia"/>
                <w:b/>
                <w:bCs/>
                <w:sz w:val="21"/>
                <w:szCs w:val="21"/>
              </w:rPr>
              <w:t>符合性分析</w:t>
            </w:r>
          </w:p>
          <w:p>
            <w:pPr>
              <w:spacing w:line="276" w:lineRule="auto"/>
              <w:ind w:firstLine="420"/>
              <w:rPr>
                <w:sz w:val="21"/>
                <w:szCs w:val="21"/>
              </w:rPr>
            </w:pPr>
            <w:r>
              <w:rPr>
                <w:rFonts w:hint="eastAsia"/>
                <w:sz w:val="21"/>
                <w:szCs w:val="21"/>
              </w:rPr>
              <w:t>本项目位于常德</w:t>
            </w:r>
            <w:r>
              <w:rPr>
                <w:rFonts w:hint="eastAsia"/>
                <w:sz w:val="21"/>
                <w:szCs w:val="21"/>
                <w:lang w:eastAsia="zh-CN"/>
              </w:rPr>
              <w:t>经济技术开发区</w:t>
            </w:r>
            <w:r>
              <w:rPr>
                <w:rFonts w:hint="eastAsia"/>
                <w:sz w:val="21"/>
                <w:szCs w:val="21"/>
              </w:rPr>
              <w:t>德山街道办事处苏家渡居委会苏家渡街道，</w:t>
            </w:r>
            <w:r>
              <w:rPr>
                <w:rFonts w:hint="eastAsia"/>
                <w:sz w:val="21"/>
                <w:szCs w:val="21"/>
                <w:lang w:eastAsia="zh-CN"/>
              </w:rPr>
              <w:t>属于</w:t>
            </w:r>
            <w:r>
              <w:rPr>
                <w:rFonts w:hint="eastAsia"/>
                <w:sz w:val="21"/>
                <w:szCs w:val="21"/>
              </w:rPr>
              <w:t>常德</w:t>
            </w:r>
            <w:r>
              <w:rPr>
                <w:rFonts w:hint="eastAsia"/>
                <w:sz w:val="21"/>
                <w:szCs w:val="21"/>
                <w:lang w:eastAsia="zh-CN"/>
              </w:rPr>
              <w:t>经济技术开发区范围，属于</w:t>
            </w:r>
            <w:r>
              <w:rPr>
                <w:rFonts w:hint="eastAsia"/>
                <w:sz w:val="21"/>
                <w:szCs w:val="21"/>
              </w:rPr>
              <w:t>省级以上产业园区</w:t>
            </w:r>
            <w:r>
              <w:rPr>
                <w:rFonts w:hint="eastAsia"/>
                <w:sz w:val="21"/>
                <w:szCs w:val="21"/>
                <w:lang w:eastAsia="zh-CN"/>
              </w:rPr>
              <w:t>。</w:t>
            </w:r>
            <w:r>
              <w:rPr>
                <w:rFonts w:hint="eastAsia"/>
                <w:sz w:val="21"/>
                <w:szCs w:val="21"/>
              </w:rPr>
              <w:t>根据</w:t>
            </w:r>
            <w:r>
              <w:rPr>
                <w:rFonts w:hint="eastAsia"/>
                <w:sz w:val="21"/>
                <w:szCs w:val="21"/>
                <w:lang w:eastAsia="zh-CN"/>
              </w:rPr>
              <w:t>湖南省</w:t>
            </w:r>
            <w:r>
              <w:rPr>
                <w:rFonts w:hint="eastAsia"/>
                <w:sz w:val="21"/>
                <w:szCs w:val="21"/>
              </w:rPr>
              <w:t>人民政府202</w:t>
            </w:r>
            <w:r>
              <w:rPr>
                <w:rFonts w:hint="eastAsia"/>
                <w:sz w:val="21"/>
                <w:szCs w:val="21"/>
                <w:lang w:val="en-US" w:eastAsia="zh-CN"/>
              </w:rPr>
              <w:t>4</w:t>
            </w:r>
            <w:r>
              <w:rPr>
                <w:rFonts w:hint="eastAsia"/>
                <w:sz w:val="21"/>
                <w:szCs w:val="21"/>
              </w:rPr>
              <w:t>年</w:t>
            </w:r>
            <w:r>
              <w:rPr>
                <w:rFonts w:hint="eastAsia"/>
                <w:sz w:val="21"/>
                <w:szCs w:val="21"/>
                <w:lang w:val="en-US" w:eastAsia="zh-CN"/>
              </w:rPr>
              <w:t>4</w:t>
            </w:r>
            <w:r>
              <w:rPr>
                <w:rFonts w:hint="eastAsia"/>
                <w:sz w:val="21"/>
                <w:szCs w:val="21"/>
              </w:rPr>
              <w:t>月发布的《湖南省生态环境分区管控总体管控要求暨省级以上产业园区生态环境准入清单》</w:t>
            </w:r>
            <w:r>
              <w:rPr>
                <w:rFonts w:hint="eastAsia"/>
                <w:sz w:val="21"/>
                <w:szCs w:val="21"/>
                <w:lang w:val="en-US" w:eastAsia="zh-CN"/>
              </w:rPr>
              <w:t>（</w:t>
            </w:r>
            <w:r>
              <w:rPr>
                <w:rFonts w:hint="eastAsia"/>
                <w:sz w:val="21"/>
                <w:szCs w:val="21"/>
              </w:rPr>
              <w:t>湘环函〔2024〕26号</w:t>
            </w:r>
            <w:r>
              <w:rPr>
                <w:rFonts w:hint="eastAsia"/>
                <w:sz w:val="21"/>
                <w:szCs w:val="21"/>
                <w:lang w:val="en-US" w:eastAsia="zh-CN"/>
              </w:rPr>
              <w:t>）</w:t>
            </w:r>
            <w:r>
              <w:rPr>
                <w:rFonts w:hint="eastAsia"/>
                <w:sz w:val="21"/>
                <w:szCs w:val="21"/>
              </w:rPr>
              <w:t>，</w:t>
            </w:r>
            <w:r>
              <w:rPr>
                <w:rFonts w:hint="eastAsia"/>
                <w:sz w:val="21"/>
                <w:szCs w:val="21"/>
                <w:lang w:eastAsia="zh-CN"/>
              </w:rPr>
              <w:t>项目所在区域</w:t>
            </w:r>
            <w:r>
              <w:rPr>
                <w:rFonts w:hint="eastAsia"/>
                <w:sz w:val="21"/>
                <w:szCs w:val="21"/>
              </w:rPr>
              <w:t>属于</w:t>
            </w:r>
            <w:r>
              <w:rPr>
                <w:rFonts w:hint="eastAsia"/>
                <w:sz w:val="21"/>
                <w:szCs w:val="21"/>
                <w:lang w:eastAsia="zh-CN"/>
              </w:rPr>
              <w:t>“重点管控单元”，主体功能定位为国家</w:t>
            </w:r>
            <w:r>
              <w:rPr>
                <w:rFonts w:hint="eastAsia"/>
                <w:sz w:val="21"/>
                <w:szCs w:val="21"/>
              </w:rPr>
              <w:t>级重点开发区域，根据清单中的相关要求，进行项目相符性分析，具体见下表。</w:t>
            </w:r>
          </w:p>
          <w:p>
            <w:pPr>
              <w:spacing w:line="276" w:lineRule="auto"/>
              <w:ind w:firstLine="0" w:firstLineChars="0"/>
              <w:jc w:val="center"/>
              <w:rPr>
                <w:sz w:val="21"/>
                <w:szCs w:val="21"/>
              </w:rPr>
            </w:pPr>
            <w:r>
              <w:rPr>
                <w:rFonts w:hint="eastAsia"/>
                <w:sz w:val="21"/>
                <w:szCs w:val="21"/>
              </w:rPr>
              <w:t>表1-</w:t>
            </w:r>
            <w:r>
              <w:rPr>
                <w:rFonts w:hint="eastAsia"/>
                <w:sz w:val="21"/>
                <w:szCs w:val="21"/>
                <w:lang w:val="en-US" w:eastAsia="zh-CN"/>
              </w:rPr>
              <w:t>2</w:t>
            </w:r>
            <w:r>
              <w:rPr>
                <w:rFonts w:hint="eastAsia"/>
                <w:sz w:val="21"/>
                <w:szCs w:val="21"/>
              </w:rPr>
              <w:t xml:space="preserve">  项目与《湖南省生态环境总体管控要求暨省级以上产业园区生态环境准入清单》的符合性分析</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5622"/>
              <w:gridCol w:w="3314"/>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pct"/>
                  <w:vAlign w:val="center"/>
                </w:tcPr>
                <w:p>
                  <w:pPr>
                    <w:spacing w:line="240" w:lineRule="auto"/>
                    <w:ind w:firstLine="0" w:firstLineChars="0"/>
                    <w:jc w:val="center"/>
                    <w:rPr>
                      <w:sz w:val="21"/>
                      <w:szCs w:val="21"/>
                    </w:rPr>
                  </w:pPr>
                  <w:r>
                    <w:rPr>
                      <w:rFonts w:hint="eastAsia"/>
                      <w:sz w:val="21"/>
                      <w:szCs w:val="21"/>
                    </w:rPr>
                    <w:t>管理维度</w:t>
                  </w:r>
                </w:p>
              </w:tc>
              <w:tc>
                <w:tcPr>
                  <w:tcW w:w="2390" w:type="pct"/>
                  <w:vAlign w:val="center"/>
                </w:tcPr>
                <w:p>
                  <w:pPr>
                    <w:spacing w:line="240" w:lineRule="auto"/>
                    <w:ind w:firstLine="0" w:firstLineChars="0"/>
                    <w:jc w:val="center"/>
                    <w:rPr>
                      <w:sz w:val="21"/>
                      <w:szCs w:val="21"/>
                    </w:rPr>
                  </w:pPr>
                  <w:r>
                    <w:rPr>
                      <w:rFonts w:hint="eastAsia"/>
                      <w:sz w:val="21"/>
                      <w:szCs w:val="21"/>
                    </w:rPr>
                    <w:t>清单中管控要求</w:t>
                  </w:r>
                </w:p>
              </w:tc>
              <w:tc>
                <w:tcPr>
                  <w:tcW w:w="1409" w:type="pct"/>
                  <w:vAlign w:val="center"/>
                </w:tcPr>
                <w:p>
                  <w:pPr>
                    <w:spacing w:line="240" w:lineRule="auto"/>
                    <w:ind w:firstLine="0" w:firstLineChars="0"/>
                    <w:jc w:val="center"/>
                    <w:rPr>
                      <w:sz w:val="21"/>
                      <w:szCs w:val="21"/>
                    </w:rPr>
                  </w:pPr>
                  <w:r>
                    <w:rPr>
                      <w:rFonts w:hint="eastAsia"/>
                      <w:sz w:val="21"/>
                      <w:szCs w:val="21"/>
                    </w:rPr>
                    <w:t>相符性分析</w:t>
                  </w:r>
                </w:p>
              </w:tc>
              <w:tc>
                <w:tcPr>
                  <w:tcW w:w="385" w:type="pct"/>
                  <w:vAlign w:val="center"/>
                </w:tcPr>
                <w:p>
                  <w:pPr>
                    <w:spacing w:line="240" w:lineRule="auto"/>
                    <w:ind w:firstLine="0" w:firstLineChars="0"/>
                    <w:jc w:val="center"/>
                    <w:rPr>
                      <w:sz w:val="21"/>
                      <w:szCs w:val="21"/>
                    </w:rPr>
                  </w:pPr>
                  <w:r>
                    <w:rPr>
                      <w:rFonts w:hint="eastAsia"/>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Align w:val="center"/>
                </w:tcPr>
                <w:p>
                  <w:pPr>
                    <w:spacing w:line="240" w:lineRule="auto"/>
                    <w:ind w:firstLine="0" w:firstLineChars="0"/>
                    <w:jc w:val="center"/>
                    <w:rPr>
                      <w:sz w:val="21"/>
                      <w:szCs w:val="21"/>
                    </w:rPr>
                  </w:pPr>
                  <w:r>
                    <w:rPr>
                      <w:rFonts w:hint="eastAsia"/>
                      <w:sz w:val="21"/>
                      <w:szCs w:val="21"/>
                    </w:rPr>
                    <w:t>空间布局约束</w:t>
                  </w:r>
                </w:p>
              </w:tc>
              <w:tc>
                <w:tcPr>
                  <w:tcW w:w="2390" w:type="pct"/>
                  <w:vAlign w:val="center"/>
                </w:tcPr>
                <w:p>
                  <w:pPr>
                    <w:numPr>
                      <w:ilvl w:val="0"/>
                      <w:numId w:val="0"/>
                    </w:numPr>
                    <w:spacing w:line="240" w:lineRule="auto"/>
                    <w:ind w:leftChars="0"/>
                    <w:rPr>
                      <w:rFonts w:hint="eastAsia"/>
                      <w:sz w:val="21"/>
                      <w:szCs w:val="21"/>
                    </w:rPr>
                  </w:pPr>
                  <w:r>
                    <w:rPr>
                      <w:rFonts w:hint="eastAsia"/>
                      <w:sz w:val="21"/>
                      <w:szCs w:val="21"/>
                    </w:rPr>
                    <w:t>（1.1）进一步优化规划布局，区块一至区块五（德山产业园）西区严格控制三类用地，注重发展新材料、机械电子等高新技术产业；区块一至区块五德山产业园）东扩区三类工业以化学工业、纺织印染工业、新材料工业为主，优先发展高科技、高附加值、空间布技术密集型的工业企业，并确保引进项目具备成熟的污染防治技术。</w:t>
                  </w:r>
                </w:p>
                <w:p>
                  <w:pPr>
                    <w:numPr>
                      <w:ilvl w:val="0"/>
                      <w:numId w:val="0"/>
                    </w:numPr>
                    <w:spacing w:line="240" w:lineRule="auto"/>
                    <w:ind w:leftChars="0"/>
                    <w:rPr>
                      <w:rFonts w:hint="eastAsia"/>
                      <w:sz w:val="21"/>
                      <w:szCs w:val="21"/>
                    </w:rPr>
                  </w:pPr>
                  <w:r>
                    <w:rPr>
                      <w:rFonts w:hint="eastAsia"/>
                      <w:sz w:val="21"/>
                      <w:szCs w:val="21"/>
                    </w:rPr>
                    <w:t>（1.2）化工片区西侧至太阳大道的范围内不得新增居住用地，现有的枫树岗安置小区规模不得扩增，枫树岗安置小区东侧的三类工业用地调整为二类工业用地，化工片区靠近园区边界的区域避免布局以气型污染为主或环境风险大的项目。</w:t>
                  </w:r>
                </w:p>
                <w:p>
                  <w:pPr>
                    <w:numPr>
                      <w:ilvl w:val="0"/>
                      <w:numId w:val="0"/>
                    </w:numPr>
                    <w:spacing w:line="240" w:lineRule="auto"/>
                    <w:ind w:leftChars="0"/>
                    <w:rPr>
                      <w:sz w:val="21"/>
                      <w:szCs w:val="21"/>
                    </w:rPr>
                  </w:pPr>
                  <w:r>
                    <w:rPr>
                      <w:rFonts w:hint="eastAsia"/>
                      <w:sz w:val="21"/>
                      <w:szCs w:val="21"/>
                    </w:rPr>
                    <w:t>（1.3）化工片区南面 500 米范围内不新建居民区、学校、医院等环境敏感建筑或生态敏感区。</w:t>
                  </w:r>
                </w:p>
              </w:tc>
              <w:tc>
                <w:tcPr>
                  <w:tcW w:w="1409" w:type="pct"/>
                </w:tcPr>
                <w:p>
                  <w:pPr>
                    <w:spacing w:line="240" w:lineRule="auto"/>
                    <w:ind w:firstLine="0" w:firstLineChars="0"/>
                    <w:rPr>
                      <w:rFonts w:hint="default" w:eastAsia="宋体"/>
                      <w:sz w:val="21"/>
                      <w:szCs w:val="21"/>
                      <w:lang w:val="en-US" w:eastAsia="zh-CN"/>
                    </w:rPr>
                  </w:pPr>
                  <w:r>
                    <w:rPr>
                      <w:rFonts w:hint="eastAsia"/>
                      <w:sz w:val="21"/>
                      <w:szCs w:val="21"/>
                    </w:rPr>
                    <w:t>（1）本项目</w:t>
                  </w:r>
                  <w:r>
                    <w:rPr>
                      <w:rFonts w:hint="eastAsia"/>
                      <w:sz w:val="21"/>
                      <w:szCs w:val="21"/>
                      <w:lang w:eastAsia="zh-CN"/>
                    </w:rPr>
                    <w:t>位于</w:t>
                  </w:r>
                  <w:r>
                    <w:rPr>
                      <w:rFonts w:hint="eastAsia"/>
                      <w:sz w:val="21"/>
                      <w:szCs w:val="21"/>
                    </w:rPr>
                    <w:t>于常德</w:t>
                  </w:r>
                  <w:r>
                    <w:rPr>
                      <w:rFonts w:hint="eastAsia"/>
                      <w:sz w:val="21"/>
                      <w:szCs w:val="21"/>
                      <w:lang w:eastAsia="zh-CN"/>
                    </w:rPr>
                    <w:t>经济技术开发区</w:t>
                  </w:r>
                  <w:r>
                    <w:rPr>
                      <w:rFonts w:hint="eastAsia" w:ascii="Times New Roman" w:hAnsi="Times New Roman"/>
                      <w:sz w:val="21"/>
                      <w:szCs w:val="21"/>
                      <w:lang w:eastAsia="zh-CN"/>
                    </w:rPr>
                    <w:t>化工园</w:t>
                  </w:r>
                  <w:r>
                    <w:rPr>
                      <w:rFonts w:hint="eastAsia"/>
                      <w:sz w:val="21"/>
                      <w:szCs w:val="21"/>
                      <w:lang w:eastAsia="zh-CN"/>
                    </w:rPr>
                    <w:t>片</w:t>
                  </w:r>
                  <w:r>
                    <w:rPr>
                      <w:rFonts w:hint="eastAsia" w:ascii="Times New Roman" w:hAnsi="Times New Roman"/>
                      <w:sz w:val="21"/>
                      <w:szCs w:val="21"/>
                      <w:lang w:eastAsia="zh-CN"/>
                    </w:rPr>
                    <w:t>区</w:t>
                  </w:r>
                  <w:r>
                    <w:rPr>
                      <w:rFonts w:hint="eastAsia"/>
                      <w:sz w:val="21"/>
                      <w:szCs w:val="21"/>
                      <w:lang w:eastAsia="zh-CN"/>
                    </w:rPr>
                    <w:t>，</w:t>
                  </w:r>
                  <w:r>
                    <w:rPr>
                      <w:rFonts w:hint="eastAsia"/>
                      <w:sz w:val="21"/>
                      <w:szCs w:val="21"/>
                      <w:vertAlign w:val="baseline"/>
                      <w:lang w:eastAsia="zh-CN"/>
                    </w:rPr>
                    <w:t>湖南海利常德农药化工有限公司现有厂址内，属于三类工业用地，本项目不新增用地，符合产业园的空间布局要求、符合园区的产业发展定位规划</w:t>
                  </w:r>
                  <w:r>
                    <w:rPr>
                      <w:rFonts w:hint="eastAsia"/>
                      <w:sz w:val="21"/>
                      <w:szCs w:val="21"/>
                      <w:lang w:eastAsia="zh-CN"/>
                    </w:rPr>
                    <w:t>。</w:t>
                  </w:r>
                </w:p>
              </w:tc>
              <w:tc>
                <w:tcPr>
                  <w:tcW w:w="385" w:type="pct"/>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816" w:type="pct"/>
                  <w:vAlign w:val="center"/>
                </w:tcPr>
                <w:p>
                  <w:pPr>
                    <w:spacing w:line="240" w:lineRule="auto"/>
                    <w:ind w:firstLine="0" w:firstLineChars="0"/>
                    <w:jc w:val="center"/>
                    <w:rPr>
                      <w:sz w:val="21"/>
                      <w:szCs w:val="21"/>
                    </w:rPr>
                  </w:pPr>
                  <w:r>
                    <w:rPr>
                      <w:rFonts w:hint="eastAsia"/>
                      <w:sz w:val="21"/>
                      <w:szCs w:val="21"/>
                    </w:rPr>
                    <w:t>污染物排放管控</w:t>
                  </w:r>
                </w:p>
              </w:tc>
              <w:tc>
                <w:tcPr>
                  <w:tcW w:w="2390" w:type="pct"/>
                  <w:vAlign w:val="center"/>
                </w:tcPr>
                <w:p>
                  <w:pPr>
                    <w:spacing w:line="240" w:lineRule="auto"/>
                    <w:ind w:firstLine="0" w:firstLineChars="0"/>
                    <w:rPr>
                      <w:rFonts w:hint="eastAsia"/>
                      <w:sz w:val="21"/>
                      <w:szCs w:val="21"/>
                    </w:rPr>
                  </w:pPr>
                  <w:r>
                    <w:rPr>
                      <w:rFonts w:hint="eastAsia"/>
                      <w:sz w:val="21"/>
                      <w:szCs w:val="21"/>
                    </w:rPr>
                    <w:t>（2.1）废水</w:t>
                  </w:r>
                </w:p>
                <w:p>
                  <w:pPr>
                    <w:spacing w:line="240" w:lineRule="auto"/>
                    <w:ind w:firstLine="0" w:firstLineChars="0"/>
                    <w:rPr>
                      <w:rFonts w:hint="eastAsia"/>
                      <w:sz w:val="21"/>
                      <w:szCs w:val="21"/>
                    </w:rPr>
                  </w:pPr>
                  <w:r>
                    <w:rPr>
                      <w:rFonts w:hint="eastAsia"/>
                      <w:sz w:val="21"/>
                      <w:szCs w:val="21"/>
                    </w:rPr>
                    <w:t>（2.1.1）完善污水管网建设，做好雨污分流，确保经开区各片区生产生活废水应收尽收，区块一至区块五（德山产业园）废水污染物排排入德山污水处理厂，处理达标后排入东风河最终汇入沅江；区块六至区块十（烟草科技产业园）废水排入依托的常德市污水净化放管控中心，处理达标后排入穿紫河最终汇入沅江；区块十一、区块十二（武陵移动互联网产业园）废水排入依托的常德市皇木关污水处理厂，处理达标后排入沅江；区域雨水沿地势分区排入沅江、东风河、枉水、穿紫河、马家吉河、三港渠、六号渠、中心渠，最后均进入沅江。经开区不得超过污水处理厂处理能力和排污口审批所规定的废水排放量引进项目。</w:t>
                  </w:r>
                </w:p>
                <w:p>
                  <w:pPr>
                    <w:spacing w:line="240" w:lineRule="auto"/>
                    <w:ind w:firstLine="0" w:firstLineChars="0"/>
                    <w:rPr>
                      <w:rFonts w:hint="eastAsia"/>
                      <w:sz w:val="21"/>
                      <w:szCs w:val="21"/>
                    </w:rPr>
                  </w:pPr>
                  <w:r>
                    <w:rPr>
                      <w:rFonts w:hint="eastAsia"/>
                      <w:sz w:val="21"/>
                      <w:szCs w:val="21"/>
                    </w:rPr>
                    <w:t>（2.1.2）化工片区实现化工企业“一企一管”、污水明管带压输送、集中污水处理设施、经开区初期雨水收集池、污水可视可监测等相关要求，及时启动区块一至区块五(德山产业园)东部污水处理工程建设，确保化工片区废水得到稳妥处理。</w:t>
                  </w:r>
                </w:p>
                <w:p>
                  <w:pPr>
                    <w:spacing w:line="240" w:lineRule="auto"/>
                    <w:ind w:firstLine="0" w:firstLineChars="0"/>
                    <w:rPr>
                      <w:rFonts w:hint="eastAsia"/>
                      <w:sz w:val="21"/>
                      <w:szCs w:val="21"/>
                    </w:rPr>
                  </w:pPr>
                  <w:r>
                    <w:rPr>
                      <w:rFonts w:hint="eastAsia"/>
                      <w:sz w:val="21"/>
                      <w:szCs w:val="21"/>
                    </w:rPr>
                    <w:t>（2.2）废气</w:t>
                  </w:r>
                </w:p>
                <w:p>
                  <w:pPr>
                    <w:spacing w:line="240" w:lineRule="auto"/>
                    <w:ind w:firstLine="0" w:firstLineChars="0"/>
                    <w:rPr>
                      <w:rFonts w:hint="eastAsia"/>
                      <w:sz w:val="21"/>
                      <w:szCs w:val="21"/>
                    </w:rPr>
                  </w:pPr>
                  <w:r>
                    <w:rPr>
                      <w:rFonts w:hint="eastAsia"/>
                      <w:sz w:val="21"/>
                      <w:szCs w:val="21"/>
                    </w:rPr>
                    <w:t>（2.2.1）经开区应加强大气污染防治，推进清洁能源改造，重点控制硫酸雾、氯化氢、二甲苯、二氯甲烷、氨等特征污染物的无组织排放，对排放长期无法达标的企业实行限期整改或关停，督促相关化工企业按要求做好挥发性有机物泄漏检测与修复。</w:t>
                  </w:r>
                </w:p>
                <w:p>
                  <w:pPr>
                    <w:spacing w:line="240" w:lineRule="auto"/>
                    <w:ind w:firstLine="0" w:firstLineChars="0"/>
                    <w:rPr>
                      <w:rFonts w:hint="eastAsia"/>
                      <w:sz w:val="21"/>
                      <w:szCs w:val="21"/>
                    </w:rPr>
                  </w:pPr>
                  <w:r>
                    <w:rPr>
                      <w:rFonts w:hint="eastAsia"/>
                      <w:sz w:val="21"/>
                      <w:szCs w:val="21"/>
                    </w:rPr>
                    <w:t>（2.2.2）实施企业 VOCs 原料替代、排放全过程控制，加强 VOCs 治理。按照“分业施策、一行一策”的原则，加大低 VOCs 含量原辅材料的推广使用力度，通过使用低 VOCs 含量的涂料、油墨、胶粘剂、清洗剂替代溶剂型涂料、油墨、胶粘剂、清 洗剂等，从源头减少 VOCs 产生。推进使用先进生产工艺，通过采用全密闭、连续化、自动化等生产技术，以及高效工艺与设备等，减少生产工艺过程无组织排放。</w:t>
                  </w:r>
                </w:p>
                <w:p>
                  <w:pPr>
                    <w:spacing w:line="240" w:lineRule="auto"/>
                    <w:ind w:firstLine="0" w:firstLineChars="0"/>
                    <w:rPr>
                      <w:rFonts w:hint="eastAsia"/>
                      <w:sz w:val="21"/>
                      <w:szCs w:val="21"/>
                    </w:rPr>
                  </w:pPr>
                  <w:r>
                    <w:rPr>
                      <w:rFonts w:hint="eastAsia"/>
                      <w:sz w:val="21"/>
                      <w:szCs w:val="21"/>
                    </w:rPr>
                    <w:t>（2.3）经开区内电镀、无机化工、杂环类农药、纺织染整、化工等行业及涉锅炉大气污染物排放应满足《湖南省生态环境厅关于执行污染物特别排放限值(第一批)的公告》中的要求。</w:t>
                  </w:r>
                </w:p>
                <w:p>
                  <w:pPr>
                    <w:spacing w:line="240" w:lineRule="auto"/>
                    <w:ind w:firstLine="0" w:firstLineChars="0"/>
                    <w:rPr>
                      <w:sz w:val="21"/>
                      <w:szCs w:val="21"/>
                    </w:rPr>
                  </w:pPr>
                  <w:r>
                    <w:rPr>
                      <w:rFonts w:hint="eastAsia"/>
                      <w:sz w:val="21"/>
                      <w:szCs w:val="21"/>
                    </w:rPr>
                    <w:t>（2.4）固废：建立园区固废规范化管理体系，做好工业固体废物和生活垃圾的分类收集、转运、综合利用和无害化处理，危险废物应严格按照国家有关规定综合利用或妥善处置，对危险废物产生企业和经营单位，应强化日常环境监管。</w:t>
                  </w:r>
                </w:p>
              </w:tc>
              <w:tc>
                <w:tcPr>
                  <w:tcW w:w="1409" w:type="pct"/>
                </w:tcPr>
                <w:p>
                  <w:pPr>
                    <w:spacing w:line="240" w:lineRule="auto"/>
                    <w:ind w:firstLine="0" w:firstLineChars="0"/>
                    <w:rPr>
                      <w:rFonts w:hint="eastAsia" w:eastAsia="宋体"/>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本项目为仓储项目，正常工况下无生产废水。事故状态下，仓库内可能产生的洗眼器废水及地面冲洗废水采用集液槽和废水收集池收集后泵送至厂区污水处理区进行处理，经德山污水处理厂深度处理后排入东风河，最终排入沅江</w:t>
                  </w:r>
                  <w:r>
                    <w:rPr>
                      <w:rFonts w:hint="eastAsia"/>
                      <w:sz w:val="21"/>
                      <w:szCs w:val="21"/>
                    </w:rPr>
                    <w:t>。</w:t>
                  </w:r>
                </w:p>
                <w:p>
                  <w:pPr>
                    <w:spacing w:line="240" w:lineRule="auto"/>
                    <w:ind w:firstLine="0" w:firstLineChars="0"/>
                    <w:rPr>
                      <w:rFonts w:hint="eastAsia"/>
                      <w:sz w:val="21"/>
                      <w:szCs w:val="21"/>
                      <w:lang w:eastAsia="zh-CN"/>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sz w:val="21"/>
                      <w:szCs w:val="21"/>
                    </w:rPr>
                    <w:t>本项目主要是丙类液态化学品的储存，液体物料基本上都是密闭储存，</w:t>
                  </w:r>
                  <w:r>
                    <w:rPr>
                      <w:rFonts w:hint="eastAsia"/>
                      <w:sz w:val="21"/>
                      <w:szCs w:val="21"/>
                      <w:lang w:eastAsia="zh-CN"/>
                    </w:rPr>
                    <w:t>正常情况下基本不无挥发，对大气环境的影响较小。</w:t>
                  </w:r>
                </w:p>
                <w:p>
                  <w:pPr>
                    <w:spacing w:line="240" w:lineRule="auto"/>
                    <w:ind w:firstLine="0" w:firstLineChars="0"/>
                    <w:rPr>
                      <w:rFonts w:hint="default"/>
                      <w:lang w:val="en-US"/>
                    </w:rPr>
                  </w:pPr>
                  <w:r>
                    <w:rPr>
                      <w:rFonts w:hint="eastAsia"/>
                      <w:sz w:val="21"/>
                      <w:szCs w:val="21"/>
                      <w:lang w:eastAsia="zh-CN"/>
                    </w:rPr>
                    <w:t>（</w:t>
                  </w:r>
                  <w:r>
                    <w:rPr>
                      <w:rFonts w:hint="eastAsia"/>
                      <w:sz w:val="21"/>
                      <w:szCs w:val="21"/>
                      <w:lang w:val="en-US" w:eastAsia="zh-CN"/>
                    </w:rPr>
                    <w:t>3</w:t>
                  </w:r>
                  <w:r>
                    <w:rPr>
                      <w:rFonts w:hint="eastAsia"/>
                      <w:sz w:val="21"/>
                      <w:szCs w:val="21"/>
                      <w:lang w:eastAsia="zh-CN"/>
                    </w:rPr>
                    <w:t>）</w:t>
                  </w:r>
                  <w:r>
                    <w:rPr>
                      <w:rFonts w:hint="eastAsia"/>
                      <w:sz w:val="21"/>
                      <w:szCs w:val="21"/>
                      <w:lang w:val="en-US" w:eastAsia="zh-CN"/>
                    </w:rPr>
                    <w:t>本项目基本不产生固体废物，对外环境影响较小。</w:t>
                  </w:r>
                </w:p>
              </w:tc>
              <w:tc>
                <w:tcPr>
                  <w:tcW w:w="385" w:type="pct"/>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Align w:val="center"/>
                </w:tcPr>
                <w:p>
                  <w:pPr>
                    <w:spacing w:line="240" w:lineRule="auto"/>
                    <w:ind w:firstLine="0" w:firstLineChars="0"/>
                    <w:jc w:val="center"/>
                    <w:rPr>
                      <w:sz w:val="21"/>
                      <w:szCs w:val="21"/>
                    </w:rPr>
                  </w:pPr>
                  <w:r>
                    <w:rPr>
                      <w:rFonts w:hint="eastAsia"/>
                      <w:sz w:val="21"/>
                      <w:szCs w:val="21"/>
                    </w:rPr>
                    <w:t>环境风险防控</w:t>
                  </w:r>
                </w:p>
              </w:tc>
              <w:tc>
                <w:tcPr>
                  <w:tcW w:w="2390" w:type="pct"/>
                  <w:vAlign w:val="center"/>
                </w:tcPr>
                <w:p>
                  <w:pPr>
                    <w:spacing w:line="240" w:lineRule="auto"/>
                    <w:ind w:firstLine="0" w:firstLineChars="0"/>
                    <w:rPr>
                      <w:rFonts w:hint="eastAsia"/>
                      <w:sz w:val="21"/>
                      <w:szCs w:val="21"/>
                    </w:rPr>
                  </w:pPr>
                  <w:r>
                    <w:rPr>
                      <w:rFonts w:hint="eastAsia"/>
                      <w:sz w:val="21"/>
                      <w:szCs w:val="21"/>
                    </w:rPr>
                    <w:t>（3.1）经开区应建立健全环境风险防控体系，落实经开区突发环境事件应急预案提出的各项环境风险防范措施，严防环境风险事故发生。化工片区应建设公共的事故应急池、应急截流沟等环境风险设施。</w:t>
                  </w:r>
                </w:p>
                <w:p>
                  <w:pPr>
                    <w:spacing w:line="240" w:lineRule="auto"/>
                    <w:ind w:firstLine="0" w:firstLineChars="0"/>
                    <w:rPr>
                      <w:rFonts w:hint="eastAsia"/>
                      <w:sz w:val="21"/>
                      <w:szCs w:val="21"/>
                    </w:rPr>
                  </w:pPr>
                  <w:r>
                    <w:rPr>
                      <w:rFonts w:hint="eastAsia"/>
                      <w:sz w:val="21"/>
                      <w:szCs w:val="21"/>
                    </w:rPr>
                    <w:t>（3.2）经开区可能发生突发环境事件的污染物排放企业，生产、储存、运输、使用危险化学品的企业，产生、收集、贮存、运环境风输、利用、处置危险废物的企业等应当编制和实施环境应急预案；鼓励其他企业制定单独的环境应急预案，或在突发事件应急预案中制定环境应急预案专章，并备案。</w:t>
                  </w:r>
                </w:p>
                <w:p>
                  <w:pPr>
                    <w:spacing w:line="240" w:lineRule="auto"/>
                    <w:ind w:firstLine="0" w:firstLineChars="0"/>
                    <w:rPr>
                      <w:rFonts w:hint="eastAsia"/>
                      <w:sz w:val="21"/>
                      <w:szCs w:val="21"/>
                    </w:rPr>
                  </w:pPr>
                  <w:r>
                    <w:rPr>
                      <w:rFonts w:hint="eastAsia"/>
                      <w:sz w:val="21"/>
                      <w:szCs w:val="21"/>
                    </w:rPr>
                    <w:t>（3.3）建设用地土壤风险防控：持续开展重点行业企业用地调查和典型行业周边土壤环境调查，充分利用土壤污染重点监管单位周边土壤监测成果，实施在产企业边生产边管控土壤污染风险模式。</w:t>
                  </w:r>
                </w:p>
                <w:p>
                  <w:pPr>
                    <w:spacing w:line="240" w:lineRule="auto"/>
                    <w:ind w:firstLine="0" w:firstLineChars="0"/>
                    <w:rPr>
                      <w:sz w:val="21"/>
                      <w:szCs w:val="21"/>
                    </w:rPr>
                  </w:pPr>
                  <w:r>
                    <w:rPr>
                      <w:rFonts w:hint="eastAsia"/>
                      <w:sz w:val="21"/>
                      <w:szCs w:val="21"/>
                    </w:rPr>
                    <w:t>（3.4）化工园区应按照有关规定建设园区事故废水防控系统，做好事故废水的收集、暂存和处理。化工园区应根据身规模和产业结构需要，建立完善的安全生产和生态环境的监测监控和风险预警体系，相关监测监控数据应接入地方监测预警系统。</w:t>
                  </w:r>
                </w:p>
              </w:tc>
              <w:tc>
                <w:tcPr>
                  <w:tcW w:w="1409" w:type="pct"/>
                </w:tcPr>
                <w:p>
                  <w:pPr>
                    <w:spacing w:line="240" w:lineRule="auto"/>
                    <w:ind w:firstLine="0" w:firstLineChars="0"/>
                    <w:jc w:val="left"/>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（1）常德经济技术开发区已</w:t>
                  </w:r>
                  <w:r>
                    <w:rPr>
                      <w:rFonts w:hint="eastAsia"/>
                      <w:sz w:val="21"/>
                      <w:szCs w:val="21"/>
                    </w:rPr>
                    <w:t>建立健全环境风险防控体系</w:t>
                  </w:r>
                  <w:r>
                    <w:rPr>
                      <w:rFonts w:hint="eastAsia"/>
                      <w:sz w:val="21"/>
                      <w:szCs w:val="21"/>
                      <w:lang w:val="en-US" w:eastAsia="zh-CN"/>
                    </w:rPr>
                    <w:t>.</w:t>
                  </w:r>
                </w:p>
                <w:p>
                  <w:pPr>
                    <w:spacing w:line="240" w:lineRule="auto"/>
                    <w:ind w:firstLine="0" w:firstLineChars="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r>
                    <w:rPr>
                      <w:rFonts w:hint="eastAsia" w:cs="Times New Roman"/>
                      <w:kern w:val="0"/>
                      <w:sz w:val="21"/>
                      <w:szCs w:val="21"/>
                      <w:lang w:val="en-US" w:eastAsia="zh-CN" w:bidi="ar-SA"/>
                    </w:rPr>
                    <w:t>2</w:t>
                  </w:r>
                  <w:r>
                    <w:rPr>
                      <w:rFonts w:hint="eastAsia" w:ascii="Times New Roman" w:hAnsi="Times New Roman" w:eastAsia="宋体" w:cs="Times New Roman"/>
                      <w:kern w:val="0"/>
                      <w:sz w:val="21"/>
                      <w:szCs w:val="21"/>
                      <w:lang w:val="en-US" w:eastAsia="zh-CN" w:bidi="ar-SA"/>
                    </w:rPr>
                    <w:t>）本项目为</w:t>
                  </w:r>
                  <w:r>
                    <w:rPr>
                      <w:rFonts w:hint="eastAsia" w:cs="Times New Roman"/>
                      <w:kern w:val="0"/>
                      <w:sz w:val="21"/>
                      <w:szCs w:val="21"/>
                      <w:lang w:val="en-US" w:eastAsia="zh-CN" w:bidi="ar-SA"/>
                    </w:rPr>
                    <w:t>仓储物流业</w:t>
                  </w:r>
                  <w:r>
                    <w:rPr>
                      <w:rFonts w:hint="eastAsia" w:ascii="Times New Roman" w:hAnsi="Times New Roman" w:eastAsia="宋体" w:cs="Times New Roman"/>
                      <w:kern w:val="0"/>
                      <w:sz w:val="21"/>
                      <w:szCs w:val="21"/>
                      <w:lang w:val="en-US" w:eastAsia="zh-CN" w:bidi="ar-SA"/>
                    </w:rPr>
                    <w:t>，</w:t>
                  </w:r>
                  <w:r>
                    <w:rPr>
                      <w:rFonts w:hint="eastAsia"/>
                      <w:sz w:val="21"/>
                      <w:szCs w:val="21"/>
                      <w:vertAlign w:val="baseline"/>
                      <w:lang w:eastAsia="zh-CN"/>
                    </w:rPr>
                    <w:t>湖南海利常德农药化工有限公司</w:t>
                  </w:r>
                  <w:r>
                    <w:rPr>
                      <w:rFonts w:hint="eastAsia" w:cs="Times New Roman"/>
                      <w:kern w:val="0"/>
                      <w:sz w:val="21"/>
                      <w:szCs w:val="21"/>
                      <w:lang w:val="en-US" w:eastAsia="zh-CN" w:bidi="ar-SA"/>
                    </w:rPr>
                    <w:t>已编制了</w:t>
                  </w:r>
                  <w:r>
                    <w:rPr>
                      <w:rFonts w:hint="eastAsia" w:ascii="Times New Roman" w:hAnsi="Times New Roman" w:eastAsia="宋体" w:cs="Times New Roman"/>
                      <w:kern w:val="0"/>
                      <w:sz w:val="21"/>
                      <w:szCs w:val="21"/>
                      <w:lang w:val="en-US" w:eastAsia="zh-CN" w:bidi="ar-SA"/>
                    </w:rPr>
                    <w:t>突发环境事件应急预案。</w:t>
                  </w:r>
                  <w:r>
                    <w:rPr>
                      <w:rFonts w:hint="eastAsia" w:cs="Times New Roman"/>
                      <w:kern w:val="0"/>
                      <w:sz w:val="21"/>
                      <w:szCs w:val="21"/>
                      <w:lang w:val="en-US" w:eastAsia="zh-CN" w:bidi="ar-SA"/>
                    </w:rPr>
                    <w:t>本项目建成后应进行修编。</w:t>
                  </w:r>
                </w:p>
                <w:p>
                  <w:pPr>
                    <w:spacing w:line="240" w:lineRule="auto"/>
                    <w:ind w:firstLine="0" w:firstLineChars="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r>
                    <w:rPr>
                      <w:rFonts w:hint="eastAsia" w:cs="Times New Roman"/>
                      <w:kern w:val="0"/>
                      <w:sz w:val="21"/>
                      <w:szCs w:val="21"/>
                      <w:lang w:val="en-US" w:eastAsia="zh-CN" w:bidi="ar-SA"/>
                    </w:rPr>
                    <w:t>3</w:t>
                  </w:r>
                  <w:r>
                    <w:rPr>
                      <w:rFonts w:hint="eastAsia" w:ascii="Times New Roman" w:hAnsi="Times New Roman" w:eastAsia="宋体" w:cs="Times New Roman"/>
                      <w:kern w:val="0"/>
                      <w:sz w:val="21"/>
                      <w:szCs w:val="21"/>
                      <w:lang w:val="en-US" w:eastAsia="zh-CN" w:bidi="ar-SA"/>
                    </w:rPr>
                    <w:t>）本项目</w:t>
                  </w:r>
                  <w:r>
                    <w:rPr>
                      <w:rFonts w:hint="eastAsia" w:cs="Times New Roman"/>
                      <w:kern w:val="0"/>
                      <w:sz w:val="21"/>
                      <w:szCs w:val="21"/>
                      <w:lang w:val="en-US" w:eastAsia="zh-CN" w:bidi="ar-SA"/>
                    </w:rPr>
                    <w:t>所在地属于三类工业用地，新建丙类仓库，地基基础设计等级为丙级。混凝土垫层强度等级为C30-40，并进行防渗防腐处理，能有效进防止</w:t>
                  </w:r>
                  <w:r>
                    <w:rPr>
                      <w:rFonts w:hint="eastAsia" w:ascii="Times New Roman" w:hAnsi="Times New Roman" w:eastAsia="宋体" w:cs="Times New Roman"/>
                      <w:kern w:val="0"/>
                      <w:sz w:val="21"/>
                      <w:szCs w:val="21"/>
                      <w:lang w:val="en-US" w:eastAsia="zh-CN" w:bidi="ar-SA"/>
                    </w:rPr>
                    <w:t>土壤污染。</w:t>
                  </w:r>
                </w:p>
                <w:p>
                  <w:pPr>
                    <w:pStyle w:val="8"/>
                    <w:ind w:left="0" w:leftChars="0" w:firstLine="0" w:firstLineChars="0"/>
                    <w:jc w:val="left"/>
                    <w:rPr>
                      <w:rFonts w:hint="eastAsia"/>
                      <w:lang w:eastAsia="zh-CN"/>
                    </w:rPr>
                  </w:pPr>
                </w:p>
              </w:tc>
              <w:tc>
                <w:tcPr>
                  <w:tcW w:w="385" w:type="pct"/>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Align w:val="center"/>
                </w:tcPr>
                <w:p>
                  <w:pPr>
                    <w:spacing w:line="240" w:lineRule="auto"/>
                    <w:ind w:firstLine="0" w:firstLineChars="0"/>
                    <w:jc w:val="center"/>
                    <w:rPr>
                      <w:sz w:val="21"/>
                      <w:szCs w:val="21"/>
                    </w:rPr>
                  </w:pPr>
                  <w:r>
                    <w:rPr>
                      <w:rFonts w:hint="eastAsia"/>
                      <w:sz w:val="21"/>
                      <w:szCs w:val="21"/>
                    </w:rPr>
                    <w:t>资源开发效率要求</w:t>
                  </w:r>
                </w:p>
              </w:tc>
              <w:tc>
                <w:tcPr>
                  <w:tcW w:w="2390" w:type="pct"/>
                  <w:vAlign w:val="center"/>
                </w:tcPr>
                <w:p>
                  <w:pPr>
                    <w:spacing w:line="240" w:lineRule="auto"/>
                    <w:ind w:firstLine="0" w:firstLineChars="0"/>
                    <w:rPr>
                      <w:rFonts w:hint="eastAsia"/>
                      <w:sz w:val="21"/>
                      <w:szCs w:val="21"/>
                    </w:rPr>
                  </w:pPr>
                  <w:r>
                    <w:rPr>
                      <w:rFonts w:hint="eastAsia"/>
                      <w:sz w:val="21"/>
                      <w:szCs w:val="21"/>
                    </w:rPr>
                    <w:t>（4.1）能源：除经过批准的火力发电企业外，禁止销售、燃用高污染燃料；禁止新建、扩建燃用高污染燃料的锅炉、炉窑、工业及经营用炉灶等燃烧设施。调整经开区现有能源结构，加快推进经开区集中供热工程，集中供热范围外企业推行天然气等清洁能资源开发源。鼓励入园单位采用节能工艺，增加可利用资源的回收量，降低能耗。到2025年，综合能源消费量控制在235.17万吨标煤，单位GDP能耗达到 0.267 标煤/万元。</w:t>
                  </w:r>
                </w:p>
                <w:p>
                  <w:pPr>
                    <w:spacing w:line="240" w:lineRule="auto"/>
                    <w:ind w:firstLine="0" w:firstLineChars="0"/>
                    <w:rPr>
                      <w:rFonts w:hint="eastAsia"/>
                      <w:sz w:val="21"/>
                      <w:szCs w:val="21"/>
                    </w:rPr>
                  </w:pPr>
                  <w:r>
                    <w:rPr>
                      <w:rFonts w:hint="eastAsia"/>
                      <w:sz w:val="21"/>
                      <w:szCs w:val="21"/>
                    </w:rPr>
                    <w:t>（4.2）水资源：严格按照用水定额核定取用水量，进一步加强计划用水管理，强化行业和产品用水强度控制。到 2025 年，经开区指标应符合相应行政区域的管控要求，经开区用水总量为0.7259亿立方米，万元地区生产总量用水量比 2020 年下降11.80%、万元工业增加值用水量比 2020 年下降15.46%,加强水资源管理，切实合理开发利用和节约保护水资源。</w:t>
                  </w:r>
                </w:p>
                <w:p>
                  <w:pPr>
                    <w:spacing w:line="240" w:lineRule="auto"/>
                    <w:ind w:firstLine="0" w:firstLineChars="0"/>
                    <w:rPr>
                      <w:sz w:val="21"/>
                      <w:szCs w:val="21"/>
                    </w:rPr>
                  </w:pPr>
                  <w:r>
                    <w:rPr>
                      <w:rFonts w:hint="eastAsia"/>
                      <w:sz w:val="21"/>
                      <w:szCs w:val="21"/>
                    </w:rPr>
                    <w:t>（4.3）土地资源：促进园区土地高质量利用。在详细规划编制、用地预审与选址、用地报批、土地出让、规划许可、竣工验收等环节，全面推行工业项目建设用地引导指标和工业项目供地负面清单管理，园区工业用地固定资产投入强度达到 350 万元/亩，工业用地地均税收达到 25 万元/亩。</w:t>
                  </w:r>
                </w:p>
              </w:tc>
              <w:tc>
                <w:tcPr>
                  <w:tcW w:w="1409" w:type="pct"/>
                </w:tcPr>
                <w:p>
                  <w:pPr>
                    <w:spacing w:line="240" w:lineRule="auto"/>
                    <w:ind w:firstLine="0" w:firstLineChars="0"/>
                    <w:jc w:val="left"/>
                    <w:rPr>
                      <w:rFonts w:hint="eastAsia"/>
                    </w:rPr>
                  </w:pPr>
                  <w:r>
                    <w:rPr>
                      <w:rFonts w:hint="eastAsia"/>
                      <w:lang w:eastAsia="zh-CN"/>
                    </w:rPr>
                    <w:t>（</w:t>
                  </w:r>
                  <w:r>
                    <w:rPr>
                      <w:rFonts w:hint="eastAsia"/>
                      <w:lang w:val="en-US" w:eastAsia="zh-CN"/>
                    </w:rPr>
                    <w:t>1</w:t>
                  </w:r>
                  <w:r>
                    <w:rPr>
                      <w:rFonts w:hint="eastAsia"/>
                      <w:lang w:eastAsia="zh-CN"/>
                    </w:rPr>
                    <w:t>）</w:t>
                  </w:r>
                  <w:r>
                    <w:rPr>
                      <w:rFonts w:hint="eastAsia"/>
                      <w:sz w:val="21"/>
                      <w:szCs w:val="21"/>
                    </w:rPr>
                    <w:t>能源：</w:t>
                  </w:r>
                  <w:r>
                    <w:rPr>
                      <w:rFonts w:hint="eastAsia"/>
                      <w:sz w:val="21"/>
                      <w:szCs w:val="21"/>
                      <w:lang w:eastAsia="zh-CN"/>
                    </w:rPr>
                    <w:t>本项目只涉及电</w:t>
                  </w:r>
                  <w:r>
                    <w:rPr>
                      <w:rFonts w:hint="eastAsia" w:ascii="Times New Roman" w:hAnsi="Times New Roman" w:eastAsia="宋体" w:cs="Times New Roman"/>
                      <w:kern w:val="0"/>
                      <w:sz w:val="21"/>
                      <w:szCs w:val="21"/>
                      <w:lang w:val="en-US" w:eastAsia="zh-CN" w:bidi="ar-SA"/>
                    </w:rPr>
                    <w:t>能</w:t>
                  </w:r>
                  <w:r>
                    <w:rPr>
                      <w:rFonts w:hint="eastAsia" w:cs="Times New Roman"/>
                      <w:kern w:val="0"/>
                      <w:sz w:val="21"/>
                      <w:szCs w:val="21"/>
                      <w:lang w:val="en-US" w:eastAsia="zh-CN" w:bidi="ar-SA"/>
                    </w:rPr>
                    <w:t>消耗，属于清洁能源</w:t>
                  </w:r>
                  <w:r>
                    <w:rPr>
                      <w:rFonts w:hint="eastAsia" w:ascii="Times New Roman" w:hAnsi="Times New Roman" w:eastAsia="宋体" w:cs="Times New Roman"/>
                      <w:kern w:val="0"/>
                      <w:sz w:val="21"/>
                      <w:szCs w:val="21"/>
                      <w:lang w:val="en-US" w:eastAsia="zh-CN" w:bidi="ar-SA"/>
                    </w:rPr>
                    <w:t>。</w:t>
                  </w:r>
                </w:p>
                <w:p>
                  <w:pPr>
                    <w:pStyle w:val="8"/>
                    <w:ind w:left="0" w:leftChars="0" w:firstLine="0" w:firstLineChars="0"/>
                    <w:rPr>
                      <w:rFonts w:hint="eastAsia" w:eastAsia="宋体"/>
                      <w:sz w:val="21"/>
                      <w:szCs w:val="21"/>
                      <w:lang w:eastAsia="zh-CN"/>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sz w:val="21"/>
                      <w:szCs w:val="21"/>
                    </w:rPr>
                    <w:t>水资源：</w:t>
                  </w:r>
                  <w:r>
                    <w:rPr>
                      <w:rFonts w:hint="eastAsia"/>
                      <w:sz w:val="21"/>
                      <w:szCs w:val="21"/>
                      <w:lang w:eastAsia="zh-CN"/>
                    </w:rPr>
                    <w:t>本项目不新增用水量。</w:t>
                  </w:r>
                </w:p>
                <w:p>
                  <w:pPr>
                    <w:pStyle w:val="8"/>
                    <w:ind w:left="0" w:leftChars="0" w:firstLine="0" w:firstLineChars="0"/>
                    <w:rPr>
                      <w:rFonts w:hint="eastAsia" w:eastAsia="宋体"/>
                      <w:lang w:eastAsia="zh-CN"/>
                    </w:rPr>
                  </w:pPr>
                  <w:r>
                    <w:rPr>
                      <w:rFonts w:hint="eastAsia"/>
                      <w:sz w:val="21"/>
                      <w:szCs w:val="21"/>
                      <w:lang w:eastAsia="zh-CN"/>
                    </w:rPr>
                    <w:t>（</w:t>
                  </w:r>
                  <w:r>
                    <w:rPr>
                      <w:rFonts w:hint="eastAsia"/>
                      <w:sz w:val="21"/>
                      <w:szCs w:val="21"/>
                      <w:lang w:val="en-US" w:eastAsia="zh-CN"/>
                    </w:rPr>
                    <w:t>3</w:t>
                  </w:r>
                  <w:r>
                    <w:rPr>
                      <w:rFonts w:hint="eastAsia"/>
                      <w:sz w:val="21"/>
                      <w:szCs w:val="21"/>
                      <w:lang w:eastAsia="zh-CN"/>
                    </w:rPr>
                    <w:t>）</w:t>
                  </w:r>
                  <w:r>
                    <w:rPr>
                      <w:rFonts w:hint="eastAsia"/>
                      <w:sz w:val="21"/>
                      <w:szCs w:val="21"/>
                    </w:rPr>
                    <w:t>土地资源：</w:t>
                  </w:r>
                  <w:r>
                    <w:rPr>
                      <w:rFonts w:hint="eastAsia"/>
                      <w:sz w:val="21"/>
                      <w:szCs w:val="21"/>
                      <w:lang w:eastAsia="zh-CN"/>
                    </w:rPr>
                    <w:t>本项目不新增用地。</w:t>
                  </w:r>
                </w:p>
              </w:tc>
              <w:tc>
                <w:tcPr>
                  <w:tcW w:w="385" w:type="pct"/>
                  <w:vAlign w:val="center"/>
                </w:tcPr>
                <w:p>
                  <w:pPr>
                    <w:spacing w:line="240" w:lineRule="auto"/>
                    <w:ind w:firstLine="0" w:firstLineChars="0"/>
                    <w:jc w:val="center"/>
                    <w:rPr>
                      <w:sz w:val="21"/>
                      <w:szCs w:val="21"/>
                    </w:rPr>
                  </w:pPr>
                  <w:r>
                    <w:rPr>
                      <w:rFonts w:hint="eastAsia"/>
                      <w:sz w:val="21"/>
                      <w:szCs w:val="21"/>
                    </w:rPr>
                    <w:t>符合</w:t>
                  </w:r>
                </w:p>
              </w:tc>
            </w:tr>
          </w:tbl>
          <w:p>
            <w:pPr>
              <w:spacing w:before="163" w:beforeLines="50" w:line="276" w:lineRule="auto"/>
              <w:ind w:firstLine="0" w:firstLineChars="0"/>
              <w:rPr>
                <w:rFonts w:hint="eastAsia"/>
                <w:b/>
                <w:bCs/>
                <w:sz w:val="21"/>
                <w:szCs w:val="21"/>
                <w:lang w:val="en-US" w:eastAsia="zh-CN"/>
              </w:rPr>
            </w:pPr>
            <w:r>
              <w:rPr>
                <w:rFonts w:hint="eastAsia"/>
                <w:b/>
                <w:bCs/>
                <w:sz w:val="21"/>
                <w:szCs w:val="21"/>
              </w:rPr>
              <w:t>2</w:t>
            </w:r>
            <w:r>
              <w:rPr>
                <w:rFonts w:hint="eastAsia"/>
                <w:b/>
                <w:bCs/>
                <w:sz w:val="21"/>
                <w:szCs w:val="21"/>
                <w:lang w:eastAsia="zh-CN"/>
              </w:rPr>
              <w:t>、</w:t>
            </w:r>
            <w:r>
              <w:rPr>
                <w:rFonts w:hint="eastAsia"/>
                <w:b/>
                <w:bCs/>
                <w:sz w:val="21"/>
                <w:szCs w:val="21"/>
                <w:lang w:val="en-US" w:eastAsia="zh-CN"/>
              </w:rPr>
              <w:t>与《湖南省长江经济带发展负面清单实施细则（试行，2022 年版）》的符合性分析</w:t>
            </w:r>
          </w:p>
          <w:p>
            <w:pPr>
              <w:spacing w:line="276" w:lineRule="auto"/>
              <w:ind w:firstLine="420"/>
              <w:jc w:val="left"/>
              <w:rPr>
                <w:rFonts w:hint="eastAsia"/>
                <w:sz w:val="21"/>
                <w:szCs w:val="21"/>
                <w:lang w:val="en-US" w:eastAsia="zh-CN"/>
              </w:rPr>
            </w:pPr>
            <w:r>
              <w:rPr>
                <w:rFonts w:hint="eastAsia"/>
                <w:sz w:val="21"/>
                <w:szCs w:val="21"/>
                <w:lang w:val="en-US" w:eastAsia="zh-CN"/>
              </w:rPr>
              <w:t>对照《湖南省长江经济带发展负面清单实施细则（试行，2022年版）》禁止项目建设要求，本项目为仓储类项目，不涉及禁止建设项目，不属于高污染、高耗能、高排放项目。本项目的建设，是规范化储存</w:t>
            </w:r>
            <w:r>
              <w:rPr>
                <w:rFonts w:hint="eastAsia" w:ascii="Times New Roman" w:hAnsi="Times New Roman" w:eastAsia="宋体" w:cs="Times New Roman"/>
                <w:kern w:val="2"/>
                <w:sz w:val="21"/>
                <w:szCs w:val="21"/>
                <w:lang w:val="en-US" w:eastAsia="zh-CN" w:bidi="ar-SA"/>
              </w:rPr>
              <w:t>湖南海利常德农药化工有限公司</w:t>
            </w:r>
            <w:r>
              <w:rPr>
                <w:rFonts w:hint="eastAsia" w:cs="Times New Roman"/>
                <w:kern w:val="2"/>
                <w:sz w:val="21"/>
                <w:szCs w:val="21"/>
                <w:lang w:val="en-US" w:eastAsia="zh-CN" w:bidi="ar-SA"/>
              </w:rPr>
              <w:t>的原料和产品，是公司</w:t>
            </w:r>
            <w:r>
              <w:rPr>
                <w:rFonts w:hint="eastAsia"/>
                <w:sz w:val="21"/>
                <w:szCs w:val="21"/>
                <w:lang w:val="en-US" w:eastAsia="zh-CN"/>
              </w:rPr>
              <w:t>仓储系统升级，将原有分散储存集中仓储，并不增加厂区总储存量，减少风险源点，全面优化危化品储存条件及库存周转效率，构建与生产需求匹配的仓储体系，系统性防范运营风险，提高企业的环境管理水平与可持续发展。综上所述，本项目不存在《湖南省长江经济带发展负面清单实施细则（试行，2022年版）》列出的禁止项目建设的内容，符合文件相关要求。</w:t>
            </w:r>
          </w:p>
          <w:p>
            <w:pPr>
              <w:spacing w:before="163" w:beforeLines="50" w:line="276" w:lineRule="auto"/>
              <w:ind w:firstLine="0" w:firstLineChars="0"/>
              <w:rPr>
                <w:b/>
                <w:bCs/>
                <w:sz w:val="21"/>
                <w:szCs w:val="21"/>
              </w:rPr>
            </w:pPr>
            <w:r>
              <w:rPr>
                <w:rFonts w:hint="eastAsia"/>
                <w:b/>
                <w:bCs/>
                <w:sz w:val="21"/>
                <w:szCs w:val="21"/>
                <w:lang w:val="en-US" w:eastAsia="zh-CN"/>
              </w:rPr>
              <w:t>3</w:t>
            </w:r>
            <w:r>
              <w:rPr>
                <w:rFonts w:hint="eastAsia"/>
                <w:b/>
                <w:bCs/>
                <w:sz w:val="21"/>
                <w:szCs w:val="21"/>
              </w:rPr>
              <w:t>、产业政策符合性分析</w:t>
            </w:r>
          </w:p>
          <w:p>
            <w:pPr>
              <w:spacing w:line="276" w:lineRule="auto"/>
              <w:ind w:firstLine="420"/>
              <w:jc w:val="left"/>
              <w:rPr>
                <w:rFonts w:hint="eastAsia"/>
                <w:sz w:val="21"/>
                <w:szCs w:val="21"/>
              </w:rPr>
            </w:pPr>
            <w:r>
              <w:rPr>
                <w:rFonts w:hint="eastAsia"/>
                <w:sz w:val="21"/>
                <w:szCs w:val="21"/>
              </w:rPr>
              <w:t>根据《产业结构调整指导目录》（20</w:t>
            </w:r>
            <w:r>
              <w:rPr>
                <w:rFonts w:hint="eastAsia"/>
                <w:sz w:val="21"/>
                <w:szCs w:val="21"/>
                <w:lang w:val="en-US" w:eastAsia="zh-CN"/>
              </w:rPr>
              <w:t>24</w:t>
            </w:r>
            <w:r>
              <w:rPr>
                <w:rFonts w:hint="eastAsia"/>
                <w:sz w:val="21"/>
                <w:szCs w:val="21"/>
              </w:rPr>
              <w:t>年本），湖南海利常德农药化工有限公司</w:t>
            </w:r>
            <w:r>
              <w:rPr>
                <w:rFonts w:hint="eastAsia"/>
                <w:sz w:val="21"/>
                <w:szCs w:val="21"/>
                <w:lang w:eastAsia="zh-CN"/>
              </w:rPr>
              <w:t>现有产业属于</w:t>
            </w:r>
            <w:r>
              <w:rPr>
                <w:rFonts w:hint="eastAsia"/>
                <w:sz w:val="21"/>
                <w:szCs w:val="21"/>
              </w:rPr>
              <w:t>“十一、石化化工的第 3 类农药：高效、安全、环境友好的农药新品种、新剂型、专用中间体、助剂的开发与生产，定向合成法手性和立体结构农药生产，生物农药新产品、新技术的开发与生产”属于国家政策鼓励型项目，而本项目新建丙类仓库的建设是为了支持</w:t>
            </w:r>
            <w:r>
              <w:rPr>
                <w:rFonts w:hint="eastAsia"/>
                <w:sz w:val="21"/>
                <w:szCs w:val="21"/>
                <w:lang w:eastAsia="zh-CN"/>
              </w:rPr>
              <w:t>本公司</w:t>
            </w:r>
            <w:r>
              <w:rPr>
                <w:rFonts w:hint="eastAsia"/>
                <w:sz w:val="21"/>
                <w:szCs w:val="21"/>
              </w:rPr>
              <w:t>化工产业领域的发展需求，用于存储该产业相关的特定原材料或产品，与产业发展规划高度一致。因此，本项目的建设符合国家产业政策。</w:t>
            </w:r>
          </w:p>
          <w:p>
            <w:pPr>
              <w:spacing w:line="276" w:lineRule="auto"/>
              <w:ind w:left="0" w:leftChars="0" w:firstLine="0" w:firstLineChars="0"/>
              <w:jc w:val="left"/>
              <w:rPr>
                <w:rFonts w:hint="eastAsia" w:eastAsia="宋体"/>
                <w:b/>
                <w:bCs/>
                <w:sz w:val="21"/>
                <w:szCs w:val="21"/>
                <w:lang w:val="en-US" w:eastAsia="zh-CN"/>
              </w:rPr>
            </w:pPr>
            <w:r>
              <w:rPr>
                <w:rFonts w:hint="eastAsia"/>
                <w:b/>
                <w:bCs/>
                <w:sz w:val="21"/>
                <w:szCs w:val="21"/>
                <w:lang w:val="en-US" w:eastAsia="zh-CN"/>
              </w:rPr>
              <w:t>4、项目选址合理性分析</w:t>
            </w:r>
          </w:p>
          <w:p>
            <w:pPr>
              <w:spacing w:line="276" w:lineRule="auto"/>
              <w:ind w:firstLine="420"/>
              <w:jc w:val="left"/>
              <w:rPr>
                <w:rFonts w:hint="eastAsia"/>
                <w:sz w:val="21"/>
                <w:szCs w:val="21"/>
                <w:lang w:eastAsia="zh-CN"/>
              </w:rPr>
            </w:pPr>
            <w:r>
              <w:rPr>
                <w:rFonts w:hint="eastAsia"/>
                <w:sz w:val="21"/>
                <w:szCs w:val="21"/>
                <w:vertAlign w:val="baseline"/>
                <w:lang w:eastAsia="zh-CN"/>
              </w:rPr>
              <w:t>湖南海利常德农药化工有限公司</w:t>
            </w:r>
            <w:r>
              <w:rPr>
                <w:rFonts w:hint="eastAsia"/>
                <w:sz w:val="21"/>
                <w:szCs w:val="21"/>
                <w:lang w:eastAsia="zh-CN"/>
              </w:rPr>
              <w:t>位</w:t>
            </w:r>
            <w:r>
              <w:rPr>
                <w:rFonts w:hint="eastAsia"/>
                <w:sz w:val="21"/>
                <w:szCs w:val="21"/>
              </w:rPr>
              <w:t>于常德</w:t>
            </w:r>
            <w:r>
              <w:rPr>
                <w:rFonts w:hint="eastAsia"/>
                <w:sz w:val="21"/>
                <w:szCs w:val="21"/>
                <w:lang w:eastAsia="zh-CN"/>
              </w:rPr>
              <w:t>经济技术开发区</w:t>
            </w:r>
            <w:r>
              <w:rPr>
                <w:rFonts w:hint="eastAsia" w:ascii="Times New Roman" w:hAnsi="Times New Roman"/>
                <w:sz w:val="21"/>
                <w:szCs w:val="21"/>
                <w:lang w:eastAsia="zh-CN"/>
              </w:rPr>
              <w:t>化工园</w:t>
            </w:r>
            <w:r>
              <w:rPr>
                <w:rFonts w:hint="eastAsia"/>
                <w:sz w:val="21"/>
                <w:szCs w:val="21"/>
                <w:lang w:eastAsia="zh-CN"/>
              </w:rPr>
              <w:t>片</w:t>
            </w:r>
            <w:r>
              <w:rPr>
                <w:rFonts w:hint="eastAsia" w:ascii="Times New Roman" w:hAnsi="Times New Roman"/>
                <w:sz w:val="21"/>
                <w:szCs w:val="21"/>
                <w:lang w:eastAsia="zh-CN"/>
              </w:rPr>
              <w:t>区</w:t>
            </w:r>
            <w:r>
              <w:rPr>
                <w:rFonts w:hint="eastAsia"/>
                <w:sz w:val="21"/>
                <w:szCs w:val="21"/>
                <w:lang w:eastAsia="zh-CN"/>
              </w:rPr>
              <w:t>，常德经济技术开发区属于国家级园区，集聚了石化、生物医药、新材料等上下游企业，为本企业提供产业配套需求。</w:t>
            </w:r>
          </w:p>
          <w:p>
            <w:pPr>
              <w:spacing w:line="276" w:lineRule="auto"/>
              <w:ind w:firstLine="420"/>
              <w:jc w:val="left"/>
              <w:rPr>
                <w:rFonts w:hint="default"/>
                <w:sz w:val="21"/>
                <w:szCs w:val="21"/>
                <w:lang w:val="en-US" w:eastAsia="zh-CN"/>
              </w:rPr>
            </w:pPr>
            <w:r>
              <w:rPr>
                <w:rFonts w:hint="eastAsia"/>
                <w:sz w:val="21"/>
                <w:szCs w:val="21"/>
                <w:lang w:eastAsia="zh-CN"/>
              </w:rPr>
              <w:t>根据湖南省工信厅《关于发布湖南省沿江1公里范围内化工生产企业搬迁改造名单的公告》</w:t>
            </w:r>
            <w:r>
              <w:rPr>
                <w:rFonts w:hint="eastAsia"/>
                <w:sz w:val="21"/>
                <w:szCs w:val="21"/>
                <w:lang w:val="en-US" w:eastAsia="zh-CN"/>
              </w:rPr>
              <w:t>，湖南海利常德农药化工有限公司列入“沿江岸线1公里范围内保留类化工生产企业”，保留类化工生产企业要采取更加严格的安全环保措施，做到本质安全和确保江河湖水安全。</w:t>
            </w:r>
          </w:p>
          <w:p>
            <w:pPr>
              <w:spacing w:line="276" w:lineRule="auto"/>
              <w:ind w:firstLine="420"/>
              <w:jc w:val="left"/>
              <w:rPr>
                <w:b/>
                <w:bCs/>
                <w:sz w:val="21"/>
                <w:szCs w:val="21"/>
              </w:rPr>
            </w:pPr>
            <w:r>
              <w:rPr>
                <w:rFonts w:hint="eastAsia"/>
                <w:sz w:val="21"/>
                <w:szCs w:val="21"/>
                <w:lang w:eastAsia="zh-CN"/>
              </w:rPr>
              <w:t>本项目位于</w:t>
            </w:r>
            <w:r>
              <w:rPr>
                <w:rFonts w:hint="eastAsia"/>
                <w:sz w:val="21"/>
                <w:szCs w:val="21"/>
                <w:vertAlign w:val="baseline"/>
                <w:lang w:eastAsia="zh-CN"/>
              </w:rPr>
              <w:t>湖南海利常德农药化工有限公司现有厂址内，属于三类工业用地。本项目的建设，仓储属辅助工程，</w:t>
            </w:r>
            <w:r>
              <w:rPr>
                <w:rFonts w:hint="eastAsia"/>
                <w:sz w:val="21"/>
                <w:szCs w:val="21"/>
                <w:vertAlign w:val="baseline"/>
                <w:lang w:val="en-US" w:eastAsia="zh-CN"/>
              </w:rPr>
              <w:t>未对现有产品规模、工艺进行改造扩建，</w:t>
            </w:r>
            <w:r>
              <w:rPr>
                <w:rFonts w:hint="eastAsia"/>
                <w:sz w:val="21"/>
                <w:szCs w:val="21"/>
                <w:vertAlign w:val="baseline"/>
                <w:lang w:eastAsia="zh-CN"/>
              </w:rPr>
              <w:t>是规范化储存湖南海利常德农药化工有限公司的原料和产品，是公司仓储系统升级，</w:t>
            </w:r>
            <w:r>
              <w:rPr>
                <w:rFonts w:hint="eastAsia"/>
                <w:sz w:val="21"/>
                <w:szCs w:val="21"/>
                <w:vertAlign w:val="baseline"/>
                <w:lang w:val="en-US" w:eastAsia="zh-CN"/>
              </w:rPr>
              <w:t>不增加厂区储存总量，</w:t>
            </w:r>
            <w:r>
              <w:rPr>
                <w:rFonts w:hint="eastAsia"/>
                <w:sz w:val="21"/>
                <w:szCs w:val="21"/>
                <w:vertAlign w:val="baseline"/>
                <w:lang w:eastAsia="zh-CN"/>
              </w:rPr>
              <w:t>全面优化危化品储存条件及库存周转效率，构建与生产需求匹配的仓储体系，系统性防范运营风险，提高企业的安全生产水平与环境管理水平。本项目不新增用地，符合产业园的空间布局要求、符合园区的产业发展定位规划。</w:t>
            </w:r>
          </w:p>
          <w:p>
            <w:pPr>
              <w:ind w:left="0" w:leftChars="0" w:firstLine="0" w:firstLineChars="0"/>
            </w:pPr>
          </w:p>
        </w:tc>
      </w:tr>
    </w:tbl>
    <w:p>
      <w:pPr>
        <w:ind w:firstLine="0" w:firstLineChars="0"/>
        <w:jc w:val="center"/>
        <w:sectPr>
          <w:pgSz w:w="16838" w:h="11906" w:orient="landscape"/>
          <w:pgMar w:top="1588" w:right="1418" w:bottom="1588" w:left="1418" w:header="851" w:footer="992" w:gutter="0"/>
          <w:pgNumType w:fmt="numberInDash"/>
          <w:cols w:space="425" w:num="1"/>
          <w:docGrid w:type="lines" w:linePitch="326" w:charSpace="0"/>
        </w:sectPr>
      </w:pPr>
    </w:p>
    <w:p>
      <w:pPr>
        <w:pStyle w:val="2"/>
        <w:jc w:val="center"/>
        <w:rPr>
          <w:rFonts w:ascii="黑体" w:hAnsi="黑体" w:eastAsia="黑体"/>
          <w:b w:val="0"/>
          <w:bCs w:val="0"/>
          <w:sz w:val="30"/>
          <w:szCs w:val="30"/>
        </w:rPr>
      </w:pPr>
      <w:r>
        <w:rPr>
          <w:rFonts w:hint="eastAsia" w:ascii="黑体" w:hAnsi="黑体" w:eastAsia="黑体"/>
          <w:b w:val="0"/>
          <w:bCs w:val="0"/>
          <w:sz w:val="30"/>
          <w:szCs w:val="30"/>
        </w:rPr>
        <w:t>二、建设项目工程分析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8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pPr>
              <w:spacing w:line="240" w:lineRule="auto"/>
              <w:ind w:firstLine="0" w:firstLineChars="0"/>
              <w:jc w:val="center"/>
              <w:rPr>
                <w:sz w:val="21"/>
                <w:szCs w:val="21"/>
              </w:rPr>
            </w:pPr>
            <w:r>
              <w:rPr>
                <w:rFonts w:hint="eastAsia"/>
                <w:sz w:val="21"/>
                <w:szCs w:val="21"/>
              </w:rPr>
              <w:t>建设内容</w:t>
            </w:r>
          </w:p>
        </w:tc>
        <w:tc>
          <w:tcPr>
            <w:tcW w:w="8137" w:type="dxa"/>
          </w:tcPr>
          <w:p>
            <w:pPr>
              <w:numPr>
                <w:ilvl w:val="0"/>
                <w:numId w:val="1"/>
              </w:numPr>
              <w:ind w:firstLine="0" w:firstLineChars="0"/>
              <w:rPr>
                <w:rFonts w:hint="eastAsia"/>
                <w:b/>
                <w:bCs/>
                <w:sz w:val="21"/>
                <w:szCs w:val="21"/>
                <w:lang w:eastAsia="zh-CN"/>
              </w:rPr>
            </w:pPr>
            <w:r>
              <w:rPr>
                <w:rFonts w:hint="eastAsia"/>
                <w:b/>
                <w:bCs/>
                <w:sz w:val="21"/>
                <w:szCs w:val="21"/>
                <w:lang w:eastAsia="zh-CN"/>
              </w:rPr>
              <w:t>项目由来</w:t>
            </w:r>
          </w:p>
          <w:p>
            <w:pPr>
              <w:pStyle w:val="15"/>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湖南海利常德农药化工有限公司是湖南省国资委监管企业，公司成立于1998年10月（前身为1958年建厂的常德市化工厂），2000年12月配股进入“湖南海利”，为“湖南海利”下属的全资子公司，最大的核心生产企业。</w:t>
            </w:r>
          </w:p>
          <w:p>
            <w:pPr>
              <w:pStyle w:val="15"/>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海利常德公司位于常德经济技术开发区，总资产15亿元，注册资本4亿元，占地面积22万平米，在岗职工672人，其中中专及以上学历人员428人，各类专业技术人员192人。公司已申请53项发明专利，其中已授权发明专利32项、实用新型专利14项。多次荣获国家科技进步奖、荣获国家专利优秀奖2项，湖南省专利一等奖3项。2022年被工业和信息化部评为专精特新“小巨人”企业。</w:t>
            </w:r>
          </w:p>
          <w:p>
            <w:pPr>
              <w:pStyle w:val="15"/>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多年来，公司坚持以技术创新为抓手，不断完善工艺技术和装备，生产的10多种高效、广谱杀虫剂，产品技术水平达到国内领先水平。公司的氨基甲酸酯类、甲基嘧啶磷系列产品是“湖南省名牌产品”。目前公司已申请专利74件，已授权55项发明及实用新型专利。“有害杂质克百威低于 0.1%的含硫克百威衍生物的制备方法”分别获得2016年第十八届中国专利优秀奖和2017年湖南省专利一等奖；专利“羟基嘧啶类化合物及下游产品清洁生产关键共性技术开发与利用”湖南省科学技术进步一等奖；专利“高品质低毒克百威衍生物新技术研究与工业化生产”获得湖南省科学技术进步一等奖。</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近年来，随着海利常德公司不断发展，</w:t>
            </w:r>
            <w:r>
              <w:rPr>
                <w:rFonts w:hint="eastAsia" w:cs="Times New Roman"/>
                <w:kern w:val="2"/>
                <w:sz w:val="21"/>
                <w:szCs w:val="21"/>
                <w:lang w:val="en-US" w:eastAsia="zh-CN" w:bidi="ar-SA"/>
              </w:rPr>
              <w:t>原有仓库布局分散，已使用多年且老旧，难以适应危险化学品储存技术规范</w:t>
            </w:r>
            <w:r>
              <w:rPr>
                <w:rFonts w:hint="eastAsia" w:ascii="Times New Roman" w:hAnsi="Times New Roman" w:eastAsia="宋体" w:cs="Times New Roman"/>
                <w:kern w:val="2"/>
                <w:sz w:val="21"/>
                <w:szCs w:val="21"/>
                <w:lang w:val="en-US" w:eastAsia="zh-CN" w:bidi="ar-SA"/>
              </w:rPr>
              <w:t>的新</w:t>
            </w:r>
            <w:r>
              <w:rPr>
                <w:rFonts w:hint="eastAsia" w:cs="Times New Roman"/>
                <w:kern w:val="2"/>
                <w:sz w:val="21"/>
                <w:szCs w:val="21"/>
                <w:lang w:val="en-US" w:eastAsia="zh-CN" w:bidi="ar-SA"/>
              </w:rPr>
              <w:t>要求</w:t>
            </w:r>
            <w:r>
              <w:rPr>
                <w:rFonts w:hint="eastAsia" w:ascii="Times New Roman" w:hAnsi="Times New Roman" w:eastAsia="宋体" w:cs="Times New Roman"/>
                <w:kern w:val="2"/>
                <w:sz w:val="21"/>
                <w:szCs w:val="21"/>
                <w:lang w:val="en-US" w:eastAsia="zh-CN" w:bidi="ar-SA"/>
              </w:rPr>
              <w:t>，因此，海利常德公司计划建</w:t>
            </w:r>
            <w:r>
              <w:rPr>
                <w:rFonts w:hint="eastAsia" w:cs="Times New Roman"/>
                <w:kern w:val="2"/>
                <w:sz w:val="21"/>
                <w:szCs w:val="21"/>
                <w:lang w:val="en-US" w:eastAsia="zh-CN" w:bidi="ar-SA"/>
              </w:rPr>
              <w:t>设</w:t>
            </w:r>
            <w:r>
              <w:rPr>
                <w:rFonts w:hint="eastAsia" w:ascii="Times New Roman" w:hAnsi="Times New Roman" w:eastAsia="宋体" w:cs="Times New Roman"/>
                <w:kern w:val="2"/>
                <w:sz w:val="21"/>
                <w:szCs w:val="21"/>
                <w:lang w:val="en-US" w:eastAsia="zh-CN" w:bidi="ar-SA"/>
              </w:rPr>
              <w:t>丙类仓库</w:t>
            </w:r>
            <w:r>
              <w:rPr>
                <w:rFonts w:hint="eastAsia" w:cs="Times New Roman"/>
                <w:kern w:val="2"/>
                <w:sz w:val="21"/>
                <w:szCs w:val="21"/>
                <w:lang w:val="en-US" w:eastAsia="zh-CN" w:bidi="ar-SA"/>
              </w:rPr>
              <w:t>，不增加厂区总的储存量，而是</w:t>
            </w:r>
            <w:r>
              <w:rPr>
                <w:rFonts w:hint="eastAsia" w:ascii="Times New Roman" w:hAnsi="Times New Roman" w:eastAsia="宋体" w:cs="Times New Roman"/>
                <w:kern w:val="2"/>
                <w:sz w:val="21"/>
                <w:szCs w:val="21"/>
                <w:lang w:val="en-US" w:eastAsia="zh-CN" w:bidi="ar-SA"/>
              </w:rPr>
              <w:t>通过仓储系统升级，全面优化危化品储存条件及库存周转效率，构建与生产需求匹配的仓储体系，系统性防范运营风险，保障生产连续性，同时以空间集约化布局缓解库存压力，</w:t>
            </w:r>
            <w:r>
              <w:rPr>
                <w:rFonts w:hint="eastAsia" w:cs="Times New Roman"/>
                <w:kern w:val="2"/>
                <w:sz w:val="21"/>
                <w:szCs w:val="21"/>
                <w:lang w:val="en-US" w:eastAsia="zh-CN" w:bidi="ar-SA"/>
              </w:rPr>
              <w:t>并完善废气收集系统，</w:t>
            </w:r>
            <w:r>
              <w:rPr>
                <w:rFonts w:hint="eastAsia" w:ascii="Times New Roman" w:hAnsi="Times New Roman" w:eastAsia="宋体" w:cs="Times New Roman"/>
                <w:kern w:val="2"/>
                <w:sz w:val="21"/>
                <w:szCs w:val="21"/>
                <w:lang w:val="en-US" w:eastAsia="zh-CN" w:bidi="ar-SA"/>
              </w:rPr>
              <w:t>为企业可持续发展提供保障。</w:t>
            </w:r>
          </w:p>
          <w:p>
            <w:pPr>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根据《中华人民共和国环境保护法》、《中华人民共和国环境影响评价法》、《建设项目环境保护管理条例》以及《建设项目环境保护分类管理名录》（2021版），本项目属于“五十三、装卸搬运和仓储业 ：危险品仓储594（不含加油站的油库；不含加气站的气库）-- 其他（含有毒、有害、危险品的仓储）”，需编制环境影响报告表。</w:t>
            </w:r>
            <w:r>
              <w:rPr>
                <w:rFonts w:hint="eastAsia" w:ascii="Times New Roman" w:hAnsi="Times New Roman" w:eastAsia="宋体" w:cs="Times New Roman"/>
                <w:kern w:val="2"/>
                <w:sz w:val="21"/>
                <w:szCs w:val="21"/>
                <w:lang w:val="en-US" w:eastAsia="zh-CN" w:bidi="ar-SA"/>
              </w:rPr>
              <w:t>湖南海利常德农药化工有限公司</w:t>
            </w:r>
            <w:r>
              <w:rPr>
                <w:rFonts w:hint="eastAsia" w:cs="Times New Roman"/>
                <w:kern w:val="2"/>
                <w:sz w:val="21"/>
                <w:szCs w:val="21"/>
                <w:lang w:val="en-US" w:eastAsia="zh-CN" w:bidi="ar-SA"/>
              </w:rPr>
              <w:t>委托</w:t>
            </w:r>
            <w:r>
              <w:rPr>
                <w:rFonts w:hint="eastAsia" w:cs="Times New Roman"/>
                <w:color w:val="000000" w:themeColor="text1"/>
                <w:kern w:val="2"/>
                <w:sz w:val="21"/>
                <w:szCs w:val="21"/>
                <w:lang w:val="en-US" w:eastAsia="zh-CN" w:bidi="ar-SA"/>
                <w14:textFill>
                  <w14:solidFill>
                    <w14:schemeClr w14:val="tx1"/>
                  </w14:solidFill>
                </w14:textFill>
              </w:rPr>
              <w:t>湖南义格环保科技有限公司对</w:t>
            </w:r>
            <w:r>
              <w:rPr>
                <w:rFonts w:hint="eastAsia" w:cs="Times New Roman"/>
                <w:kern w:val="2"/>
                <w:sz w:val="21"/>
                <w:szCs w:val="21"/>
                <w:lang w:val="en-US" w:eastAsia="zh-CN" w:bidi="ar-SA"/>
              </w:rPr>
              <w:t>本项目进行环境影响评价。接受委托后，我单位组织相关技术人员进行了现场踏勘、类比调查、收集相关资料，在此基础上，按照国家对建设项目环境影响评价的有关法律法规、政策、技术规范及导则的要求，编制了本《湖南海利常德农药化工有限公司</w:t>
            </w:r>
            <w:r>
              <w:rPr>
                <w:rFonts w:hint="eastAsia"/>
                <w:sz w:val="21"/>
                <w:szCs w:val="21"/>
              </w:rPr>
              <w:t>仓库改造和建设项目</w:t>
            </w:r>
            <w:r>
              <w:rPr>
                <w:rFonts w:hint="eastAsia" w:cs="Times New Roman"/>
                <w:kern w:val="2"/>
                <w:sz w:val="21"/>
                <w:szCs w:val="21"/>
                <w:lang w:val="en-US" w:eastAsia="zh-CN" w:bidi="ar-SA"/>
              </w:rPr>
              <w:t>环境影响评价报告表》。</w:t>
            </w:r>
          </w:p>
          <w:p>
            <w:pPr>
              <w:ind w:firstLine="0" w:firstLineChars="0"/>
              <w:rPr>
                <w:b/>
                <w:bCs/>
                <w:sz w:val="21"/>
                <w:szCs w:val="21"/>
              </w:rPr>
            </w:pPr>
            <w:r>
              <w:rPr>
                <w:rFonts w:hint="eastAsia"/>
                <w:b/>
                <w:bCs/>
                <w:sz w:val="21"/>
                <w:szCs w:val="21"/>
                <w:lang w:val="en-US" w:eastAsia="zh-CN"/>
              </w:rPr>
              <w:t>2、</w:t>
            </w:r>
            <w:r>
              <w:rPr>
                <w:rFonts w:hint="eastAsia"/>
                <w:b/>
                <w:bCs/>
                <w:sz w:val="21"/>
                <w:szCs w:val="21"/>
              </w:rPr>
              <w:t>建设内容及规模</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sz w:val="21"/>
                <w:szCs w:val="21"/>
              </w:rPr>
            </w:pPr>
            <w:r>
              <w:rPr>
                <w:rFonts w:hint="eastAsia"/>
                <w:sz w:val="21"/>
                <w:szCs w:val="21"/>
              </w:rPr>
              <w:t>本</w:t>
            </w:r>
            <w:r>
              <w:rPr>
                <w:rFonts w:hint="eastAsia"/>
                <w:sz w:val="21"/>
                <w:szCs w:val="21"/>
                <w:lang w:eastAsia="zh-CN"/>
              </w:rPr>
              <w:t>项目位于</w:t>
            </w:r>
            <w:r>
              <w:rPr>
                <w:rFonts w:hint="eastAsia"/>
                <w:sz w:val="21"/>
                <w:szCs w:val="21"/>
              </w:rPr>
              <w:t>常德</w:t>
            </w:r>
            <w:r>
              <w:rPr>
                <w:rFonts w:hint="eastAsia"/>
                <w:sz w:val="21"/>
                <w:szCs w:val="21"/>
                <w:lang w:eastAsia="zh-CN"/>
              </w:rPr>
              <w:t>经济技术开发区</w:t>
            </w:r>
            <w:r>
              <w:rPr>
                <w:rFonts w:hint="eastAsia" w:ascii="Times New Roman" w:hAnsi="Times New Roman" w:eastAsia="宋体" w:cs="Times New Roman"/>
                <w:kern w:val="2"/>
                <w:sz w:val="21"/>
                <w:szCs w:val="21"/>
                <w:lang w:val="en-US" w:eastAsia="zh-CN" w:bidi="ar-SA"/>
              </w:rPr>
              <w:t>湖南海利常德农药化工有限公司</w:t>
            </w:r>
            <w:r>
              <w:rPr>
                <w:rFonts w:hint="eastAsia" w:cs="Times New Roman"/>
                <w:kern w:val="2"/>
                <w:sz w:val="21"/>
                <w:szCs w:val="21"/>
                <w:lang w:val="en-US" w:eastAsia="zh-CN" w:bidi="ar-SA"/>
              </w:rPr>
              <w:t>现有厂区内</w:t>
            </w:r>
            <w:r>
              <w:rPr>
                <w:rFonts w:hint="eastAsia"/>
                <w:sz w:val="21"/>
                <w:szCs w:val="21"/>
                <w:lang w:eastAsia="zh-CN"/>
              </w:rPr>
              <w:t>，不新征用地。主要工程建设内容为：拟拆除原有罐区西边的甲类仓库重新建设一栋丙类仓库，根据《精细化工企业工程设计防火标准》（GB51283-2020）、《建筑设计防火规范》（GB50016-2014）、《建筑防火通用规范》（GB55037-2022）</w:t>
            </w:r>
            <w:r>
              <w:rPr>
                <w:rFonts w:hint="eastAsia"/>
                <w:sz w:val="21"/>
                <w:szCs w:val="21"/>
                <w:lang w:val="en-US" w:eastAsia="zh-CN"/>
              </w:rPr>
              <w:t>等技术规范及标准</w:t>
            </w:r>
            <w:r>
              <w:rPr>
                <w:rFonts w:hint="eastAsia"/>
                <w:sz w:val="21"/>
                <w:szCs w:val="21"/>
                <w:lang w:eastAsia="zh-CN"/>
              </w:rPr>
              <w:t>要求，结合周边罐区类型及安全距离测算，项目新建一栋建筑面积为</w:t>
            </w:r>
            <w:r>
              <w:rPr>
                <w:rFonts w:hint="default" w:ascii="Times New Roman" w:hAnsi="Times New Roman" w:cs="Times New Roman"/>
                <w:sz w:val="21"/>
                <w:szCs w:val="21"/>
                <w:lang w:eastAsia="zh-CN"/>
              </w:rPr>
              <w:t>1470m²</w:t>
            </w:r>
            <w:r>
              <w:rPr>
                <w:rFonts w:hint="eastAsia"/>
                <w:sz w:val="21"/>
                <w:szCs w:val="21"/>
                <w:lang w:eastAsia="zh-CN"/>
              </w:rPr>
              <w:t>的丙类仓库，</w:t>
            </w:r>
            <w:r>
              <w:rPr>
                <w:rFonts w:hint="eastAsia"/>
                <w:sz w:val="21"/>
                <w:szCs w:val="21"/>
                <w:lang w:val="en-US" w:eastAsia="zh-CN"/>
              </w:rPr>
              <w:t>将原厂区分散储存优化集中升级，但不增加厂区总的储存量</w:t>
            </w:r>
            <w:r>
              <w:rPr>
                <w:rFonts w:hint="eastAsia"/>
                <w:sz w:val="21"/>
                <w:szCs w:val="21"/>
                <w:lang w:eastAsia="zh-CN"/>
              </w:rPr>
              <w:t>。</w:t>
            </w:r>
            <w:r>
              <w:rPr>
                <w:rFonts w:hint="eastAsia"/>
                <w:sz w:val="21"/>
                <w:szCs w:val="21"/>
              </w:rPr>
              <w:t>项目组成见表2-1。</w:t>
            </w:r>
          </w:p>
          <w:p>
            <w:pPr>
              <w:ind w:firstLine="0" w:firstLineChars="0"/>
              <w:jc w:val="center"/>
              <w:rPr>
                <w:b/>
                <w:bCs/>
                <w:sz w:val="21"/>
                <w:szCs w:val="21"/>
              </w:rPr>
            </w:pPr>
            <w:r>
              <w:rPr>
                <w:rFonts w:hint="eastAsia"/>
                <w:b/>
                <w:bCs/>
                <w:sz w:val="21"/>
                <w:szCs w:val="21"/>
              </w:rPr>
              <w:t>表2-1  项目组成一览表</w:t>
            </w:r>
          </w:p>
          <w:tbl>
            <w:tblPr>
              <w:tblStyle w:val="17"/>
              <w:tblW w:w="7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185"/>
              <w:gridCol w:w="4550"/>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Align w:val="center"/>
                </w:tcPr>
                <w:p>
                  <w:pPr>
                    <w:spacing w:line="240" w:lineRule="auto"/>
                    <w:ind w:firstLine="0" w:firstLineChars="0"/>
                    <w:jc w:val="center"/>
                    <w:rPr>
                      <w:rFonts w:hint="eastAsia"/>
                      <w:sz w:val="21"/>
                      <w:szCs w:val="21"/>
                    </w:rPr>
                  </w:pPr>
                  <w:r>
                    <w:rPr>
                      <w:rFonts w:hint="eastAsia"/>
                      <w:sz w:val="21"/>
                      <w:szCs w:val="21"/>
                    </w:rPr>
                    <w:t>工程</w:t>
                  </w:r>
                </w:p>
                <w:p>
                  <w:pPr>
                    <w:spacing w:line="240" w:lineRule="auto"/>
                    <w:ind w:firstLine="0" w:firstLineChars="0"/>
                    <w:jc w:val="center"/>
                    <w:rPr>
                      <w:sz w:val="21"/>
                      <w:szCs w:val="21"/>
                    </w:rPr>
                  </w:pPr>
                  <w:r>
                    <w:rPr>
                      <w:rFonts w:hint="eastAsia"/>
                      <w:sz w:val="21"/>
                      <w:szCs w:val="21"/>
                    </w:rPr>
                    <w:t>名称</w:t>
                  </w:r>
                </w:p>
              </w:tc>
              <w:tc>
                <w:tcPr>
                  <w:tcW w:w="1185" w:type="dxa"/>
                  <w:vAlign w:val="center"/>
                </w:tcPr>
                <w:p>
                  <w:pPr>
                    <w:spacing w:line="240" w:lineRule="auto"/>
                    <w:ind w:firstLine="0" w:firstLineChars="0"/>
                    <w:jc w:val="center"/>
                    <w:rPr>
                      <w:sz w:val="21"/>
                      <w:szCs w:val="21"/>
                    </w:rPr>
                  </w:pPr>
                  <w:r>
                    <w:rPr>
                      <w:rFonts w:hint="eastAsia"/>
                      <w:sz w:val="21"/>
                      <w:szCs w:val="21"/>
                    </w:rPr>
                    <w:t>工程组成</w:t>
                  </w:r>
                </w:p>
              </w:tc>
              <w:tc>
                <w:tcPr>
                  <w:tcW w:w="4550" w:type="dxa"/>
                  <w:vAlign w:val="center"/>
                </w:tcPr>
                <w:p>
                  <w:pPr>
                    <w:spacing w:line="240" w:lineRule="auto"/>
                    <w:ind w:firstLine="0" w:firstLineChars="0"/>
                    <w:jc w:val="center"/>
                    <w:rPr>
                      <w:sz w:val="21"/>
                      <w:szCs w:val="21"/>
                    </w:rPr>
                  </w:pPr>
                  <w:r>
                    <w:rPr>
                      <w:rFonts w:hint="eastAsia"/>
                      <w:sz w:val="21"/>
                      <w:szCs w:val="21"/>
                    </w:rPr>
                    <w:t>建设内容</w:t>
                  </w:r>
                </w:p>
              </w:tc>
              <w:tc>
                <w:tcPr>
                  <w:tcW w:w="1024" w:type="dxa"/>
                  <w:vAlign w:val="center"/>
                </w:tcPr>
                <w:p>
                  <w:pPr>
                    <w:spacing w:line="240" w:lineRule="auto"/>
                    <w:ind w:firstLine="0" w:firstLineChars="0"/>
                    <w:jc w:val="center"/>
                    <w:rPr>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Align w:val="center"/>
                </w:tcPr>
                <w:p>
                  <w:pPr>
                    <w:spacing w:line="240" w:lineRule="auto"/>
                    <w:ind w:firstLine="0" w:firstLineChars="0"/>
                    <w:jc w:val="center"/>
                    <w:rPr>
                      <w:sz w:val="21"/>
                      <w:szCs w:val="21"/>
                    </w:rPr>
                  </w:pPr>
                  <w:r>
                    <w:rPr>
                      <w:sz w:val="21"/>
                      <w:szCs w:val="21"/>
                    </w:rPr>
                    <w:t>主体</w:t>
                  </w:r>
                </w:p>
                <w:p>
                  <w:pPr>
                    <w:spacing w:line="240" w:lineRule="auto"/>
                    <w:ind w:firstLine="0" w:firstLineChars="0"/>
                    <w:jc w:val="center"/>
                    <w:rPr>
                      <w:sz w:val="21"/>
                      <w:szCs w:val="21"/>
                    </w:rPr>
                  </w:pPr>
                  <w:r>
                    <w:rPr>
                      <w:sz w:val="21"/>
                      <w:szCs w:val="21"/>
                    </w:rPr>
                    <w:t>工程</w:t>
                  </w:r>
                </w:p>
              </w:tc>
              <w:tc>
                <w:tcPr>
                  <w:tcW w:w="1185" w:type="dxa"/>
                  <w:vAlign w:val="center"/>
                </w:tcPr>
                <w:p>
                  <w:pPr>
                    <w:spacing w:line="240" w:lineRule="auto"/>
                    <w:ind w:firstLine="0" w:firstLineChars="0"/>
                    <w:jc w:val="center"/>
                    <w:rPr>
                      <w:sz w:val="21"/>
                      <w:szCs w:val="21"/>
                    </w:rPr>
                  </w:pPr>
                  <w:r>
                    <w:rPr>
                      <w:rFonts w:hint="eastAsia"/>
                      <w:sz w:val="21"/>
                      <w:szCs w:val="21"/>
                      <w:lang w:val="en-US" w:eastAsia="zh-CN"/>
                    </w:rPr>
                    <w:t xml:space="preserve"> 1栋丙类仓库</w:t>
                  </w:r>
                </w:p>
              </w:tc>
              <w:tc>
                <w:tcPr>
                  <w:tcW w:w="4550" w:type="dxa"/>
                  <w:vAlign w:val="center"/>
                </w:tcPr>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在拆除原有仓库的基础上，新建设一栋丙类仓库，占地面积1470m</w:t>
                  </w:r>
                  <w:r>
                    <w:rPr>
                      <w:rFonts w:hint="eastAsia"/>
                      <w:sz w:val="21"/>
                      <w:szCs w:val="21"/>
                      <w:vertAlign w:val="superscript"/>
                      <w:lang w:val="en-US" w:eastAsia="zh-CN"/>
                    </w:rPr>
                    <w:t>2</w:t>
                  </w:r>
                  <w:r>
                    <w:rPr>
                      <w:rFonts w:hint="eastAsia"/>
                      <w:sz w:val="21"/>
                      <w:szCs w:val="21"/>
                      <w:lang w:val="en-US" w:eastAsia="zh-CN"/>
                    </w:rPr>
                    <w:t>，总建筑面积为1470m</w:t>
                  </w:r>
                  <w:r>
                    <w:rPr>
                      <w:rFonts w:hint="eastAsia"/>
                      <w:sz w:val="21"/>
                      <w:szCs w:val="21"/>
                      <w:vertAlign w:val="superscript"/>
                      <w:lang w:val="en-US" w:eastAsia="zh-CN"/>
                    </w:rPr>
                    <w:t>2</w:t>
                  </w:r>
                  <w:r>
                    <w:rPr>
                      <w:rFonts w:hint="eastAsia"/>
                      <w:sz w:val="21"/>
                      <w:szCs w:val="21"/>
                      <w:lang w:val="en-US" w:eastAsia="zh-CN"/>
                    </w:rPr>
                    <w:t>，计容面积为2940m</w:t>
                  </w:r>
                  <w:r>
                    <w:rPr>
                      <w:rFonts w:hint="eastAsia"/>
                      <w:sz w:val="21"/>
                      <w:szCs w:val="21"/>
                      <w:vertAlign w:val="superscript"/>
                      <w:lang w:val="en-US" w:eastAsia="zh-CN"/>
                    </w:rPr>
                    <w:t>2</w:t>
                  </w:r>
                  <w:r>
                    <w:rPr>
                      <w:rFonts w:hint="eastAsia"/>
                      <w:sz w:val="21"/>
                      <w:szCs w:val="21"/>
                      <w:lang w:val="en-US" w:eastAsia="zh-CN"/>
                    </w:rPr>
                    <w:t>，仓库屋脊高度为 11m，钢结构，耐火等级为二级，火灾危险性丙类，内设两个防火分区，可存放1000t左右物料。</w:t>
                  </w:r>
                </w:p>
              </w:tc>
              <w:tc>
                <w:tcPr>
                  <w:tcW w:w="1024" w:type="dxa"/>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拆除原有</w:t>
                  </w:r>
                  <w:r>
                    <w:rPr>
                      <w:rFonts w:hint="eastAsia"/>
                      <w:sz w:val="21"/>
                      <w:szCs w:val="21"/>
                      <w:lang w:val="en-US" w:eastAsia="zh-CN"/>
                    </w:rPr>
                    <w:t>+</w:t>
                  </w:r>
                  <w:r>
                    <w:rPr>
                      <w:rFonts w:hint="eastAsia"/>
                      <w:sz w:val="21"/>
                      <w:szCs w:val="21"/>
                    </w:rPr>
                    <w:t>新</w:t>
                  </w:r>
                  <w:r>
                    <w:rPr>
                      <w:rFonts w:hint="eastAsia"/>
                      <w:sz w:val="21"/>
                      <w:szCs w:val="21"/>
                      <w:lang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980" w:type="dxa"/>
                  <w:vMerge w:val="restart"/>
                  <w:vAlign w:val="center"/>
                </w:tcPr>
                <w:p>
                  <w:pPr>
                    <w:spacing w:line="240" w:lineRule="auto"/>
                    <w:ind w:firstLine="0" w:firstLineChars="0"/>
                    <w:jc w:val="center"/>
                    <w:rPr>
                      <w:rFonts w:hint="eastAsia"/>
                      <w:sz w:val="21"/>
                      <w:szCs w:val="21"/>
                    </w:rPr>
                  </w:pPr>
                  <w:r>
                    <w:rPr>
                      <w:rFonts w:hint="eastAsia"/>
                      <w:sz w:val="21"/>
                      <w:szCs w:val="21"/>
                    </w:rPr>
                    <w:t>公用</w:t>
                  </w:r>
                </w:p>
                <w:p>
                  <w:pPr>
                    <w:spacing w:line="240" w:lineRule="auto"/>
                    <w:ind w:firstLine="0" w:firstLineChars="0"/>
                    <w:jc w:val="center"/>
                    <w:rPr>
                      <w:sz w:val="21"/>
                      <w:szCs w:val="21"/>
                    </w:rPr>
                  </w:pPr>
                  <w:r>
                    <w:rPr>
                      <w:rFonts w:hint="eastAsia"/>
                      <w:sz w:val="21"/>
                      <w:szCs w:val="21"/>
                    </w:rPr>
                    <w:t>工程</w:t>
                  </w:r>
                </w:p>
              </w:tc>
              <w:tc>
                <w:tcPr>
                  <w:tcW w:w="1185" w:type="dxa"/>
                  <w:vAlign w:val="center"/>
                </w:tcPr>
                <w:p>
                  <w:pPr>
                    <w:spacing w:line="240" w:lineRule="auto"/>
                    <w:ind w:firstLine="0" w:firstLineChars="0"/>
                    <w:jc w:val="center"/>
                    <w:rPr>
                      <w:spacing w:val="20"/>
                      <w:sz w:val="21"/>
                      <w:szCs w:val="21"/>
                    </w:rPr>
                  </w:pPr>
                  <w:r>
                    <w:rPr>
                      <w:sz w:val="21"/>
                      <w:szCs w:val="21"/>
                    </w:rPr>
                    <w:t>给水</w:t>
                  </w:r>
                </w:p>
              </w:tc>
              <w:tc>
                <w:tcPr>
                  <w:tcW w:w="4550" w:type="dxa"/>
                  <w:vAlign w:val="center"/>
                </w:tcPr>
                <w:p>
                  <w:pPr>
                    <w:spacing w:line="240" w:lineRule="auto"/>
                    <w:ind w:firstLine="0" w:firstLineChars="0"/>
                    <w:jc w:val="left"/>
                    <w:rPr>
                      <w:rFonts w:hint="eastAsia"/>
                      <w:sz w:val="21"/>
                      <w:szCs w:val="21"/>
                    </w:rPr>
                  </w:pPr>
                  <w:r>
                    <w:rPr>
                      <w:rFonts w:hint="eastAsia"/>
                      <w:sz w:val="21"/>
                      <w:szCs w:val="21"/>
                      <w:lang w:eastAsia="zh-CN"/>
                    </w:rPr>
                    <w:t>①</w:t>
                  </w:r>
                  <w:r>
                    <w:rPr>
                      <w:rFonts w:hint="eastAsia"/>
                      <w:sz w:val="21"/>
                      <w:szCs w:val="21"/>
                    </w:rPr>
                    <w:t>从沅江取水，一泵房备有两台550m</w:t>
                  </w:r>
                  <w:r>
                    <w:rPr>
                      <w:rFonts w:hint="eastAsia"/>
                      <w:sz w:val="21"/>
                      <w:szCs w:val="21"/>
                      <w:vertAlign w:val="superscript"/>
                    </w:rPr>
                    <w:t>3</w:t>
                  </w:r>
                  <w:r>
                    <w:rPr>
                      <w:rFonts w:hint="eastAsia"/>
                      <w:sz w:val="21"/>
                      <w:szCs w:val="21"/>
                    </w:rPr>
                    <w:t>/h水泵（75KW管道泵），供水</w:t>
                  </w:r>
                  <w:r>
                    <w:rPr>
                      <w:rFonts w:hint="eastAsia"/>
                      <w:sz w:val="21"/>
                      <w:szCs w:val="21"/>
                      <w:lang w:eastAsia="zh-CN"/>
                    </w:rPr>
                    <w:t>量</w:t>
                  </w:r>
                  <w:r>
                    <w:rPr>
                      <w:rFonts w:hint="eastAsia"/>
                      <w:sz w:val="21"/>
                      <w:szCs w:val="21"/>
                    </w:rPr>
                    <w:t>600m</w:t>
                  </w:r>
                  <w:r>
                    <w:rPr>
                      <w:rFonts w:hint="eastAsia"/>
                      <w:sz w:val="21"/>
                      <w:szCs w:val="21"/>
                      <w:vertAlign w:val="superscript"/>
                    </w:rPr>
                    <w:t>3</w:t>
                  </w:r>
                  <w:r>
                    <w:rPr>
                      <w:rFonts w:hint="eastAsia"/>
                      <w:sz w:val="21"/>
                      <w:szCs w:val="21"/>
                    </w:rPr>
                    <w:t>/h，二泵房备有一台200m</w:t>
                  </w:r>
                  <w:r>
                    <w:rPr>
                      <w:rFonts w:hint="eastAsia"/>
                      <w:sz w:val="21"/>
                      <w:szCs w:val="21"/>
                      <w:vertAlign w:val="superscript"/>
                    </w:rPr>
                    <w:t>3</w:t>
                  </w:r>
                  <w:r>
                    <w:rPr>
                      <w:rFonts w:hint="eastAsia"/>
                      <w:sz w:val="21"/>
                      <w:szCs w:val="21"/>
                    </w:rPr>
                    <w:t>/h水泵和一台400m</w:t>
                  </w:r>
                  <w:r>
                    <w:rPr>
                      <w:rFonts w:hint="eastAsia"/>
                      <w:sz w:val="21"/>
                      <w:szCs w:val="21"/>
                      <w:vertAlign w:val="superscript"/>
                    </w:rPr>
                    <w:t>3</w:t>
                  </w:r>
                  <w:r>
                    <w:rPr>
                      <w:rFonts w:hint="eastAsia"/>
                      <w:sz w:val="21"/>
                      <w:szCs w:val="21"/>
                    </w:rPr>
                    <w:t>/h水泵，供水最大量600m</w:t>
                  </w:r>
                  <w:r>
                    <w:rPr>
                      <w:rFonts w:hint="eastAsia"/>
                      <w:sz w:val="21"/>
                      <w:szCs w:val="21"/>
                      <w:vertAlign w:val="superscript"/>
                    </w:rPr>
                    <w:t>3</w:t>
                  </w:r>
                  <w:r>
                    <w:rPr>
                      <w:rFonts w:hint="eastAsia"/>
                      <w:sz w:val="21"/>
                      <w:szCs w:val="21"/>
                    </w:rPr>
                    <w:t>/h，设有水净化设备，目前供水富余量约400m</w:t>
                  </w:r>
                  <w:r>
                    <w:rPr>
                      <w:rFonts w:hint="eastAsia"/>
                      <w:sz w:val="21"/>
                      <w:szCs w:val="21"/>
                      <w:vertAlign w:val="superscript"/>
                    </w:rPr>
                    <w:t>3</w:t>
                  </w:r>
                  <w:r>
                    <w:rPr>
                      <w:rFonts w:hint="eastAsia"/>
                      <w:sz w:val="21"/>
                      <w:szCs w:val="21"/>
                    </w:rPr>
                    <w:t>/h。</w:t>
                  </w:r>
                </w:p>
                <w:p>
                  <w:pPr>
                    <w:spacing w:line="240" w:lineRule="auto"/>
                    <w:ind w:firstLine="0" w:firstLineChars="0"/>
                    <w:jc w:val="center"/>
                    <w:rPr>
                      <w:sz w:val="21"/>
                      <w:szCs w:val="21"/>
                    </w:rPr>
                  </w:pPr>
                  <w:r>
                    <w:rPr>
                      <w:rFonts w:hint="eastAsia"/>
                      <w:sz w:val="21"/>
                      <w:szCs w:val="21"/>
                      <w:lang w:eastAsia="zh-CN"/>
                    </w:rPr>
                    <w:t>②</w:t>
                  </w:r>
                  <w:r>
                    <w:rPr>
                      <w:rFonts w:hint="eastAsia"/>
                      <w:sz w:val="21"/>
                      <w:szCs w:val="21"/>
                    </w:rPr>
                    <w:t>另外厂区引入了一条DN100的城市自来水管道，主要作为公司的生活用水。</w:t>
                  </w:r>
                </w:p>
              </w:tc>
              <w:tc>
                <w:tcPr>
                  <w:tcW w:w="1024" w:type="dxa"/>
                  <w:vMerge w:val="restart"/>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依托已有</w:t>
                  </w:r>
                </w:p>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Merge w:val="continue"/>
                  <w:vAlign w:val="center"/>
                </w:tcPr>
                <w:p>
                  <w:pPr>
                    <w:spacing w:line="240" w:lineRule="auto"/>
                    <w:ind w:firstLine="0" w:firstLineChars="0"/>
                    <w:jc w:val="center"/>
                    <w:rPr>
                      <w:sz w:val="21"/>
                      <w:szCs w:val="21"/>
                    </w:rPr>
                  </w:pPr>
                </w:p>
              </w:tc>
              <w:tc>
                <w:tcPr>
                  <w:tcW w:w="1185" w:type="dxa"/>
                  <w:vAlign w:val="center"/>
                </w:tcPr>
                <w:p>
                  <w:pPr>
                    <w:spacing w:line="240" w:lineRule="auto"/>
                    <w:ind w:firstLine="0" w:firstLineChars="0"/>
                    <w:jc w:val="center"/>
                    <w:rPr>
                      <w:spacing w:val="20"/>
                      <w:sz w:val="21"/>
                      <w:szCs w:val="21"/>
                    </w:rPr>
                  </w:pPr>
                  <w:r>
                    <w:rPr>
                      <w:sz w:val="21"/>
                      <w:szCs w:val="21"/>
                    </w:rPr>
                    <w:t>排水</w:t>
                  </w:r>
                </w:p>
              </w:tc>
              <w:tc>
                <w:tcPr>
                  <w:tcW w:w="4550" w:type="dxa"/>
                  <w:vAlign w:val="center"/>
                </w:tcPr>
                <w:p>
                  <w:pPr>
                    <w:spacing w:line="240" w:lineRule="auto"/>
                    <w:ind w:firstLine="0" w:firstLineChars="0"/>
                    <w:jc w:val="center"/>
                    <w:rPr>
                      <w:sz w:val="21"/>
                      <w:szCs w:val="21"/>
                    </w:rPr>
                  </w:pPr>
                  <w:r>
                    <w:rPr>
                      <w:rFonts w:hint="eastAsia"/>
                      <w:sz w:val="21"/>
                      <w:szCs w:val="21"/>
                      <w:lang w:eastAsia="zh-CN"/>
                    </w:rPr>
                    <w:t>厂区实行</w:t>
                  </w:r>
                  <w:r>
                    <w:rPr>
                      <w:rFonts w:hint="eastAsia"/>
                      <w:sz w:val="21"/>
                      <w:szCs w:val="21"/>
                    </w:rPr>
                    <w:t>雨污分流，</w:t>
                  </w:r>
                  <w:r>
                    <w:rPr>
                      <w:rFonts w:hint="eastAsia"/>
                      <w:sz w:val="21"/>
                      <w:szCs w:val="21"/>
                      <w:lang w:eastAsia="zh-CN"/>
                    </w:rPr>
                    <w:t>本项目可利</w:t>
                  </w:r>
                  <w:r>
                    <w:rPr>
                      <w:rFonts w:hint="eastAsia"/>
                      <w:sz w:val="21"/>
                      <w:szCs w:val="21"/>
                      <w:lang w:val="en-US" w:eastAsia="zh-CN"/>
                    </w:rPr>
                    <w:t>用</w:t>
                  </w:r>
                  <w:r>
                    <w:rPr>
                      <w:rFonts w:hint="eastAsia"/>
                      <w:sz w:val="21"/>
                      <w:szCs w:val="21"/>
                      <w:lang w:eastAsia="zh-CN"/>
                    </w:rPr>
                    <w:t>厂区已有的污水和雨水排水管网。新建仓库屋面雨水由落水管排入室外雨水沟后，就近接入厂区雨水管网。事故状态下，仓库内可能产生的洗眼器废水及地面冲洗废水采用集液槽和废水收集池收集后泵送至厂区污水处理区进行处理，经德山污水处理厂集中处理后排入东风河，最终排入沅江</w:t>
                  </w:r>
                  <w:r>
                    <w:rPr>
                      <w:rFonts w:hint="eastAsia"/>
                      <w:sz w:val="21"/>
                      <w:szCs w:val="21"/>
                    </w:rPr>
                    <w:t>。</w:t>
                  </w:r>
                </w:p>
              </w:tc>
              <w:tc>
                <w:tcPr>
                  <w:tcW w:w="1024" w:type="dxa"/>
                  <w:vMerge w:val="continue"/>
                  <w:vAlign w:val="center"/>
                </w:tcPr>
                <w:p>
                  <w:pPr>
                    <w:spacing w:line="240" w:lineRule="auto"/>
                    <w:ind w:firstLine="0" w:firstLineChars="0"/>
                    <w:jc w:val="center"/>
                    <w:rPr>
                      <w:rFonts w:hint="eastAsia" w:eastAsia="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Merge w:val="continue"/>
                  <w:vAlign w:val="center"/>
                </w:tcPr>
                <w:p>
                  <w:pPr>
                    <w:spacing w:line="240" w:lineRule="auto"/>
                    <w:ind w:firstLine="0" w:firstLineChars="0"/>
                    <w:jc w:val="center"/>
                    <w:rPr>
                      <w:sz w:val="21"/>
                      <w:szCs w:val="21"/>
                    </w:rPr>
                  </w:pPr>
                </w:p>
              </w:tc>
              <w:tc>
                <w:tcPr>
                  <w:tcW w:w="1185" w:type="dxa"/>
                  <w:vAlign w:val="center"/>
                </w:tcPr>
                <w:p>
                  <w:pPr>
                    <w:spacing w:line="240" w:lineRule="auto"/>
                    <w:ind w:firstLine="0" w:firstLineChars="0"/>
                    <w:jc w:val="center"/>
                    <w:rPr>
                      <w:spacing w:val="20"/>
                      <w:sz w:val="21"/>
                      <w:szCs w:val="21"/>
                    </w:rPr>
                  </w:pPr>
                  <w:r>
                    <w:rPr>
                      <w:sz w:val="21"/>
                      <w:szCs w:val="21"/>
                    </w:rPr>
                    <w:t>供电</w:t>
                  </w:r>
                </w:p>
              </w:tc>
              <w:tc>
                <w:tcPr>
                  <w:tcW w:w="4550" w:type="dxa"/>
                  <w:vAlign w:val="center"/>
                </w:tcPr>
                <w:p>
                  <w:pPr>
                    <w:spacing w:line="240" w:lineRule="auto"/>
                    <w:ind w:firstLine="0" w:firstLineChars="0"/>
                    <w:jc w:val="center"/>
                    <w:rPr>
                      <w:sz w:val="21"/>
                      <w:szCs w:val="21"/>
                    </w:rPr>
                  </w:pPr>
                  <w:r>
                    <w:rPr>
                      <w:rFonts w:hint="eastAsia"/>
                      <w:sz w:val="21"/>
                      <w:szCs w:val="21"/>
                    </w:rPr>
                    <w:t>海利常德公司供电负荷为二级，双回路供电，第一回路为主电源，来自10kV的德化线；第二回路为10kV德和线，作为备用电源。另外厂内还有2台柴油发电机（其中1台250KW，1台500KW），作为各装置内二级负荷的应急电源。</w:t>
                  </w:r>
                </w:p>
              </w:tc>
              <w:tc>
                <w:tcPr>
                  <w:tcW w:w="1024"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Merge w:val="continue"/>
                  <w:vAlign w:val="center"/>
                </w:tcPr>
                <w:p>
                  <w:pPr>
                    <w:spacing w:line="240" w:lineRule="auto"/>
                    <w:ind w:firstLine="0" w:firstLineChars="0"/>
                    <w:jc w:val="center"/>
                    <w:rPr>
                      <w:sz w:val="21"/>
                      <w:szCs w:val="21"/>
                    </w:rPr>
                  </w:pPr>
                </w:p>
              </w:tc>
              <w:tc>
                <w:tcPr>
                  <w:tcW w:w="1185" w:type="dxa"/>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消防</w:t>
                  </w:r>
                </w:p>
              </w:tc>
              <w:tc>
                <w:tcPr>
                  <w:tcW w:w="4550" w:type="dxa"/>
                  <w:vAlign w:val="center"/>
                </w:tcPr>
                <w:p>
                  <w:pPr>
                    <w:spacing w:line="240" w:lineRule="auto"/>
                    <w:ind w:firstLine="0" w:firstLineChars="0"/>
                    <w:jc w:val="center"/>
                    <w:rPr>
                      <w:rFonts w:hint="eastAsia"/>
                      <w:sz w:val="21"/>
                      <w:szCs w:val="21"/>
                    </w:rPr>
                  </w:pPr>
                  <w:r>
                    <w:rPr>
                      <w:rFonts w:hint="eastAsia"/>
                      <w:sz w:val="21"/>
                      <w:szCs w:val="21"/>
                    </w:rPr>
                    <w:t>本项目新建仓库按规范要求设置</w:t>
                  </w:r>
                  <w:r>
                    <w:rPr>
                      <w:rFonts w:hint="eastAsia"/>
                      <w:sz w:val="21"/>
                      <w:szCs w:val="21"/>
                      <w:lang w:eastAsia="zh-CN"/>
                    </w:rPr>
                    <w:t>了</w:t>
                  </w:r>
                  <w:r>
                    <w:rPr>
                      <w:rFonts w:hint="eastAsia"/>
                      <w:sz w:val="21"/>
                      <w:szCs w:val="21"/>
                    </w:rPr>
                    <w:t>室内消火栓系统，室内消火栓系统由消防水泵和室外消防给水管网供水。室内消火栓系统从室外消防给水环网上不同位置接出两根引入管供水，室内消火栓给水管网布置成环状。</w:t>
                  </w:r>
                </w:p>
              </w:tc>
              <w:tc>
                <w:tcPr>
                  <w:tcW w:w="1024"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Merge w:val="restart"/>
                  <w:vAlign w:val="center"/>
                </w:tcPr>
                <w:p>
                  <w:pPr>
                    <w:spacing w:line="240" w:lineRule="auto"/>
                    <w:ind w:firstLine="0" w:firstLineChars="0"/>
                    <w:jc w:val="center"/>
                    <w:rPr>
                      <w:sz w:val="21"/>
                      <w:szCs w:val="21"/>
                    </w:rPr>
                  </w:pPr>
                  <w:r>
                    <w:rPr>
                      <w:sz w:val="21"/>
                      <w:szCs w:val="21"/>
                    </w:rPr>
                    <w:t>环保</w:t>
                  </w:r>
                </w:p>
                <w:p>
                  <w:pPr>
                    <w:spacing w:line="240" w:lineRule="auto"/>
                    <w:ind w:firstLine="0" w:firstLineChars="0"/>
                    <w:jc w:val="center"/>
                    <w:rPr>
                      <w:sz w:val="21"/>
                      <w:szCs w:val="21"/>
                    </w:rPr>
                  </w:pPr>
                  <w:r>
                    <w:rPr>
                      <w:sz w:val="21"/>
                      <w:szCs w:val="21"/>
                    </w:rPr>
                    <w:t>工程</w:t>
                  </w:r>
                </w:p>
              </w:tc>
              <w:tc>
                <w:tcPr>
                  <w:tcW w:w="1185" w:type="dxa"/>
                  <w:vMerge w:val="restart"/>
                  <w:vAlign w:val="center"/>
                </w:tcPr>
                <w:p>
                  <w:pPr>
                    <w:spacing w:line="240" w:lineRule="auto"/>
                    <w:ind w:firstLine="0" w:firstLineChars="0"/>
                    <w:jc w:val="center"/>
                    <w:rPr>
                      <w:sz w:val="21"/>
                      <w:szCs w:val="21"/>
                    </w:rPr>
                  </w:pPr>
                  <w:r>
                    <w:rPr>
                      <w:rFonts w:hint="eastAsia"/>
                      <w:sz w:val="21"/>
                      <w:szCs w:val="21"/>
                      <w:lang w:eastAsia="zh-CN"/>
                    </w:rPr>
                    <w:t>废</w:t>
                  </w:r>
                  <w:r>
                    <w:rPr>
                      <w:rFonts w:hint="eastAsia"/>
                      <w:sz w:val="21"/>
                      <w:szCs w:val="21"/>
                    </w:rPr>
                    <w:t>气</w:t>
                  </w:r>
                  <w:r>
                    <w:rPr>
                      <w:rFonts w:hint="eastAsia"/>
                      <w:sz w:val="21"/>
                      <w:szCs w:val="21"/>
                      <w:lang w:eastAsia="zh-CN"/>
                    </w:rPr>
                    <w:t>防治</w:t>
                  </w:r>
                  <w:r>
                    <w:rPr>
                      <w:rFonts w:hint="eastAsia"/>
                      <w:sz w:val="21"/>
                      <w:szCs w:val="21"/>
                    </w:rPr>
                    <w:t>工程</w:t>
                  </w:r>
                </w:p>
              </w:tc>
              <w:tc>
                <w:tcPr>
                  <w:tcW w:w="4550" w:type="dxa"/>
                  <w:vAlign w:val="center"/>
                </w:tcPr>
                <w:p>
                  <w:pPr>
                    <w:spacing w:line="240" w:lineRule="auto"/>
                    <w:ind w:firstLine="0" w:firstLineChars="0"/>
                    <w:jc w:val="center"/>
                    <w:rPr>
                      <w:rFonts w:hint="eastAsia" w:eastAsia="宋体"/>
                      <w:sz w:val="21"/>
                      <w:szCs w:val="21"/>
                      <w:u w:val="single"/>
                      <w:lang w:val="en-US" w:eastAsia="zh-CN"/>
                    </w:rPr>
                  </w:pPr>
                  <w:r>
                    <w:rPr>
                      <w:rFonts w:hint="eastAsia"/>
                      <w:sz w:val="21"/>
                      <w:szCs w:val="21"/>
                      <w:u w:val="single"/>
                      <w:lang w:val="en-US" w:eastAsia="zh-CN"/>
                    </w:rPr>
                    <w:t>仓库部分区域新建</w:t>
                  </w:r>
                  <w:r>
                    <w:rPr>
                      <w:rFonts w:hint="eastAsia"/>
                      <w:b w:val="0"/>
                      <w:bCs w:val="0"/>
                      <w:sz w:val="21"/>
                      <w:szCs w:val="21"/>
                      <w:u w:val="single"/>
                      <w:lang w:val="en-US" w:eastAsia="zh-CN"/>
                    </w:rPr>
                    <w:t>防爆式风机系统</w:t>
                  </w:r>
                  <w:r>
                    <w:rPr>
                      <w:rFonts w:hint="eastAsia"/>
                      <w:sz w:val="21"/>
                      <w:szCs w:val="21"/>
                      <w:u w:val="single"/>
                      <w:lang w:val="en-US" w:eastAsia="zh-CN"/>
                    </w:rPr>
                    <w:t>，排风/送风设备独立分开。</w:t>
                  </w:r>
                </w:p>
              </w:tc>
              <w:tc>
                <w:tcPr>
                  <w:tcW w:w="1024" w:type="dxa"/>
                  <w:vAlign w:val="center"/>
                </w:tcPr>
                <w:p>
                  <w:pPr>
                    <w:spacing w:line="240" w:lineRule="auto"/>
                    <w:ind w:firstLine="0" w:firstLineChars="0"/>
                    <w:jc w:val="center"/>
                    <w:rPr>
                      <w:rFonts w:hint="eastAsia" w:eastAsia="宋体"/>
                      <w:sz w:val="21"/>
                      <w:szCs w:val="21"/>
                      <w:u w:val="single"/>
                      <w:lang w:val="en-US" w:eastAsia="zh-CN"/>
                    </w:rPr>
                  </w:pPr>
                  <w:r>
                    <w:rPr>
                      <w:rFonts w:hint="eastAsia"/>
                      <w:sz w:val="21"/>
                      <w:szCs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Merge w:val="continue"/>
                  <w:vAlign w:val="center"/>
                </w:tcPr>
                <w:p>
                  <w:pPr>
                    <w:spacing w:line="240" w:lineRule="auto"/>
                    <w:ind w:firstLine="0" w:firstLineChars="0"/>
                    <w:jc w:val="center"/>
                    <w:rPr>
                      <w:sz w:val="21"/>
                      <w:szCs w:val="21"/>
                    </w:rPr>
                  </w:pPr>
                </w:p>
              </w:tc>
              <w:tc>
                <w:tcPr>
                  <w:tcW w:w="1185" w:type="dxa"/>
                  <w:vMerge w:val="continue"/>
                  <w:vAlign w:val="center"/>
                </w:tcPr>
                <w:p>
                  <w:pPr>
                    <w:spacing w:line="240" w:lineRule="auto"/>
                    <w:ind w:firstLine="0" w:firstLineChars="0"/>
                    <w:jc w:val="center"/>
                    <w:rPr>
                      <w:rFonts w:hint="eastAsia"/>
                      <w:sz w:val="21"/>
                      <w:szCs w:val="21"/>
                      <w:lang w:eastAsia="zh-CN"/>
                    </w:rPr>
                  </w:pPr>
                </w:p>
              </w:tc>
              <w:tc>
                <w:tcPr>
                  <w:tcW w:w="4550" w:type="dxa"/>
                  <w:vAlign w:val="center"/>
                </w:tcPr>
                <w:p>
                  <w:pPr>
                    <w:spacing w:line="240" w:lineRule="auto"/>
                    <w:ind w:firstLine="0" w:firstLineChars="0"/>
                    <w:jc w:val="center"/>
                    <w:rPr>
                      <w:rFonts w:hint="eastAsia" w:eastAsia="宋体"/>
                      <w:sz w:val="21"/>
                      <w:szCs w:val="21"/>
                      <w:lang w:val="en-US" w:eastAsia="zh-CN"/>
                    </w:rPr>
                  </w:pPr>
                  <w:r>
                    <w:rPr>
                      <w:rFonts w:hint="eastAsia"/>
                      <w:sz w:val="21"/>
                      <w:szCs w:val="21"/>
                      <w:u w:val="single"/>
                      <w:lang w:val="en-US" w:eastAsia="zh-CN"/>
                    </w:rPr>
                    <w:t>仓库西北部</w:t>
                  </w:r>
                  <w:r>
                    <w:rPr>
                      <w:rFonts w:hint="eastAsia"/>
                      <w:sz w:val="21"/>
                      <w:szCs w:val="21"/>
                      <w:lang w:val="en-US" w:eastAsia="zh-CN"/>
                    </w:rPr>
                    <w:t>氯菊酯、乙酸苄酯</w:t>
                  </w:r>
                  <w:r>
                    <w:rPr>
                      <w:rFonts w:hint="eastAsia" w:cs="Times New Roman"/>
                      <w:color w:val="auto"/>
                      <w:sz w:val="21"/>
                      <w:szCs w:val="21"/>
                      <w:u w:val="single"/>
                      <w:lang w:val="en-US" w:eastAsia="zh-CN"/>
                    </w:rPr>
                    <w:t>等物料</w:t>
                  </w:r>
                  <w:r>
                    <w:rPr>
                      <w:rFonts w:hint="eastAsia"/>
                      <w:sz w:val="21"/>
                      <w:szCs w:val="21"/>
                      <w:u w:val="single"/>
                      <w:lang w:val="en-US" w:eastAsia="zh-CN"/>
                    </w:rPr>
                    <w:t>储存区域约200平方米，设置有机废气负压收集装置，收集的有机废气依托公司已建的蓄热式废气焚烧炉（RTO）处理，公司目前配置的两套RTO系统采用“一用一备”运行方式。处理能力分别为48000m³/h和30000m³/h，用于集中处理生产线、废水处理站、固废暂存区及原料仓库等环节产生的挥发性有机废气（VOCs）。</w:t>
                  </w:r>
                </w:p>
              </w:tc>
              <w:tc>
                <w:tcPr>
                  <w:tcW w:w="1024" w:type="dxa"/>
                  <w:vAlign w:val="center"/>
                </w:tcPr>
                <w:p>
                  <w:pPr>
                    <w:spacing w:line="240" w:lineRule="auto"/>
                    <w:ind w:firstLine="0" w:firstLineChars="0"/>
                    <w:jc w:val="center"/>
                    <w:rPr>
                      <w:rFonts w:hint="eastAsia"/>
                      <w:sz w:val="21"/>
                      <w:szCs w:val="21"/>
                    </w:rPr>
                  </w:pPr>
                  <w:r>
                    <w:rPr>
                      <w:rFonts w:hint="eastAsia"/>
                      <w:sz w:val="21"/>
                      <w:szCs w:val="21"/>
                    </w:rPr>
                    <w:t>新建</w:t>
                  </w:r>
                  <w:r>
                    <w:rPr>
                      <w:rFonts w:hint="eastAsia"/>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Merge w:val="continue"/>
                  <w:vAlign w:val="center"/>
                </w:tcPr>
                <w:p>
                  <w:pPr>
                    <w:spacing w:line="240" w:lineRule="auto"/>
                    <w:ind w:firstLine="0" w:firstLineChars="0"/>
                    <w:jc w:val="center"/>
                    <w:rPr>
                      <w:sz w:val="21"/>
                      <w:szCs w:val="21"/>
                    </w:rPr>
                  </w:pPr>
                </w:p>
              </w:tc>
              <w:tc>
                <w:tcPr>
                  <w:tcW w:w="1185" w:type="dxa"/>
                  <w:vAlign w:val="center"/>
                </w:tcPr>
                <w:p>
                  <w:pPr>
                    <w:spacing w:line="240" w:lineRule="auto"/>
                    <w:ind w:firstLine="0" w:firstLineChars="0"/>
                    <w:jc w:val="both"/>
                    <w:rPr>
                      <w:rFonts w:hint="eastAsia"/>
                      <w:sz w:val="21"/>
                      <w:szCs w:val="21"/>
                      <w:lang w:eastAsia="zh-CN"/>
                    </w:rPr>
                  </w:pPr>
                  <w:r>
                    <w:rPr>
                      <w:rFonts w:hint="eastAsia"/>
                      <w:sz w:val="21"/>
                      <w:szCs w:val="21"/>
                      <w:lang w:eastAsia="zh-CN"/>
                    </w:rPr>
                    <w:t>废水治理工程</w:t>
                  </w:r>
                </w:p>
              </w:tc>
              <w:tc>
                <w:tcPr>
                  <w:tcW w:w="4550" w:type="dxa"/>
                  <w:vAlign w:val="center"/>
                </w:tcPr>
                <w:p>
                  <w:pPr>
                    <w:spacing w:line="240" w:lineRule="auto"/>
                    <w:ind w:firstLine="0" w:firstLineChars="0"/>
                    <w:jc w:val="center"/>
                    <w:rPr>
                      <w:rFonts w:hint="default"/>
                      <w:sz w:val="21"/>
                      <w:szCs w:val="21"/>
                      <w:lang w:val="en-US" w:eastAsia="zh-CN"/>
                    </w:rPr>
                  </w:pPr>
                  <w:r>
                    <w:rPr>
                      <w:rFonts w:hint="eastAsia"/>
                      <w:sz w:val="21"/>
                      <w:szCs w:val="21"/>
                      <w:lang w:eastAsia="zh-CN"/>
                    </w:rPr>
                    <w:t>本项目为仓储项目，正常工况下无废水产生。事故状态下，仓库内可能产生的洗眼器废水及地面冲洗废水采用集液槽和废水收集池收集后，用移动泵送至厂区污水处理站进行处理，再排入城市污水管网，经德山污水处理厂处理后，排入沅江。丙类仓库外侧设置</w:t>
                  </w:r>
                  <w:r>
                    <w:rPr>
                      <w:rFonts w:hint="eastAsia"/>
                      <w:sz w:val="21"/>
                      <w:szCs w:val="21"/>
                      <w:lang w:val="en-US" w:eastAsia="zh-CN"/>
                    </w:rPr>
                    <w:t>1座事故废水收集池：容积为4m</w:t>
                  </w:r>
                  <w:r>
                    <w:rPr>
                      <w:rFonts w:hint="eastAsia"/>
                      <w:sz w:val="21"/>
                      <w:szCs w:val="21"/>
                      <w:vertAlign w:val="superscript"/>
                      <w:lang w:val="en-US" w:eastAsia="zh-CN"/>
                    </w:rPr>
                    <w:t>3</w:t>
                  </w:r>
                  <w:r>
                    <w:rPr>
                      <w:rFonts w:hint="eastAsia"/>
                      <w:sz w:val="21"/>
                      <w:szCs w:val="21"/>
                      <w:lang w:eastAsia="zh-CN"/>
                    </w:rPr>
                    <w:t>（</w:t>
                  </w:r>
                  <w:r>
                    <w:rPr>
                      <w:rFonts w:hint="eastAsia"/>
                      <w:sz w:val="21"/>
                      <w:szCs w:val="21"/>
                      <w:lang w:val="en-US" w:eastAsia="zh-CN"/>
                    </w:rPr>
                    <w:t>2m×1m×2m</w:t>
                  </w:r>
                  <w:r>
                    <w:rPr>
                      <w:rFonts w:hint="eastAsia"/>
                      <w:sz w:val="21"/>
                      <w:szCs w:val="21"/>
                      <w:lang w:eastAsia="zh-CN"/>
                    </w:rPr>
                    <w:t>）的废水收集池，采用混凝土结构，防腐防渗，设活动钢盖板。</w:t>
                  </w:r>
                </w:p>
              </w:tc>
              <w:tc>
                <w:tcPr>
                  <w:tcW w:w="1024" w:type="dxa"/>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0" w:type="dxa"/>
                  <w:vMerge w:val="continue"/>
                  <w:vAlign w:val="center"/>
                </w:tcPr>
                <w:p>
                  <w:pPr>
                    <w:spacing w:line="240" w:lineRule="auto"/>
                    <w:ind w:firstLine="0" w:firstLineChars="0"/>
                    <w:jc w:val="center"/>
                    <w:rPr>
                      <w:sz w:val="21"/>
                      <w:szCs w:val="21"/>
                    </w:rPr>
                  </w:pPr>
                </w:p>
              </w:tc>
              <w:tc>
                <w:tcPr>
                  <w:tcW w:w="1185" w:type="dxa"/>
                  <w:vAlign w:val="center"/>
                </w:tcPr>
                <w:p>
                  <w:pPr>
                    <w:spacing w:line="240" w:lineRule="auto"/>
                    <w:ind w:firstLine="0" w:firstLineChars="0"/>
                    <w:jc w:val="center"/>
                    <w:rPr>
                      <w:sz w:val="21"/>
                      <w:szCs w:val="21"/>
                    </w:rPr>
                  </w:pPr>
                  <w:r>
                    <w:rPr>
                      <w:rFonts w:hint="eastAsia"/>
                      <w:sz w:val="21"/>
                      <w:szCs w:val="21"/>
                    </w:rPr>
                    <w:t>噪声防治工程</w:t>
                  </w:r>
                </w:p>
              </w:tc>
              <w:tc>
                <w:tcPr>
                  <w:tcW w:w="4550" w:type="dxa"/>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引用低噪声设备，厂房墙体隔音等</w:t>
                  </w:r>
                </w:p>
              </w:tc>
              <w:tc>
                <w:tcPr>
                  <w:tcW w:w="1024" w:type="dxa"/>
                  <w:vAlign w:val="center"/>
                </w:tcPr>
                <w:p>
                  <w:pPr>
                    <w:spacing w:line="240" w:lineRule="auto"/>
                    <w:ind w:firstLine="0" w:firstLineChars="0"/>
                    <w:jc w:val="center"/>
                    <w:rPr>
                      <w:sz w:val="21"/>
                      <w:szCs w:val="21"/>
                    </w:rPr>
                  </w:pPr>
                  <w:r>
                    <w:rPr>
                      <w:rFonts w:hint="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80" w:type="dxa"/>
                  <w:vMerge w:val="continue"/>
                  <w:vAlign w:val="center"/>
                </w:tcPr>
                <w:p>
                  <w:pPr>
                    <w:spacing w:line="240" w:lineRule="auto"/>
                    <w:ind w:firstLine="0" w:firstLineChars="0"/>
                    <w:jc w:val="center"/>
                    <w:rPr>
                      <w:sz w:val="21"/>
                      <w:szCs w:val="21"/>
                    </w:rPr>
                  </w:pPr>
                </w:p>
              </w:tc>
              <w:tc>
                <w:tcPr>
                  <w:tcW w:w="1185" w:type="dxa"/>
                  <w:vAlign w:val="center"/>
                </w:tcPr>
                <w:p>
                  <w:pPr>
                    <w:spacing w:line="240" w:lineRule="auto"/>
                    <w:ind w:firstLine="0" w:firstLineChars="0"/>
                    <w:jc w:val="center"/>
                    <w:rPr>
                      <w:rFonts w:hint="eastAsia" w:eastAsia="宋体"/>
                      <w:sz w:val="21"/>
                      <w:szCs w:val="21"/>
                      <w:lang w:eastAsia="zh-CN"/>
                    </w:rPr>
                  </w:pPr>
                  <w:r>
                    <w:rPr>
                      <w:rFonts w:hint="eastAsia"/>
                      <w:sz w:val="21"/>
                      <w:szCs w:val="21"/>
                    </w:rPr>
                    <w:t>固废</w:t>
                  </w:r>
                  <w:r>
                    <w:rPr>
                      <w:rFonts w:hint="eastAsia"/>
                      <w:sz w:val="21"/>
                      <w:szCs w:val="21"/>
                      <w:lang w:eastAsia="zh-CN"/>
                    </w:rPr>
                    <w:t>治理工程</w:t>
                  </w:r>
                </w:p>
              </w:tc>
              <w:tc>
                <w:tcPr>
                  <w:tcW w:w="4550" w:type="dxa"/>
                  <w:vAlign w:val="center"/>
                </w:tcPr>
                <w:p>
                  <w:pPr>
                    <w:spacing w:line="240" w:lineRule="auto"/>
                    <w:ind w:firstLine="0" w:firstLineChars="0"/>
                    <w:jc w:val="left"/>
                    <w:rPr>
                      <w:rFonts w:hint="default" w:eastAsia="宋体"/>
                      <w:sz w:val="21"/>
                      <w:szCs w:val="21"/>
                      <w:lang w:val="en-US" w:eastAsia="zh-CN"/>
                    </w:rPr>
                  </w:pPr>
                  <w:r>
                    <w:rPr>
                      <w:rFonts w:hint="eastAsia"/>
                      <w:sz w:val="21"/>
                      <w:szCs w:val="21"/>
                      <w:lang w:val="en-US" w:eastAsia="zh-CN"/>
                    </w:rPr>
                    <w:t>本项目仓库正常储存时基本不产生固体废物，事故状况可能产生的废液废包装依托厂区已有危废暂存间暂存，委托有资质单位处置。</w:t>
                  </w:r>
                </w:p>
              </w:tc>
              <w:tc>
                <w:tcPr>
                  <w:tcW w:w="1024" w:type="dxa"/>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利旧</w:t>
                  </w:r>
                </w:p>
              </w:tc>
            </w:tr>
          </w:tbl>
          <w:p>
            <w:pPr>
              <w:spacing w:before="163" w:beforeLines="50" w:line="276" w:lineRule="auto"/>
              <w:ind w:firstLine="0" w:firstLineChars="0"/>
              <w:rPr>
                <w:b/>
                <w:bCs/>
                <w:sz w:val="21"/>
                <w:szCs w:val="21"/>
              </w:rPr>
            </w:pPr>
            <w:r>
              <w:rPr>
                <w:rFonts w:hint="eastAsia"/>
                <w:b/>
                <w:bCs/>
                <w:sz w:val="21"/>
                <w:szCs w:val="21"/>
                <w:lang w:val="en-US" w:eastAsia="zh-CN"/>
              </w:rPr>
              <w:t>3</w:t>
            </w:r>
            <w:r>
              <w:rPr>
                <w:rFonts w:hint="eastAsia"/>
                <w:b/>
                <w:bCs/>
                <w:sz w:val="21"/>
                <w:szCs w:val="21"/>
              </w:rPr>
              <w:t>、新建丙类仓库</w:t>
            </w:r>
            <w:r>
              <w:rPr>
                <w:rFonts w:hint="eastAsia"/>
                <w:b/>
                <w:bCs/>
                <w:sz w:val="21"/>
                <w:szCs w:val="21"/>
                <w:lang w:eastAsia="zh-CN"/>
              </w:rPr>
              <w:t>物料储存</w:t>
            </w:r>
            <w:r>
              <w:rPr>
                <w:rFonts w:hint="eastAsia"/>
                <w:b/>
                <w:bCs/>
                <w:sz w:val="21"/>
                <w:szCs w:val="21"/>
              </w:rPr>
              <w:t>方案</w:t>
            </w:r>
          </w:p>
          <w:p>
            <w:pPr>
              <w:spacing w:line="276" w:lineRule="auto"/>
              <w:ind w:firstLine="0" w:firstLineChars="0"/>
              <w:jc w:val="left"/>
              <w:rPr>
                <w:rFonts w:hint="eastAsia"/>
                <w:sz w:val="21"/>
                <w:szCs w:val="21"/>
                <w:lang w:val="en-US" w:eastAsia="zh-CN"/>
              </w:rPr>
            </w:pPr>
            <w:r>
              <w:rPr>
                <w:rFonts w:hint="eastAsia"/>
                <w:sz w:val="21"/>
                <w:szCs w:val="21"/>
                <w:lang w:val="en-US" w:eastAsia="zh-CN"/>
              </w:rPr>
              <w:t xml:space="preserve">   </w:t>
            </w:r>
            <w:r>
              <w:rPr>
                <w:rFonts w:hint="eastAsia"/>
                <w:sz w:val="21"/>
                <w:szCs w:val="21"/>
                <w:lang w:eastAsia="zh-CN"/>
              </w:rPr>
              <w:t>本</w:t>
            </w:r>
            <w:r>
              <w:rPr>
                <w:rFonts w:hint="eastAsia"/>
                <w:sz w:val="21"/>
                <w:szCs w:val="21"/>
              </w:rPr>
              <w:t>项目</w:t>
            </w:r>
            <w:r>
              <w:rPr>
                <w:rFonts w:hint="eastAsia"/>
                <w:sz w:val="21"/>
                <w:szCs w:val="21"/>
                <w:lang w:eastAsia="zh-CN"/>
              </w:rPr>
              <w:t>为仓储项目。新建丙类仓库</w:t>
            </w:r>
            <w:r>
              <w:rPr>
                <w:rFonts w:hint="eastAsia"/>
                <w:sz w:val="21"/>
                <w:szCs w:val="21"/>
              </w:rPr>
              <w:t>建成后</w:t>
            </w:r>
            <w:r>
              <w:rPr>
                <w:rFonts w:hint="eastAsia"/>
                <w:sz w:val="21"/>
                <w:szCs w:val="21"/>
                <w:lang w:eastAsia="zh-CN"/>
              </w:rPr>
              <w:t>储存</w:t>
            </w:r>
            <w:r>
              <w:rPr>
                <w:rFonts w:hint="eastAsia"/>
                <w:sz w:val="21"/>
                <w:szCs w:val="21"/>
                <w:lang w:val="en-US" w:eastAsia="zh-CN"/>
              </w:rPr>
              <w:t>的原材料有10类，分别为：甲嘧乳化剂、磷酸二正丁酯、冷冻机油、500#、1602#、603#、氯菊酯、苯甲醇、乙酸苄酯、乙二醇；</w:t>
            </w:r>
            <w:r>
              <w:rPr>
                <w:rFonts w:hint="eastAsia"/>
                <w:sz w:val="21"/>
                <w:szCs w:val="21"/>
                <w:lang w:eastAsia="zh-CN"/>
              </w:rPr>
              <w:t>储存</w:t>
            </w:r>
            <w:r>
              <w:rPr>
                <w:rFonts w:hint="eastAsia"/>
                <w:sz w:val="21"/>
                <w:szCs w:val="21"/>
                <w:lang w:val="en-US" w:eastAsia="zh-CN"/>
              </w:rPr>
              <w:t>的产品6类为：丁硫克百威、丙硫克百威、甲嘧原油、仲丁威、环氧大豆油、环氧亚麻籽油等，</w:t>
            </w:r>
            <w:r>
              <w:rPr>
                <w:rFonts w:hint="eastAsia"/>
                <w:sz w:val="21"/>
                <w:szCs w:val="21"/>
                <w:lang w:eastAsia="zh-CN"/>
              </w:rPr>
              <w:t>共计</w:t>
            </w:r>
            <w:r>
              <w:rPr>
                <w:rFonts w:hint="eastAsia"/>
                <w:sz w:val="21"/>
                <w:szCs w:val="21"/>
                <w:lang w:val="en-US" w:eastAsia="zh-CN"/>
              </w:rPr>
              <w:t>845t/a。储存量明细见下表。</w:t>
            </w:r>
          </w:p>
          <w:p>
            <w:pPr>
              <w:spacing w:line="276" w:lineRule="auto"/>
              <w:ind w:firstLine="0" w:firstLineChars="0"/>
              <w:jc w:val="center"/>
              <w:rPr>
                <w:rFonts w:hint="eastAsia"/>
                <w:b/>
                <w:bCs/>
                <w:sz w:val="21"/>
                <w:szCs w:val="21"/>
                <w:lang w:val="en-US" w:eastAsia="zh-CN"/>
              </w:rPr>
            </w:pPr>
            <w:r>
              <w:rPr>
                <w:b/>
                <w:bCs/>
                <w:sz w:val="21"/>
                <w:szCs w:val="21"/>
              </w:rPr>
              <w:t>表2-</w:t>
            </w:r>
            <w:r>
              <w:rPr>
                <w:rFonts w:hint="eastAsia"/>
                <w:b/>
                <w:bCs/>
                <w:sz w:val="21"/>
                <w:szCs w:val="21"/>
                <w:lang w:val="en-US" w:eastAsia="zh-CN"/>
              </w:rPr>
              <w:t>2</w:t>
            </w:r>
            <w:r>
              <w:rPr>
                <w:b/>
                <w:bCs/>
                <w:sz w:val="21"/>
                <w:szCs w:val="21"/>
              </w:rPr>
              <w:t xml:space="preserve"> </w:t>
            </w:r>
            <w:r>
              <w:rPr>
                <w:rFonts w:hint="eastAsia"/>
                <w:b/>
                <w:bCs/>
                <w:sz w:val="21"/>
                <w:szCs w:val="21"/>
                <w:lang w:eastAsia="zh-CN"/>
              </w:rPr>
              <w:t>仓库化学品</w:t>
            </w:r>
            <w:r>
              <w:rPr>
                <w:rFonts w:hint="eastAsia"/>
                <w:b/>
                <w:bCs/>
                <w:sz w:val="21"/>
                <w:szCs w:val="21"/>
              </w:rPr>
              <w:t>储存量</w:t>
            </w:r>
            <w:r>
              <w:rPr>
                <w:b/>
                <w:bCs/>
                <w:sz w:val="21"/>
                <w:szCs w:val="21"/>
              </w:rPr>
              <w:t>一览表</w:t>
            </w:r>
          </w:p>
          <w:tbl>
            <w:tblPr>
              <w:tblStyle w:val="16"/>
              <w:tblW w:w="4803" w:type="pct"/>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23"/>
              <w:gridCol w:w="812"/>
              <w:gridCol w:w="1760"/>
              <w:gridCol w:w="1071"/>
              <w:gridCol w:w="3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5" w:hRule="atLeast"/>
              </w:trPr>
              <w:tc>
                <w:tcPr>
                  <w:tcW w:w="476"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bookmarkStart w:id="0" w:name="OLE_LINK85"/>
                  <w:r>
                    <w:rPr>
                      <w:rFonts w:hint="default" w:ascii="Times New Roman" w:hAnsi="Times New Roman" w:eastAsia="宋体" w:cs="Times New Roman"/>
                      <w:color w:val="auto"/>
                      <w:sz w:val="21"/>
                      <w:szCs w:val="21"/>
                      <w:lang w:val="en-US" w:eastAsia="zh-CN"/>
                    </w:rPr>
                    <w:t>防火分区</w:t>
                  </w: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物料名称</w:t>
                  </w:r>
                </w:p>
              </w:tc>
              <w:tc>
                <w:tcPr>
                  <w:tcW w:w="705"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设计</w:t>
                  </w:r>
                  <w:r>
                    <w:rPr>
                      <w:rFonts w:hint="default" w:ascii="Times New Roman" w:hAnsi="Times New Roman" w:eastAsia="宋体" w:cs="Times New Roman"/>
                      <w:color w:val="auto"/>
                      <w:sz w:val="21"/>
                      <w:szCs w:val="21"/>
                    </w:rPr>
                    <w:t>储存量（t）</w:t>
                  </w:r>
                </w:p>
              </w:tc>
              <w:tc>
                <w:tcPr>
                  <w:tcW w:w="212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5"/>
                  <w:shd w:val="clear" w:color="auto" w:fill="FFFFFF" w:themeFill="background1"/>
                  <w:vAlign w:val="center"/>
                </w:tcPr>
                <w:p>
                  <w:pPr>
                    <w:spacing w:line="240" w:lineRule="auto"/>
                    <w:ind w:firstLine="0" w:firstLineChars="0"/>
                    <w:jc w:val="center"/>
                    <w:rPr>
                      <w:rFonts w:hint="eastAsia" w:cs="Times New Roman"/>
                      <w:color w:val="auto"/>
                      <w:sz w:val="21"/>
                      <w:szCs w:val="21"/>
                      <w:lang w:val="en-US" w:eastAsia="zh-CN"/>
                    </w:rPr>
                  </w:pPr>
                  <w:bookmarkStart w:id="1" w:name="OLE_LINK76"/>
                  <w:bookmarkStart w:id="2" w:name="OLE_LINK71" w:colFirst="2" w:colLast="2"/>
                  <w:r>
                    <w:rPr>
                      <w:rFonts w:hint="eastAsia" w:cs="Times New Roman"/>
                      <w:color w:val="auto"/>
                      <w:sz w:val="21"/>
                      <w:szCs w:val="21"/>
                      <w:lang w:val="en-US" w:eastAsia="zh-CN"/>
                    </w:rPr>
                    <w:t>新建丙类仓库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6" w:type="pct"/>
                  <w:vMerge w:val="restar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防火分区一</w:t>
                  </w:r>
                  <w:bookmarkEnd w:id="1"/>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甲嘧乳化剂</w:t>
                  </w:r>
                </w:p>
              </w:tc>
              <w:tc>
                <w:tcPr>
                  <w:tcW w:w="705"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12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磷酸二正丁酯</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冷冻机油</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1602#</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603#</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氯菊酯</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苯甲醇</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乙酸苄酯</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乙二醇</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丁硫克百威</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2124" w:type="pct"/>
                  <w:shd w:val="clear" w:color="auto" w:fill="FFFFFF" w:themeFill="background1"/>
                  <w:noWrap/>
                  <w:vAlign w:val="center"/>
                </w:tcPr>
                <w:p>
                  <w:pPr>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环氧大豆油</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124" w:type="pct"/>
                  <w:shd w:val="clear" w:color="auto" w:fill="FFFFFF" w:themeFill="background1"/>
                  <w:noWrap/>
                  <w:vAlign w:val="center"/>
                </w:tcPr>
                <w:p>
                  <w:pPr>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环氧亚麻籽油</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124" w:type="pct"/>
                  <w:shd w:val="clear" w:color="auto" w:fill="FFFFFF" w:themeFill="background1"/>
                  <w:noWrap/>
                  <w:vAlign w:val="center"/>
                </w:tcPr>
                <w:p>
                  <w:pPr>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bookmarkStart w:id="3" w:name="OLE_LINK78" w:colFirst="2" w:colLast="3"/>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丙硫克百威</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2124" w:type="pct"/>
                  <w:shd w:val="clear" w:color="auto" w:fill="FFFFFF" w:themeFill="background1"/>
                  <w:noWrap/>
                  <w:vAlign w:val="center"/>
                </w:tcPr>
                <w:p>
                  <w:pPr>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小计</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445</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r>
            <w:bookmark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76" w:type="pct"/>
                  <w:vMerge w:val="restar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防火分区二</w:t>
                  </w: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甲嘧原油</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产品（55%</w:t>
                  </w:r>
                  <w:r>
                    <w:rPr>
                      <w:rFonts w:hint="eastAsia"/>
                      <w:bCs/>
                      <w:sz w:val="21"/>
                      <w:szCs w:val="21"/>
                      <w:lang w:val="en-US" w:eastAsia="zh-CN"/>
                    </w:rPr>
                    <w:t>甲基嘧啶磷，45%溶剂油</w:t>
                  </w: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仲丁威</w:t>
                  </w: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6"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34"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小计</w:t>
                  </w:r>
                </w:p>
              </w:tc>
              <w:tc>
                <w:tcPr>
                  <w:tcW w:w="1158"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705"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2124"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r>
            <w:bookmarkEnd w:id="0"/>
            <w:bookmarkEnd w:id="2"/>
          </w:tbl>
          <w:p>
            <w:pPr>
              <w:spacing w:before="163" w:beforeLines="50" w:line="276" w:lineRule="auto"/>
              <w:ind w:firstLine="420" w:firstLineChars="200"/>
              <w:rPr>
                <w:rFonts w:hint="eastAsia"/>
                <w:b w:val="0"/>
                <w:bCs w:val="0"/>
                <w:sz w:val="21"/>
                <w:szCs w:val="21"/>
                <w:lang w:val="en-US" w:eastAsia="zh-CN"/>
              </w:rPr>
            </w:pPr>
            <w:r>
              <w:rPr>
                <w:rFonts w:hint="eastAsia"/>
                <w:b w:val="0"/>
                <w:bCs w:val="0"/>
                <w:sz w:val="21"/>
                <w:szCs w:val="21"/>
                <w:lang w:val="en-US" w:eastAsia="zh-CN"/>
              </w:rPr>
              <w:t>经查询《危险化学品目录（2022年调整版）》、《易制毒化学品管理条例》、《易制爆危险化学品名录（2017版）》等规定进行辨识，本项目储存的化学品不涉及剧毒危险化学品、不涉及易制毒危险化学品、不涉及易制爆危险化学品。</w:t>
            </w:r>
          </w:p>
          <w:p>
            <w:pPr>
              <w:spacing w:line="276" w:lineRule="auto"/>
              <w:ind w:firstLine="0" w:firstLineChars="0"/>
              <w:jc w:val="left"/>
              <w:rPr>
                <w:rFonts w:hint="eastAsia"/>
                <w:sz w:val="21"/>
                <w:szCs w:val="21"/>
                <w:lang w:val="en-US" w:eastAsia="zh-CN"/>
              </w:rPr>
            </w:pPr>
            <w:r>
              <w:rPr>
                <w:rFonts w:hint="eastAsia"/>
                <w:sz w:val="21"/>
                <w:szCs w:val="21"/>
                <w:lang w:val="en-US" w:eastAsia="zh-CN"/>
              </w:rPr>
              <w:t xml:space="preserve">   根据国家安全监管总局办公厅公布的《首批重点监管的危险化学品目录》(安监总厅管三[2011]95号）及《第二批重点监管危险化学品目录》(安监总管三(2013〕12号)辨识，本项目不涉及重点监管的危险化学品。根据《优先控制化学品目录》(第一和第二批）进行辨识，本项目不涉及优先控制化学品。</w:t>
            </w:r>
          </w:p>
          <w:p>
            <w:pPr>
              <w:spacing w:line="276" w:lineRule="auto"/>
              <w:ind w:firstLine="420" w:firstLineChars="200"/>
              <w:jc w:val="left"/>
              <w:rPr>
                <w:rFonts w:hint="eastAsia"/>
                <w:sz w:val="21"/>
                <w:szCs w:val="21"/>
                <w:lang w:val="en-US" w:eastAsia="zh-CN"/>
              </w:rPr>
            </w:pPr>
            <w:r>
              <w:rPr>
                <w:rFonts w:hint="eastAsia"/>
                <w:sz w:val="21"/>
                <w:szCs w:val="21"/>
                <w:lang w:val="en-US" w:eastAsia="zh-CN"/>
              </w:rPr>
              <w:t>本项目储存化学品的主要理化性质见下表：</w:t>
            </w:r>
          </w:p>
          <w:p>
            <w:pPr>
              <w:spacing w:before="163" w:beforeLines="50" w:line="240" w:lineRule="auto"/>
              <w:ind w:firstLine="2108" w:firstLineChars="1000"/>
              <w:rPr>
                <w:rFonts w:hint="default"/>
                <w:b/>
                <w:bCs/>
                <w:sz w:val="21"/>
                <w:szCs w:val="21"/>
                <w:lang w:val="en-US" w:eastAsia="zh-CN"/>
              </w:rPr>
            </w:pPr>
            <w:r>
              <w:rPr>
                <w:rFonts w:hint="eastAsia"/>
                <w:b/>
                <w:bCs/>
                <w:sz w:val="21"/>
                <w:szCs w:val="21"/>
                <w:lang w:eastAsia="zh-CN"/>
              </w:rPr>
              <w:t>表</w:t>
            </w:r>
            <w:r>
              <w:rPr>
                <w:rFonts w:hint="eastAsia"/>
                <w:b/>
                <w:bCs/>
                <w:sz w:val="21"/>
                <w:szCs w:val="21"/>
                <w:lang w:val="en-US" w:eastAsia="zh-CN"/>
              </w:rPr>
              <w:t>2-3 主要</w:t>
            </w:r>
            <w:r>
              <w:rPr>
                <w:rFonts w:hint="eastAsia"/>
                <w:b/>
                <w:bCs/>
                <w:sz w:val="21"/>
                <w:szCs w:val="21"/>
                <w:lang w:eastAsia="zh-CN"/>
              </w:rPr>
              <w:t>储存化学品的主要</w:t>
            </w:r>
            <w:r>
              <w:rPr>
                <w:rFonts w:hint="eastAsia"/>
                <w:b/>
                <w:bCs/>
                <w:sz w:val="21"/>
                <w:szCs w:val="21"/>
              </w:rPr>
              <w:t>理</w:t>
            </w:r>
            <w:r>
              <w:rPr>
                <w:rFonts w:hint="eastAsia"/>
                <w:b/>
                <w:bCs/>
                <w:sz w:val="21"/>
                <w:szCs w:val="21"/>
                <w:lang w:eastAsia="zh-CN"/>
              </w:rPr>
              <w:t>、</w:t>
            </w:r>
            <w:r>
              <w:rPr>
                <w:rFonts w:hint="eastAsia"/>
                <w:b/>
                <w:bCs/>
                <w:sz w:val="21"/>
                <w:szCs w:val="21"/>
              </w:rPr>
              <w:t>化</w:t>
            </w:r>
            <w:r>
              <w:rPr>
                <w:rFonts w:hint="eastAsia"/>
                <w:b/>
                <w:bCs/>
                <w:sz w:val="21"/>
                <w:szCs w:val="21"/>
                <w:lang w:val="en-US" w:eastAsia="zh-CN"/>
              </w:rPr>
              <w:t>及危险特</w:t>
            </w:r>
            <w:r>
              <w:rPr>
                <w:rFonts w:hint="eastAsia"/>
                <w:b/>
                <w:bCs/>
                <w:sz w:val="21"/>
                <w:szCs w:val="21"/>
              </w:rPr>
              <w:t>性表</w:t>
            </w:r>
          </w:p>
          <w:tbl>
            <w:tblPr>
              <w:tblStyle w:val="17"/>
              <w:tblW w:w="7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796"/>
              <w:gridCol w:w="761"/>
              <w:gridCol w:w="2654"/>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spacing w:line="240" w:lineRule="auto"/>
                    <w:ind w:firstLine="0" w:firstLineChars="0"/>
                    <w:jc w:val="center"/>
                    <w:rPr>
                      <w:sz w:val="21"/>
                      <w:szCs w:val="21"/>
                    </w:rPr>
                  </w:pPr>
                  <w:r>
                    <w:rPr>
                      <w:rFonts w:hint="eastAsia"/>
                      <w:sz w:val="21"/>
                      <w:szCs w:val="21"/>
                    </w:rPr>
                    <w:t>序号</w:t>
                  </w:r>
                </w:p>
              </w:tc>
              <w:tc>
                <w:tcPr>
                  <w:tcW w:w="796" w:type="dxa"/>
                  <w:vAlign w:val="center"/>
                </w:tcPr>
                <w:p>
                  <w:pPr>
                    <w:spacing w:line="240" w:lineRule="auto"/>
                    <w:ind w:firstLine="0" w:firstLineChars="0"/>
                    <w:jc w:val="center"/>
                    <w:rPr>
                      <w:sz w:val="21"/>
                      <w:szCs w:val="21"/>
                    </w:rPr>
                  </w:pPr>
                  <w:r>
                    <w:rPr>
                      <w:rFonts w:hint="eastAsia"/>
                      <w:sz w:val="21"/>
                      <w:szCs w:val="21"/>
                    </w:rPr>
                    <w:t>物料</w:t>
                  </w:r>
                </w:p>
                <w:p>
                  <w:pPr>
                    <w:spacing w:line="240" w:lineRule="auto"/>
                    <w:ind w:firstLine="0" w:firstLineChars="0"/>
                    <w:jc w:val="center"/>
                    <w:rPr>
                      <w:sz w:val="21"/>
                      <w:szCs w:val="21"/>
                    </w:rPr>
                  </w:pPr>
                  <w:r>
                    <w:rPr>
                      <w:rFonts w:hint="eastAsia"/>
                      <w:sz w:val="21"/>
                      <w:szCs w:val="21"/>
                    </w:rPr>
                    <w:t>名称</w:t>
                  </w:r>
                </w:p>
              </w:tc>
              <w:tc>
                <w:tcPr>
                  <w:tcW w:w="761" w:type="dxa"/>
                  <w:vAlign w:val="center"/>
                </w:tcPr>
                <w:p>
                  <w:pPr>
                    <w:spacing w:line="240" w:lineRule="auto"/>
                    <w:ind w:firstLine="0" w:firstLineChars="0"/>
                    <w:jc w:val="center"/>
                    <w:rPr>
                      <w:sz w:val="21"/>
                      <w:szCs w:val="21"/>
                    </w:rPr>
                  </w:pPr>
                  <w:r>
                    <w:rPr>
                      <w:rFonts w:hint="eastAsia"/>
                      <w:sz w:val="21"/>
                      <w:szCs w:val="21"/>
                    </w:rPr>
                    <w:t>CAS号</w:t>
                  </w:r>
                </w:p>
              </w:tc>
              <w:tc>
                <w:tcPr>
                  <w:tcW w:w="2654" w:type="dxa"/>
                  <w:vAlign w:val="center"/>
                </w:tcPr>
                <w:p>
                  <w:pPr>
                    <w:spacing w:line="240" w:lineRule="auto"/>
                    <w:ind w:firstLine="0" w:firstLineChars="0"/>
                    <w:jc w:val="center"/>
                    <w:rPr>
                      <w:sz w:val="21"/>
                      <w:szCs w:val="21"/>
                    </w:rPr>
                  </w:pPr>
                  <w:r>
                    <w:rPr>
                      <w:rFonts w:hint="eastAsia"/>
                      <w:sz w:val="21"/>
                      <w:szCs w:val="21"/>
                    </w:rPr>
                    <w:t>理化性质</w:t>
                  </w:r>
                </w:p>
              </w:tc>
              <w:tc>
                <w:tcPr>
                  <w:tcW w:w="3169" w:type="dxa"/>
                  <w:vAlign w:val="center"/>
                </w:tcPr>
                <w:p>
                  <w:pPr>
                    <w:spacing w:line="240" w:lineRule="auto"/>
                    <w:ind w:firstLine="0" w:firstLineChars="0"/>
                    <w:jc w:val="center"/>
                    <w:rPr>
                      <w:sz w:val="21"/>
                      <w:szCs w:val="21"/>
                    </w:rPr>
                  </w:pPr>
                  <w:r>
                    <w:rPr>
                      <w:rFonts w:hint="eastAsia"/>
                      <w:sz w:val="21"/>
                      <w:szCs w:val="21"/>
                    </w:rPr>
                    <w:t>危险性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c>
                <w:tcPr>
                  <w:tcW w:w="796" w:type="dxa"/>
                  <w:vAlign w:val="center"/>
                </w:tcPr>
                <w:p>
                  <w:pPr>
                    <w:spacing w:line="240" w:lineRule="auto"/>
                    <w:ind w:firstLine="0" w:firstLineChars="0"/>
                    <w:jc w:val="center"/>
                    <w:rPr>
                      <w:rFonts w:hint="eastAsia"/>
                      <w:bCs/>
                      <w:sz w:val="21"/>
                      <w:szCs w:val="21"/>
                      <w:lang w:val="en-US" w:eastAsia="zh-CN"/>
                    </w:rPr>
                  </w:pPr>
                  <w:r>
                    <w:rPr>
                      <w:rFonts w:hint="eastAsia"/>
                      <w:bCs/>
                      <w:sz w:val="21"/>
                      <w:szCs w:val="21"/>
                      <w:lang w:val="en-US" w:eastAsia="zh-CN"/>
                    </w:rPr>
                    <w:t>甲基嘧啶磷（甲嘧原油主要成分）</w:t>
                  </w:r>
                </w:p>
              </w:tc>
              <w:tc>
                <w:tcPr>
                  <w:tcW w:w="761"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29232-93-7</w:t>
                  </w:r>
                </w:p>
              </w:tc>
              <w:tc>
                <w:tcPr>
                  <w:tcW w:w="2654" w:type="dxa"/>
                  <w:vAlign w:val="center"/>
                </w:tcPr>
                <w:p>
                  <w:pPr>
                    <w:spacing w:line="240" w:lineRule="auto"/>
                    <w:ind w:firstLine="0" w:firstLineChars="0"/>
                    <w:jc w:val="left"/>
                    <w:rPr>
                      <w:rFonts w:hint="default" w:eastAsia="宋体"/>
                      <w:bCs/>
                      <w:sz w:val="21"/>
                      <w:szCs w:val="21"/>
                      <w:lang w:val="en-US" w:eastAsia="zh-CN"/>
                    </w:rPr>
                  </w:pPr>
                  <w:r>
                    <w:rPr>
                      <w:rFonts w:hint="eastAsia" w:ascii="仿宋" w:hAnsi="仿宋" w:eastAsia="仿宋" w:cs="仿宋"/>
                      <w:i w:val="0"/>
                      <w:iCs w:val="0"/>
                      <w:caps w:val="0"/>
                      <w:color w:val="333333"/>
                      <w:spacing w:val="0"/>
                      <w:sz w:val="21"/>
                      <w:szCs w:val="21"/>
                      <w:shd w:val="clear" w:fill="FFFFFF"/>
                    </w:rPr>
                    <w:t>分子式</w:t>
                  </w:r>
                  <w:r>
                    <w:rPr>
                      <w:rFonts w:hint="default" w:ascii="Times New Roman" w:hAnsi="Times New Roman" w:eastAsia="仿宋" w:cs="Times New Roman"/>
                      <w:i w:val="0"/>
                      <w:iCs w:val="0"/>
                      <w:caps w:val="0"/>
                      <w:color w:val="333333"/>
                      <w:spacing w:val="0"/>
                      <w:sz w:val="21"/>
                      <w:szCs w:val="21"/>
                      <w:shd w:val="clear" w:fill="FFFFFF"/>
                    </w:rPr>
                    <w:t>C</w:t>
                  </w:r>
                  <w:r>
                    <w:rPr>
                      <w:rFonts w:hint="default" w:ascii="Times New Roman" w:hAnsi="Times New Roman" w:eastAsia="仿宋" w:cs="Times New Roman"/>
                      <w:i w:val="0"/>
                      <w:iCs w:val="0"/>
                      <w:caps w:val="0"/>
                      <w:color w:val="333333"/>
                      <w:spacing w:val="0"/>
                      <w:sz w:val="21"/>
                      <w:szCs w:val="21"/>
                      <w:shd w:val="clear" w:fill="FFFFFF"/>
                      <w:vertAlign w:val="subscript"/>
                    </w:rPr>
                    <w:t>11</w:t>
                  </w:r>
                  <w:r>
                    <w:rPr>
                      <w:rFonts w:hint="default" w:ascii="Times New Roman" w:hAnsi="Times New Roman" w:eastAsia="仿宋" w:cs="Times New Roman"/>
                      <w:i w:val="0"/>
                      <w:iCs w:val="0"/>
                      <w:caps w:val="0"/>
                      <w:color w:val="333333"/>
                      <w:spacing w:val="0"/>
                      <w:sz w:val="21"/>
                      <w:szCs w:val="21"/>
                      <w:shd w:val="clear" w:fill="FFFFFF"/>
                    </w:rPr>
                    <w:t>H</w:t>
                  </w:r>
                  <w:r>
                    <w:rPr>
                      <w:rFonts w:hint="default" w:ascii="Times New Roman" w:hAnsi="Times New Roman" w:eastAsia="仿宋" w:cs="Times New Roman"/>
                      <w:i w:val="0"/>
                      <w:iCs w:val="0"/>
                      <w:caps w:val="0"/>
                      <w:color w:val="333333"/>
                      <w:spacing w:val="0"/>
                      <w:sz w:val="21"/>
                      <w:szCs w:val="21"/>
                      <w:shd w:val="clear" w:fill="FFFFFF"/>
                      <w:vertAlign w:val="subscript"/>
                    </w:rPr>
                    <w:t>2</w:t>
                  </w:r>
                  <w:r>
                    <w:rPr>
                      <w:rFonts w:hint="default" w:ascii="Times New Roman" w:hAnsi="Times New Roman" w:eastAsia="仿宋" w:cs="Times New Roman"/>
                      <w:i w:val="0"/>
                      <w:iCs w:val="0"/>
                      <w:caps w:val="0"/>
                      <w:color w:val="333333"/>
                      <w:spacing w:val="0"/>
                      <w:sz w:val="21"/>
                      <w:szCs w:val="21"/>
                      <w:shd w:val="clear" w:fill="FFFFFF"/>
                    </w:rPr>
                    <w:t>0N</w:t>
                  </w:r>
                  <w:r>
                    <w:rPr>
                      <w:rFonts w:hint="default" w:ascii="Times New Roman" w:hAnsi="Times New Roman" w:eastAsia="仿宋" w:cs="Times New Roman"/>
                      <w:i w:val="0"/>
                      <w:iCs w:val="0"/>
                      <w:caps w:val="0"/>
                      <w:color w:val="333333"/>
                      <w:spacing w:val="0"/>
                      <w:sz w:val="21"/>
                      <w:szCs w:val="21"/>
                      <w:shd w:val="clear" w:fill="FFFFFF"/>
                      <w:vertAlign w:val="subscript"/>
                    </w:rPr>
                    <w:t>3</w:t>
                  </w:r>
                  <w:r>
                    <w:rPr>
                      <w:rFonts w:hint="default" w:ascii="Times New Roman" w:hAnsi="Times New Roman" w:eastAsia="仿宋" w:cs="Times New Roman"/>
                      <w:i w:val="0"/>
                      <w:iCs w:val="0"/>
                      <w:caps w:val="0"/>
                      <w:color w:val="333333"/>
                      <w:spacing w:val="0"/>
                      <w:sz w:val="21"/>
                      <w:szCs w:val="21"/>
                      <w:shd w:val="clear" w:fill="FFFFFF"/>
                    </w:rPr>
                    <w:t>O</w:t>
                  </w:r>
                  <w:r>
                    <w:rPr>
                      <w:rFonts w:hint="default" w:ascii="Times New Roman" w:hAnsi="Times New Roman" w:eastAsia="仿宋" w:cs="Times New Roman"/>
                      <w:i w:val="0"/>
                      <w:iCs w:val="0"/>
                      <w:caps w:val="0"/>
                      <w:color w:val="333333"/>
                      <w:spacing w:val="0"/>
                      <w:sz w:val="21"/>
                      <w:szCs w:val="21"/>
                      <w:shd w:val="clear" w:fill="FFFFFF"/>
                      <w:vertAlign w:val="subscript"/>
                    </w:rPr>
                    <w:t>3</w:t>
                  </w:r>
                  <w:r>
                    <w:rPr>
                      <w:rFonts w:hint="default" w:ascii="Times New Roman" w:hAnsi="Times New Roman" w:eastAsia="仿宋" w:cs="Times New Roman"/>
                      <w:i w:val="0"/>
                      <w:iCs w:val="0"/>
                      <w:caps w:val="0"/>
                      <w:color w:val="333333"/>
                      <w:spacing w:val="0"/>
                      <w:sz w:val="21"/>
                      <w:szCs w:val="21"/>
                      <w:shd w:val="clear" w:fill="FFFFFF"/>
                    </w:rPr>
                    <w:t>PS</w:t>
                  </w:r>
                  <w:r>
                    <w:rPr>
                      <w:rFonts w:hint="default" w:ascii="Times New Roman" w:hAnsi="Times New Roman" w:eastAsia="宋体" w:cs="Times New Roman"/>
                      <w:i w:val="0"/>
                      <w:iCs w:val="0"/>
                      <w:caps w:val="0"/>
                      <w:color w:val="333333"/>
                      <w:spacing w:val="0"/>
                      <w:sz w:val="21"/>
                      <w:szCs w:val="21"/>
                      <w:shd w:val="clear" w:fill="FFFFFF"/>
                      <w:lang w:eastAsia="zh-CN"/>
                    </w:rPr>
                    <w:t>，</w:t>
                  </w:r>
                  <w:r>
                    <w:rPr>
                      <w:rFonts w:hint="eastAsia" w:ascii="Times New Roman" w:hAnsi="Times New Roman" w:eastAsia="宋体" w:cs="Times New Roman"/>
                      <w:i w:val="0"/>
                      <w:iCs w:val="0"/>
                      <w:caps w:val="0"/>
                      <w:color w:val="333333"/>
                      <w:spacing w:val="0"/>
                      <w:sz w:val="21"/>
                      <w:szCs w:val="21"/>
                      <w:shd w:val="clear" w:fill="FFFFFF"/>
                      <w:lang w:eastAsia="zh-CN"/>
                    </w:rPr>
                    <w:t>分子量</w:t>
                  </w:r>
                  <w:r>
                    <w:rPr>
                      <w:rFonts w:hint="eastAsia" w:ascii="Times New Roman" w:hAnsi="Times New Roman" w:eastAsia="宋体" w:cs="Times New Roman"/>
                      <w:i w:val="0"/>
                      <w:iCs w:val="0"/>
                      <w:caps w:val="0"/>
                      <w:color w:val="333333"/>
                      <w:spacing w:val="0"/>
                      <w:sz w:val="21"/>
                      <w:szCs w:val="21"/>
                      <w:shd w:val="clear" w:fill="FFFFFF"/>
                      <w:lang w:val="en-US" w:eastAsia="zh-CN"/>
                    </w:rPr>
                    <w:t>305.33。</w:t>
                  </w:r>
                  <w:r>
                    <w:rPr>
                      <w:rFonts w:hint="default" w:eastAsia="宋体"/>
                      <w:bCs/>
                      <w:sz w:val="21"/>
                      <w:szCs w:val="21"/>
                      <w:lang w:val="en-US" w:eastAsia="zh-CN"/>
                    </w:rPr>
                    <w:t>原药为棕黄色液体，相对密度1.157，</w:t>
                  </w:r>
                  <w:r>
                    <w:rPr>
                      <w:rFonts w:hint="eastAsia"/>
                      <w:bCs/>
                      <w:sz w:val="21"/>
                      <w:szCs w:val="21"/>
                      <w:lang w:val="en-US" w:eastAsia="zh-CN"/>
                    </w:rPr>
                    <w:t>沸点386.5±52.0</w:t>
                  </w:r>
                  <w:r>
                    <w:rPr>
                      <w:rFonts w:hint="default" w:eastAsia="宋体"/>
                      <w:bCs/>
                      <w:sz w:val="21"/>
                      <w:szCs w:val="21"/>
                      <w:lang w:val="en-US" w:eastAsia="zh-CN"/>
                    </w:rPr>
                    <w:t>℃</w:t>
                  </w:r>
                  <w:r>
                    <w:rPr>
                      <w:rFonts w:hint="eastAsia"/>
                      <w:bCs/>
                      <w:sz w:val="21"/>
                      <w:szCs w:val="21"/>
                      <w:lang w:val="en-US" w:eastAsia="zh-CN"/>
                    </w:rPr>
                    <w:t>，闪点-18</w:t>
                  </w:r>
                  <w:r>
                    <w:rPr>
                      <w:rFonts w:hint="default" w:eastAsia="宋体"/>
                      <w:bCs/>
                      <w:sz w:val="21"/>
                      <w:szCs w:val="21"/>
                      <w:lang w:val="en-US" w:eastAsia="zh-CN"/>
                    </w:rPr>
                    <w:t>℃</w:t>
                  </w:r>
                  <w:r>
                    <w:rPr>
                      <w:rFonts w:hint="eastAsia"/>
                      <w:bCs/>
                      <w:sz w:val="21"/>
                      <w:szCs w:val="21"/>
                      <w:lang w:val="en-US" w:eastAsia="zh-CN"/>
                    </w:rPr>
                    <w:t>，</w:t>
                  </w:r>
                  <w:r>
                    <w:rPr>
                      <w:rFonts w:hint="default" w:eastAsia="宋体"/>
                      <w:bCs/>
                      <w:sz w:val="21"/>
                      <w:szCs w:val="21"/>
                      <w:lang w:val="en-US" w:eastAsia="zh-CN"/>
                    </w:rPr>
                    <w:t>30℃蒸气压为13mPa，30℃水中溶解度为5mg/L，易溶于大多数有机溶剂。可被强酸和碱水解，对光不稳定</w:t>
                  </w:r>
                  <w:r>
                    <w:rPr>
                      <w:rFonts w:hint="eastAsia"/>
                      <w:bCs/>
                      <w:sz w:val="21"/>
                      <w:szCs w:val="21"/>
                      <w:lang w:val="en-US" w:eastAsia="zh-CN"/>
                    </w:rPr>
                    <w:t>。</w:t>
                  </w:r>
                </w:p>
              </w:tc>
              <w:tc>
                <w:tcPr>
                  <w:tcW w:w="3169" w:type="dxa"/>
                  <w:vAlign w:val="center"/>
                </w:tcPr>
                <w:p>
                  <w:pPr>
                    <w:pStyle w:val="8"/>
                    <w:ind w:left="0" w:leftChars="0" w:firstLine="0" w:firstLineChars="0"/>
                    <w:jc w:val="left"/>
                    <w:rPr>
                      <w:rFonts w:hint="eastAsia" w:eastAsia="宋体"/>
                      <w:sz w:val="21"/>
                      <w:szCs w:val="21"/>
                      <w:lang w:eastAsia="zh-CN"/>
                    </w:rPr>
                  </w:pPr>
                  <w:r>
                    <w:rPr>
                      <w:rFonts w:hint="eastAsia" w:eastAsia="宋体"/>
                      <w:sz w:val="21"/>
                      <w:szCs w:val="21"/>
                      <w:lang w:eastAsia="zh-CN"/>
                    </w:rPr>
                    <w:t>低毒，急性经口LD</w:t>
                  </w:r>
                  <w:r>
                    <w:rPr>
                      <w:rFonts w:hint="eastAsia" w:eastAsia="宋体"/>
                      <w:sz w:val="21"/>
                      <w:szCs w:val="21"/>
                      <w:vertAlign w:val="subscript"/>
                      <w:lang w:eastAsia="zh-CN"/>
                    </w:rPr>
                    <w:t xml:space="preserve">50 </w:t>
                  </w:r>
                  <w:r>
                    <w:rPr>
                      <w:rFonts w:hint="eastAsia"/>
                      <w:sz w:val="21"/>
                      <w:szCs w:val="21"/>
                      <w:lang w:eastAsia="zh-CN"/>
                    </w:rPr>
                    <w:t>：</w:t>
                  </w:r>
                  <w:r>
                    <w:rPr>
                      <w:rFonts w:hint="eastAsia" w:eastAsia="宋体"/>
                      <w:sz w:val="21"/>
                      <w:szCs w:val="21"/>
                      <w:lang w:eastAsia="zh-CN"/>
                    </w:rPr>
                    <w:t>大鼠1414mg/kg，小鼠1180mg/kg。大鼠急性经皮LD</w:t>
                  </w:r>
                  <w:r>
                    <w:rPr>
                      <w:rFonts w:hint="eastAsia" w:eastAsia="宋体"/>
                      <w:sz w:val="21"/>
                      <w:szCs w:val="21"/>
                      <w:vertAlign w:val="subscript"/>
                      <w:lang w:eastAsia="zh-CN"/>
                    </w:rPr>
                    <w:t>50</w:t>
                  </w:r>
                  <w:r>
                    <w:rPr>
                      <w:rFonts w:hint="eastAsia" w:eastAsia="宋体"/>
                      <w:sz w:val="21"/>
                      <w:szCs w:val="21"/>
                      <w:lang w:eastAsia="zh-CN"/>
                    </w:rPr>
                    <w:t>&gt;2000mg/kg。本品对兔眼睛和皮肤有轻微刺激，对豚鼠皮肤中度致敏。大鼠吸LC</w:t>
                  </w:r>
                  <w:r>
                    <w:rPr>
                      <w:rFonts w:hint="eastAsia" w:eastAsia="宋体"/>
                      <w:sz w:val="21"/>
                      <w:szCs w:val="21"/>
                      <w:vertAlign w:val="subscript"/>
                      <w:lang w:eastAsia="zh-CN"/>
                    </w:rPr>
                    <w:t>50</w:t>
                  </w:r>
                  <w:r>
                    <w:rPr>
                      <w:rFonts w:hint="eastAsia" w:eastAsia="宋体"/>
                      <w:sz w:val="21"/>
                      <w:szCs w:val="21"/>
                      <w:lang w:eastAsia="zh-CN"/>
                    </w:rPr>
                    <w:t>(4h)&gt;5.04mg/L。无致畸性，在脂肪组织中不累积。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Merge w:val="restar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2</w:t>
                  </w:r>
                </w:p>
              </w:tc>
              <w:tc>
                <w:tcPr>
                  <w:tcW w:w="796" w:type="dxa"/>
                  <w:vMerge w:val="restart"/>
                  <w:vAlign w:val="center"/>
                </w:tcPr>
                <w:p>
                  <w:pPr>
                    <w:spacing w:line="240" w:lineRule="auto"/>
                    <w:ind w:firstLine="0" w:firstLineChars="0"/>
                    <w:jc w:val="center"/>
                    <w:rPr>
                      <w:rFonts w:hint="eastAsia" w:eastAsia="宋体"/>
                      <w:bCs/>
                      <w:sz w:val="21"/>
                      <w:szCs w:val="21"/>
                      <w:lang w:val="en-US" w:eastAsia="zh-CN"/>
                    </w:rPr>
                  </w:pPr>
                  <w:r>
                    <w:rPr>
                      <w:rFonts w:hint="eastAsia"/>
                      <w:bCs/>
                      <w:sz w:val="21"/>
                      <w:szCs w:val="21"/>
                      <w:lang w:val="en-US" w:eastAsia="zh-CN"/>
                    </w:rPr>
                    <w:t>20</w:t>
                  </w:r>
                  <w:r>
                    <w:rPr>
                      <w:rFonts w:hint="default"/>
                      <w:bCs/>
                      <w:sz w:val="21"/>
                      <w:szCs w:val="21"/>
                      <w:lang w:val="en-US" w:eastAsia="zh-CN"/>
                    </w:rPr>
                    <w:t>0#溶剂</w:t>
                  </w:r>
                  <w:r>
                    <w:rPr>
                      <w:rFonts w:hint="eastAsia"/>
                      <w:bCs/>
                      <w:sz w:val="21"/>
                      <w:szCs w:val="21"/>
                      <w:lang w:val="en-US" w:eastAsia="zh-CN"/>
                    </w:rPr>
                    <w:t>油（甲嘧原油溶剂）</w:t>
                  </w:r>
                </w:p>
              </w:tc>
              <w:tc>
                <w:tcPr>
                  <w:tcW w:w="761"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辛烷：111-65-9；</w:t>
                  </w:r>
                </w:p>
              </w:tc>
              <w:tc>
                <w:tcPr>
                  <w:tcW w:w="2654" w:type="dxa"/>
                  <w:vAlign w:val="center"/>
                </w:tcPr>
                <w:p>
                  <w:pPr>
                    <w:spacing w:line="240" w:lineRule="auto"/>
                    <w:ind w:firstLine="0" w:firstLineChars="0"/>
                    <w:jc w:val="left"/>
                    <w:rPr>
                      <w:rFonts w:hint="eastAsia" w:ascii="仿宋" w:hAnsi="仿宋" w:eastAsia="仿宋" w:cs="仿宋"/>
                      <w:i w:val="0"/>
                      <w:iCs w:val="0"/>
                      <w:caps w:val="0"/>
                      <w:color w:val="333333"/>
                      <w:spacing w:val="0"/>
                      <w:sz w:val="21"/>
                      <w:szCs w:val="21"/>
                      <w:shd w:val="clear" w:fill="FFFFFF"/>
                    </w:rPr>
                  </w:pPr>
                  <w:r>
                    <w:rPr>
                      <w:rFonts w:hint="eastAsia"/>
                      <w:sz w:val="21"/>
                      <w:szCs w:val="21"/>
                      <w:lang w:val="en-US" w:eastAsia="zh-CN"/>
                    </w:rPr>
                    <w:t>化学式C</w:t>
                  </w:r>
                  <w:r>
                    <w:rPr>
                      <w:rFonts w:hint="eastAsia"/>
                      <w:sz w:val="21"/>
                      <w:szCs w:val="21"/>
                      <w:vertAlign w:val="subscript"/>
                      <w:lang w:val="en-US" w:eastAsia="zh-CN"/>
                    </w:rPr>
                    <w:t>8</w:t>
                  </w:r>
                  <w:r>
                    <w:rPr>
                      <w:rFonts w:hint="eastAsia"/>
                      <w:sz w:val="21"/>
                      <w:szCs w:val="21"/>
                      <w:lang w:val="en-US" w:eastAsia="zh-CN"/>
                    </w:rPr>
                    <w:t>H</w:t>
                  </w:r>
                  <w:r>
                    <w:rPr>
                      <w:rFonts w:hint="eastAsia"/>
                      <w:sz w:val="21"/>
                      <w:szCs w:val="21"/>
                      <w:vertAlign w:val="subscript"/>
                      <w:lang w:val="en-US" w:eastAsia="zh-CN"/>
                    </w:rPr>
                    <w:t>18</w:t>
                  </w:r>
                  <w:r>
                    <w:rPr>
                      <w:rFonts w:hint="eastAsia"/>
                      <w:sz w:val="21"/>
                      <w:szCs w:val="21"/>
                      <w:lang w:val="en-US" w:eastAsia="zh-CN"/>
                    </w:rPr>
                    <w:t>，分子量114.229，无色透明液体，熔点-57 ℃，闪点13 ℃（CC），沸点125 - 127 ℃，密度：0.703g/cm</w:t>
                  </w:r>
                  <w:r>
                    <w:rPr>
                      <w:rFonts w:hint="eastAsia"/>
                      <w:sz w:val="21"/>
                      <w:szCs w:val="21"/>
                      <w:vertAlign w:val="superscript"/>
                      <w:lang w:val="en-US" w:eastAsia="zh-CN"/>
                    </w:rPr>
                    <w:t>3</w:t>
                  </w:r>
                </w:p>
              </w:tc>
              <w:tc>
                <w:tcPr>
                  <w:tcW w:w="3169" w:type="dxa"/>
                  <w:vAlign w:val="center"/>
                </w:tcPr>
                <w:p>
                  <w:pPr>
                    <w:pStyle w:val="8"/>
                    <w:ind w:left="0" w:leftChars="0" w:firstLine="0" w:firstLineChars="0"/>
                    <w:jc w:val="left"/>
                    <w:rPr>
                      <w:rFonts w:hint="eastAsia"/>
                      <w:sz w:val="21"/>
                      <w:szCs w:val="21"/>
                      <w:vertAlign w:val="superscript"/>
                      <w:lang w:eastAsia="zh-CN"/>
                    </w:rPr>
                  </w:pPr>
                  <w:r>
                    <w:rPr>
                      <w:rFonts w:hint="eastAsia"/>
                      <w:sz w:val="21"/>
                      <w:szCs w:val="21"/>
                      <w:lang w:eastAsia="zh-CN"/>
                    </w:rPr>
                    <w:t>急性毒性：LC</w:t>
                  </w:r>
                  <w:r>
                    <w:rPr>
                      <w:rFonts w:hint="eastAsia"/>
                      <w:sz w:val="21"/>
                      <w:szCs w:val="21"/>
                      <w:vertAlign w:val="subscript"/>
                      <w:lang w:eastAsia="zh-CN"/>
                    </w:rPr>
                    <w:t>50</w:t>
                  </w:r>
                  <w:r>
                    <w:rPr>
                      <w:rFonts w:hint="eastAsia"/>
                      <w:sz w:val="21"/>
                      <w:szCs w:val="21"/>
                      <w:lang w:eastAsia="zh-CN"/>
                    </w:rPr>
                    <w:t>：118g/m</w:t>
                  </w:r>
                  <w:r>
                    <w:rPr>
                      <w:rFonts w:hint="eastAsia"/>
                      <w:sz w:val="21"/>
                      <w:szCs w:val="21"/>
                      <w:vertAlign w:val="superscript"/>
                      <w:lang w:eastAsia="zh-CN"/>
                    </w:rPr>
                    <w:t>3</w:t>
                  </w:r>
                </w:p>
                <w:p>
                  <w:pPr>
                    <w:pStyle w:val="8"/>
                    <w:ind w:left="0" w:leftChars="0" w:firstLine="0" w:firstLineChars="0"/>
                    <w:jc w:val="left"/>
                    <w:rPr>
                      <w:rFonts w:hint="eastAsia" w:eastAsia="宋体"/>
                      <w:sz w:val="21"/>
                      <w:szCs w:val="21"/>
                      <w:lang w:eastAsia="zh-CN"/>
                    </w:rPr>
                  </w:pPr>
                  <w:r>
                    <w:rPr>
                      <w:rFonts w:hint="eastAsia"/>
                      <w:sz w:val="21"/>
                      <w:szCs w:val="21"/>
                      <w:lang w:eastAsia="zh-CN"/>
                    </w:rPr>
                    <w:t>危害性：易燃液体。刺激皮肤，吞食可能造成肺部损害。对水生生物有极高毒性，可能在水生环境中造成长期不利影响。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Merge w:val="continue"/>
                  <w:vAlign w:val="center"/>
                </w:tcPr>
                <w:p>
                  <w:pPr>
                    <w:spacing w:line="240" w:lineRule="auto"/>
                    <w:ind w:firstLine="0" w:firstLineChars="0"/>
                    <w:jc w:val="center"/>
                    <w:rPr>
                      <w:rFonts w:hint="eastAsia"/>
                      <w:sz w:val="21"/>
                      <w:szCs w:val="21"/>
                      <w:lang w:val="en-US" w:eastAsia="zh-CN"/>
                    </w:rPr>
                  </w:pPr>
                </w:p>
              </w:tc>
              <w:tc>
                <w:tcPr>
                  <w:tcW w:w="796" w:type="dxa"/>
                  <w:vMerge w:val="continue"/>
                  <w:vAlign w:val="center"/>
                </w:tcPr>
                <w:p>
                  <w:pPr>
                    <w:spacing w:line="240" w:lineRule="auto"/>
                    <w:ind w:firstLine="0" w:firstLineChars="0"/>
                    <w:jc w:val="center"/>
                    <w:rPr>
                      <w:rFonts w:hint="eastAsia"/>
                      <w:bCs/>
                      <w:sz w:val="21"/>
                      <w:szCs w:val="21"/>
                      <w:lang w:val="en-US" w:eastAsia="zh-CN"/>
                    </w:rPr>
                  </w:pPr>
                </w:p>
              </w:tc>
              <w:tc>
                <w:tcPr>
                  <w:tcW w:w="761"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壬烷：111-84-2</w:t>
                  </w:r>
                </w:p>
              </w:tc>
              <w:tc>
                <w:tcPr>
                  <w:tcW w:w="2654" w:type="dxa"/>
                  <w:vAlign w:val="center"/>
                </w:tcPr>
                <w:p>
                  <w:pPr>
                    <w:spacing w:line="240" w:lineRule="auto"/>
                    <w:ind w:firstLine="0" w:firstLineChars="0"/>
                    <w:jc w:val="left"/>
                    <w:rPr>
                      <w:rFonts w:hint="eastAsia" w:ascii="仿宋" w:hAnsi="仿宋" w:eastAsia="宋体" w:cs="仿宋"/>
                      <w:i w:val="0"/>
                      <w:iCs w:val="0"/>
                      <w:caps w:val="0"/>
                      <w:color w:val="333333"/>
                      <w:spacing w:val="0"/>
                      <w:sz w:val="21"/>
                      <w:szCs w:val="21"/>
                      <w:shd w:val="clear" w:fill="FFFFFF"/>
                      <w:lang w:eastAsia="zh-CN"/>
                    </w:rPr>
                  </w:pPr>
                  <w:r>
                    <w:rPr>
                      <w:rFonts w:hint="eastAsia" w:ascii="仿宋" w:hAnsi="仿宋" w:eastAsia="仿宋" w:cs="仿宋"/>
                      <w:i w:val="0"/>
                      <w:iCs w:val="0"/>
                      <w:caps w:val="0"/>
                      <w:color w:val="333333"/>
                      <w:spacing w:val="0"/>
                      <w:sz w:val="21"/>
                      <w:szCs w:val="21"/>
                      <w:shd w:val="clear" w:fill="FFFFFF"/>
                    </w:rPr>
                    <w:t>化学式为C</w:t>
                  </w:r>
                  <w:r>
                    <w:rPr>
                      <w:rFonts w:hint="eastAsia" w:ascii="仿宋" w:hAnsi="仿宋" w:eastAsia="仿宋" w:cs="仿宋"/>
                      <w:i w:val="0"/>
                      <w:iCs w:val="0"/>
                      <w:caps w:val="0"/>
                      <w:color w:val="333333"/>
                      <w:spacing w:val="0"/>
                      <w:sz w:val="21"/>
                      <w:szCs w:val="21"/>
                      <w:shd w:val="clear" w:fill="FFFFFF"/>
                      <w:vertAlign w:val="subscript"/>
                    </w:rPr>
                    <w:t>9</w:t>
                  </w:r>
                  <w:r>
                    <w:rPr>
                      <w:rFonts w:hint="eastAsia" w:ascii="仿宋" w:hAnsi="仿宋" w:eastAsia="仿宋" w:cs="仿宋"/>
                      <w:i w:val="0"/>
                      <w:iCs w:val="0"/>
                      <w:caps w:val="0"/>
                      <w:color w:val="333333"/>
                      <w:spacing w:val="0"/>
                      <w:sz w:val="21"/>
                      <w:szCs w:val="21"/>
                      <w:shd w:val="clear" w:fill="FFFFFF"/>
                    </w:rPr>
                    <w:t>H</w:t>
                  </w:r>
                  <w:r>
                    <w:rPr>
                      <w:rFonts w:hint="eastAsia" w:ascii="仿宋" w:hAnsi="仿宋" w:eastAsia="仿宋" w:cs="仿宋"/>
                      <w:i w:val="0"/>
                      <w:iCs w:val="0"/>
                      <w:caps w:val="0"/>
                      <w:color w:val="333333"/>
                      <w:spacing w:val="0"/>
                      <w:sz w:val="21"/>
                      <w:szCs w:val="21"/>
                      <w:shd w:val="clear" w:fill="FFFFFF"/>
                      <w:vertAlign w:val="subscript"/>
                    </w:rPr>
                    <w:t>20</w:t>
                  </w:r>
                  <w:r>
                    <w:rPr>
                      <w:rFonts w:hint="eastAsia" w:ascii="仿宋" w:hAnsi="仿宋" w:eastAsia="仿宋" w:cs="仿宋"/>
                      <w:i w:val="0"/>
                      <w:iCs w:val="0"/>
                      <w:caps w:val="0"/>
                      <w:color w:val="333333"/>
                      <w:spacing w:val="0"/>
                      <w:sz w:val="21"/>
                      <w:szCs w:val="21"/>
                      <w:shd w:val="clear" w:fill="FFFFFF"/>
                    </w:rPr>
                    <w:t>，为无色透明液体，分子量128.26</w:t>
                  </w:r>
                  <w:r>
                    <w:rPr>
                      <w:rFonts w:hint="eastAsia" w:ascii="仿宋" w:hAnsi="仿宋" w:eastAsia="宋体" w:cs="仿宋"/>
                      <w:i w:val="0"/>
                      <w:iCs w:val="0"/>
                      <w:caps w:val="0"/>
                      <w:color w:val="333333"/>
                      <w:spacing w:val="0"/>
                      <w:sz w:val="21"/>
                      <w:szCs w:val="21"/>
                      <w:shd w:val="clear" w:fill="FFFFFF"/>
                      <w:lang w:eastAsia="zh-CN"/>
                    </w:rPr>
                    <w:t>，熔点-53 ℃，沸点151℃，密 度0.72 g/cm³，闪 点31 ℃（CC）</w:t>
                  </w:r>
                </w:p>
              </w:tc>
              <w:tc>
                <w:tcPr>
                  <w:tcW w:w="3169" w:type="dxa"/>
                  <w:vAlign w:val="center"/>
                </w:tcPr>
                <w:p>
                  <w:pPr>
                    <w:pStyle w:val="8"/>
                    <w:ind w:left="0" w:leftChars="0" w:firstLine="0" w:firstLineChars="0"/>
                    <w:jc w:val="left"/>
                    <w:rPr>
                      <w:rFonts w:hint="eastAsia" w:eastAsia="宋体"/>
                      <w:sz w:val="21"/>
                      <w:szCs w:val="21"/>
                      <w:lang w:eastAsia="zh-CN"/>
                    </w:rPr>
                  </w:pPr>
                  <w:r>
                    <w:rPr>
                      <w:rFonts w:hint="eastAsia" w:eastAsia="宋体"/>
                      <w:sz w:val="21"/>
                      <w:szCs w:val="21"/>
                      <w:lang w:eastAsia="zh-CN"/>
                    </w:rPr>
                    <w:t>易燃的。对水生生物有毒，可能在水生环境中造成长期不利影响。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3</w:t>
                  </w:r>
                </w:p>
              </w:tc>
              <w:tc>
                <w:tcPr>
                  <w:tcW w:w="796" w:type="dxa"/>
                  <w:shd w:val="clear" w:color="auto" w:fill="auto"/>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bCs/>
                      <w:sz w:val="21"/>
                      <w:szCs w:val="21"/>
                      <w:lang w:val="en-US" w:eastAsia="zh-CN"/>
                    </w:rPr>
                    <w:t>苯甲醇</w:t>
                  </w:r>
                </w:p>
              </w:tc>
              <w:tc>
                <w:tcPr>
                  <w:tcW w:w="761"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100-51-6</w:t>
                  </w:r>
                </w:p>
              </w:tc>
              <w:tc>
                <w:tcPr>
                  <w:tcW w:w="2654"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rPr>
                      <w:rFonts w:hint="default" w:ascii="Times New Roman" w:hAnsi="Times New Roman" w:eastAsia="仿宋" w:cs="Times New Roman"/>
                      <w:i w:val="0"/>
                      <w:iCs w:val="0"/>
                      <w:caps w:val="0"/>
                      <w:color w:val="333333"/>
                      <w:spacing w:val="0"/>
                      <w:kern w:val="2"/>
                      <w:sz w:val="21"/>
                      <w:szCs w:val="21"/>
                      <w:shd w:val="clear" w:fill="FFFFFF"/>
                      <w:lang w:val="en-US" w:eastAsia="zh-CN" w:bidi="ar-SA"/>
                    </w:rPr>
                  </w:pPr>
                  <w:r>
                    <w:rPr>
                      <w:rFonts w:hint="default" w:ascii="Times New Roman" w:hAnsi="Times New Roman" w:eastAsia="仿宋" w:cs="Times New Roman"/>
                      <w:i w:val="0"/>
                      <w:iCs w:val="0"/>
                      <w:caps w:val="0"/>
                      <w:color w:val="333333"/>
                      <w:spacing w:val="0"/>
                      <w:sz w:val="21"/>
                      <w:szCs w:val="21"/>
                      <w:shd w:val="clear" w:fill="FFFFFF"/>
                    </w:rPr>
                    <w:t>化学式是C</w:t>
                  </w:r>
                  <w:r>
                    <w:rPr>
                      <w:rFonts w:hint="default" w:ascii="Times New Roman" w:hAnsi="Times New Roman" w:eastAsia="仿宋" w:cs="Times New Roman"/>
                      <w:i w:val="0"/>
                      <w:iCs w:val="0"/>
                      <w:caps w:val="0"/>
                      <w:color w:val="333333"/>
                      <w:spacing w:val="0"/>
                      <w:sz w:val="21"/>
                      <w:szCs w:val="21"/>
                      <w:shd w:val="clear" w:fill="FFFFFF"/>
                      <w:vertAlign w:val="subscript"/>
                    </w:rPr>
                    <w:t>7</w:t>
                  </w:r>
                  <w:r>
                    <w:rPr>
                      <w:rFonts w:hint="default" w:ascii="Times New Roman" w:hAnsi="Times New Roman" w:eastAsia="仿宋" w:cs="Times New Roman"/>
                      <w:i w:val="0"/>
                      <w:iCs w:val="0"/>
                      <w:caps w:val="0"/>
                      <w:color w:val="333333"/>
                      <w:spacing w:val="0"/>
                      <w:sz w:val="21"/>
                      <w:szCs w:val="21"/>
                      <w:shd w:val="clear" w:fill="FFFFFF"/>
                    </w:rPr>
                    <w:t>H</w:t>
                  </w:r>
                  <w:r>
                    <w:rPr>
                      <w:rFonts w:hint="default" w:ascii="Times New Roman" w:hAnsi="Times New Roman" w:eastAsia="仿宋" w:cs="Times New Roman"/>
                      <w:i w:val="0"/>
                      <w:iCs w:val="0"/>
                      <w:caps w:val="0"/>
                      <w:color w:val="333333"/>
                      <w:spacing w:val="0"/>
                      <w:sz w:val="21"/>
                      <w:szCs w:val="21"/>
                      <w:shd w:val="clear" w:fill="FFFFFF"/>
                      <w:vertAlign w:val="subscript"/>
                    </w:rPr>
                    <w:t>8</w:t>
                  </w:r>
                  <w:r>
                    <w:rPr>
                      <w:rFonts w:hint="default" w:ascii="Times New Roman" w:hAnsi="Times New Roman" w:eastAsia="仿宋" w:cs="Times New Roman"/>
                      <w:i w:val="0"/>
                      <w:iCs w:val="0"/>
                      <w:caps w:val="0"/>
                      <w:color w:val="333333"/>
                      <w:spacing w:val="0"/>
                      <w:sz w:val="21"/>
                      <w:szCs w:val="21"/>
                      <w:shd w:val="clear" w:fill="FFFFFF"/>
                    </w:rPr>
                    <w:t>O，熔点-15 ℃</w:t>
                  </w:r>
                  <w:r>
                    <w:rPr>
                      <w:rFonts w:hint="eastAsia" w:ascii="Times New Roman" w:hAnsi="Times New Roman" w:eastAsia="仿宋" w:cs="Times New Roman"/>
                      <w:i w:val="0"/>
                      <w:iCs w:val="0"/>
                      <w:caps w:val="0"/>
                      <w:color w:val="333333"/>
                      <w:spacing w:val="0"/>
                      <w:kern w:val="2"/>
                      <w:sz w:val="21"/>
                      <w:szCs w:val="21"/>
                      <w:shd w:val="clear" w:fill="FFFFFF"/>
                      <w:lang w:val="en-US" w:eastAsia="zh-CN" w:bidi="ar-SA"/>
                    </w:rPr>
                    <w:t>，</w:t>
                  </w:r>
                  <w:r>
                    <w:rPr>
                      <w:rFonts w:hint="default" w:ascii="Times New Roman" w:hAnsi="Times New Roman" w:eastAsia="仿宋" w:cs="Times New Roman"/>
                      <w:i w:val="0"/>
                      <w:iCs w:val="0"/>
                      <w:caps w:val="0"/>
                      <w:color w:val="333333"/>
                      <w:spacing w:val="0"/>
                      <w:kern w:val="2"/>
                      <w:sz w:val="21"/>
                      <w:szCs w:val="21"/>
                      <w:shd w:val="clear" w:fill="FFFFFF"/>
                      <w:lang w:val="en-US" w:eastAsia="zh-CN" w:bidi="ar-SA"/>
                    </w:rPr>
                    <w:t>沸 点</w:t>
                  </w:r>
                  <w:r>
                    <w:rPr>
                      <w:rFonts w:hint="eastAsia" w:ascii="Times New Roman" w:hAnsi="Times New Roman" w:eastAsia="仿宋" w:cs="Times New Roman"/>
                      <w:i w:val="0"/>
                      <w:iCs w:val="0"/>
                      <w:caps w:val="0"/>
                      <w:color w:val="333333"/>
                      <w:spacing w:val="0"/>
                      <w:kern w:val="2"/>
                      <w:sz w:val="21"/>
                      <w:szCs w:val="21"/>
                      <w:shd w:val="clear" w:fill="FFFFFF"/>
                      <w:lang w:val="en-US" w:eastAsia="zh-CN" w:bidi="ar-SA"/>
                    </w:rPr>
                    <w:t>：</w:t>
                  </w:r>
                  <w:r>
                    <w:rPr>
                      <w:rFonts w:hint="default" w:ascii="Times New Roman" w:hAnsi="Times New Roman" w:eastAsia="仿宋" w:cs="Times New Roman"/>
                      <w:i w:val="0"/>
                      <w:iCs w:val="0"/>
                      <w:caps w:val="0"/>
                      <w:color w:val="333333"/>
                      <w:spacing w:val="0"/>
                      <w:kern w:val="2"/>
                      <w:sz w:val="21"/>
                      <w:szCs w:val="21"/>
                      <w:shd w:val="clear" w:fill="FFFFFF"/>
                      <w:lang w:val="en-US" w:eastAsia="zh-CN" w:bidi="ar-SA"/>
                    </w:rPr>
                    <w:t>204.7 ℃</w:t>
                  </w:r>
                  <w:r>
                    <w:rPr>
                      <w:rFonts w:hint="eastAsia" w:ascii="Times New Roman" w:hAnsi="Times New Roman" w:eastAsia="仿宋" w:cs="Times New Roman"/>
                      <w:i w:val="0"/>
                      <w:iCs w:val="0"/>
                      <w:caps w:val="0"/>
                      <w:color w:val="333333"/>
                      <w:spacing w:val="0"/>
                      <w:kern w:val="2"/>
                      <w:sz w:val="21"/>
                      <w:szCs w:val="21"/>
                      <w:shd w:val="clear" w:fill="FFFFFF"/>
                      <w:lang w:val="en-US" w:eastAsia="zh-CN" w:bidi="ar-SA"/>
                    </w:rPr>
                    <w:t>，闪 点93.9 ℃，</w:t>
                  </w:r>
                  <w:r>
                    <w:rPr>
                      <w:rFonts w:hint="default" w:ascii="Times New Roman" w:hAnsi="Times New Roman" w:eastAsia="仿宋" w:cs="Times New Roman"/>
                      <w:i w:val="0"/>
                      <w:iCs w:val="0"/>
                      <w:caps w:val="0"/>
                      <w:color w:val="333333"/>
                      <w:spacing w:val="0"/>
                      <w:kern w:val="2"/>
                      <w:sz w:val="21"/>
                      <w:szCs w:val="21"/>
                      <w:shd w:val="clear" w:fill="FFFFFF"/>
                      <w:lang w:val="en-US" w:eastAsia="zh-CN" w:bidi="ar-SA"/>
                    </w:rPr>
                    <w:t>密度1.04 g/cm³</w:t>
                  </w:r>
                  <w:r>
                    <w:rPr>
                      <w:rFonts w:hint="eastAsia" w:ascii="Times New Roman" w:hAnsi="Times New Roman" w:eastAsia="仿宋" w:cs="Times New Roman"/>
                      <w:i w:val="0"/>
                      <w:iCs w:val="0"/>
                      <w:caps w:val="0"/>
                      <w:color w:val="333333"/>
                      <w:spacing w:val="0"/>
                      <w:kern w:val="2"/>
                      <w:sz w:val="21"/>
                      <w:szCs w:val="21"/>
                      <w:shd w:val="clear" w:fill="FFFFFF"/>
                      <w:lang w:val="en-US" w:eastAsia="zh-CN" w:bidi="ar-SA"/>
                    </w:rPr>
                    <w:t>，无色透明液体</w:t>
                  </w:r>
                </w:p>
                <w:p>
                  <w:pPr>
                    <w:spacing w:line="240" w:lineRule="auto"/>
                    <w:ind w:firstLine="0" w:firstLineChars="0"/>
                    <w:jc w:val="left"/>
                    <w:rPr>
                      <w:rFonts w:hint="eastAsia" w:ascii="仿宋" w:hAnsi="仿宋" w:eastAsia="宋体" w:cs="仿宋"/>
                      <w:i w:val="0"/>
                      <w:iCs w:val="0"/>
                      <w:caps w:val="0"/>
                      <w:color w:val="333333"/>
                      <w:spacing w:val="0"/>
                      <w:sz w:val="21"/>
                      <w:szCs w:val="21"/>
                      <w:shd w:val="clear" w:fill="FFFFFF"/>
                      <w:lang w:val="en-US" w:eastAsia="zh-CN"/>
                    </w:rPr>
                  </w:pPr>
                </w:p>
              </w:tc>
              <w:tc>
                <w:tcPr>
                  <w:tcW w:w="3169" w:type="dxa"/>
                  <w:vAlign w:val="center"/>
                </w:tcPr>
                <w:p>
                  <w:pPr>
                    <w:pStyle w:val="8"/>
                    <w:keepNext w:val="0"/>
                    <w:keepLines w:val="0"/>
                    <w:pageBreakBefore w:val="0"/>
                    <w:widowControl/>
                    <w:kinsoku/>
                    <w:wordWrap/>
                    <w:overflowPunct/>
                    <w:topLinePunct w:val="0"/>
                    <w:autoSpaceDE/>
                    <w:autoSpaceDN/>
                    <w:bidi w:val="0"/>
                    <w:adjustRightInd/>
                    <w:snapToGrid w:val="0"/>
                    <w:spacing w:before="0" w:after="0" w:line="260" w:lineRule="auto"/>
                    <w:ind w:left="0" w:leftChars="0" w:right="113" w:firstLine="0" w:firstLineChars="0"/>
                    <w:textAlignment w:val="auto"/>
                    <w:rPr>
                      <w:rFonts w:hint="eastAsia" w:ascii="Times New Roman" w:hAnsi="Times New Roman" w:eastAsia="宋体" w:cs="Times New Roman"/>
                      <w:b w:val="0"/>
                      <w:bCs/>
                      <w:i w:val="0"/>
                      <w:iCs w:val="0"/>
                      <w:caps w:val="0"/>
                      <w:color w:val="333333"/>
                      <w:spacing w:val="0"/>
                      <w:sz w:val="21"/>
                      <w:szCs w:val="21"/>
                      <w:shd w:val="clear" w:fill="FFFFFF"/>
                      <w:lang w:val="en-US" w:eastAsia="zh-CN"/>
                    </w:rPr>
                  </w:pPr>
                  <w:r>
                    <w:rPr>
                      <w:rFonts w:hint="eastAsia" w:ascii="Times New Roman" w:hAnsi="Times New Roman" w:eastAsia="宋体" w:cs="Times New Roman"/>
                      <w:b w:val="0"/>
                      <w:bCs/>
                      <w:i w:val="0"/>
                      <w:iCs w:val="0"/>
                      <w:caps w:val="0"/>
                      <w:color w:val="333333"/>
                      <w:spacing w:val="0"/>
                      <w:sz w:val="21"/>
                      <w:szCs w:val="21"/>
                      <w:shd w:val="clear" w:fill="FFFFFF"/>
                      <w:lang w:val="en-US" w:eastAsia="zh-CN"/>
                    </w:rPr>
                    <w:t>毒性：属低毒类。大鼠经口LD</w:t>
                  </w:r>
                  <w:r>
                    <w:rPr>
                      <w:rFonts w:hint="eastAsia" w:ascii="Times New Roman" w:hAnsi="Times New Roman" w:eastAsia="宋体" w:cs="Times New Roman"/>
                      <w:b w:val="0"/>
                      <w:bCs/>
                      <w:i w:val="0"/>
                      <w:iCs w:val="0"/>
                      <w:caps w:val="0"/>
                      <w:color w:val="333333"/>
                      <w:spacing w:val="0"/>
                      <w:sz w:val="21"/>
                      <w:szCs w:val="21"/>
                      <w:shd w:val="clear" w:fill="FFFFFF"/>
                      <w:vertAlign w:val="subscript"/>
                      <w:lang w:val="en-US" w:eastAsia="zh-CN"/>
                    </w:rPr>
                    <w:t>50</w:t>
                  </w:r>
                  <w:r>
                    <w:rPr>
                      <w:rFonts w:hint="eastAsia" w:ascii="Times New Roman" w:hAnsi="Times New Roman" w:eastAsia="宋体" w:cs="Times New Roman"/>
                      <w:b w:val="0"/>
                      <w:bCs/>
                      <w:i w:val="0"/>
                      <w:iCs w:val="0"/>
                      <w:caps w:val="0"/>
                      <w:color w:val="333333"/>
                      <w:spacing w:val="0"/>
                      <w:sz w:val="21"/>
                      <w:szCs w:val="21"/>
                      <w:shd w:val="clear" w:fill="FFFFFF"/>
                      <w:lang w:val="en-US" w:eastAsia="zh-CN"/>
                    </w:rPr>
                    <w:t>=</w:t>
                  </w:r>
                  <w:r>
                    <w:rPr>
                      <w:rFonts w:hint="eastAsia" w:cs="Times New Roman"/>
                      <w:b w:val="0"/>
                      <w:bCs/>
                      <w:i w:val="0"/>
                      <w:iCs w:val="0"/>
                      <w:caps w:val="0"/>
                      <w:color w:val="333333"/>
                      <w:spacing w:val="0"/>
                      <w:sz w:val="21"/>
                      <w:szCs w:val="21"/>
                      <w:shd w:val="clear" w:fill="FFFFFF"/>
                      <w:lang w:val="en-US" w:eastAsia="zh-CN"/>
                    </w:rPr>
                    <w:t>3100mg</w:t>
                  </w:r>
                  <w:r>
                    <w:rPr>
                      <w:rFonts w:hint="eastAsia" w:ascii="Times New Roman" w:hAnsi="Times New Roman" w:eastAsia="宋体" w:cs="Times New Roman"/>
                      <w:b w:val="0"/>
                      <w:bCs/>
                      <w:i w:val="0"/>
                      <w:iCs w:val="0"/>
                      <w:caps w:val="0"/>
                      <w:color w:val="333333"/>
                      <w:spacing w:val="0"/>
                      <w:sz w:val="21"/>
                      <w:szCs w:val="21"/>
                      <w:shd w:val="clear" w:fill="FFFFFF"/>
                      <w:lang w:val="en-US" w:eastAsia="zh-CN"/>
                    </w:rPr>
                    <w:t>/kg，小鼠经口LD</w:t>
                  </w:r>
                  <w:r>
                    <w:rPr>
                      <w:rFonts w:hint="eastAsia" w:ascii="Times New Roman" w:hAnsi="Times New Roman" w:eastAsia="宋体" w:cs="Times New Roman"/>
                      <w:b w:val="0"/>
                      <w:bCs/>
                      <w:i w:val="0"/>
                      <w:iCs w:val="0"/>
                      <w:caps w:val="0"/>
                      <w:color w:val="333333"/>
                      <w:spacing w:val="0"/>
                      <w:sz w:val="21"/>
                      <w:szCs w:val="21"/>
                      <w:shd w:val="clear" w:fill="FFFFFF"/>
                      <w:vertAlign w:val="subscript"/>
                      <w:lang w:val="en-US" w:eastAsia="zh-CN"/>
                    </w:rPr>
                    <w:t>50</w:t>
                  </w:r>
                  <w:r>
                    <w:rPr>
                      <w:rFonts w:hint="eastAsia" w:ascii="Times New Roman" w:hAnsi="Times New Roman" w:eastAsia="宋体" w:cs="Times New Roman"/>
                      <w:b w:val="0"/>
                      <w:bCs/>
                      <w:i w:val="0"/>
                      <w:iCs w:val="0"/>
                      <w:caps w:val="0"/>
                      <w:color w:val="333333"/>
                      <w:spacing w:val="0"/>
                      <w:sz w:val="21"/>
                      <w:szCs w:val="21"/>
                      <w:shd w:val="clear" w:fill="FFFFFF"/>
                      <w:lang w:val="en-US" w:eastAsia="zh-CN"/>
                    </w:rPr>
                    <w:t>=</w:t>
                  </w:r>
                  <w:r>
                    <w:rPr>
                      <w:rFonts w:hint="eastAsia" w:cs="Times New Roman"/>
                      <w:b w:val="0"/>
                      <w:bCs/>
                      <w:i w:val="0"/>
                      <w:iCs w:val="0"/>
                      <w:caps w:val="0"/>
                      <w:color w:val="333333"/>
                      <w:spacing w:val="0"/>
                      <w:sz w:val="21"/>
                      <w:szCs w:val="21"/>
                      <w:shd w:val="clear" w:fill="FFFFFF"/>
                      <w:lang w:val="en-US" w:eastAsia="zh-CN"/>
                    </w:rPr>
                    <w:t>1360</w:t>
                  </w:r>
                  <w:r>
                    <w:rPr>
                      <w:rFonts w:hint="eastAsia" w:ascii="Times New Roman" w:hAnsi="Times New Roman" w:eastAsia="宋体" w:cs="Times New Roman"/>
                      <w:b w:val="0"/>
                      <w:bCs/>
                      <w:i w:val="0"/>
                      <w:iCs w:val="0"/>
                      <w:caps w:val="0"/>
                      <w:color w:val="333333"/>
                      <w:spacing w:val="0"/>
                      <w:sz w:val="21"/>
                      <w:szCs w:val="21"/>
                      <w:shd w:val="clear" w:fill="FFFFFF"/>
                      <w:lang w:val="en-US" w:eastAsia="zh-CN"/>
                    </w:rPr>
                    <w:t>m</w:t>
                  </w:r>
                  <w:r>
                    <w:rPr>
                      <w:rFonts w:hint="eastAsia" w:cs="Times New Roman"/>
                      <w:b w:val="0"/>
                      <w:bCs/>
                      <w:i w:val="0"/>
                      <w:iCs w:val="0"/>
                      <w:caps w:val="0"/>
                      <w:color w:val="333333"/>
                      <w:spacing w:val="0"/>
                      <w:sz w:val="21"/>
                      <w:szCs w:val="21"/>
                      <w:shd w:val="clear" w:fill="FFFFFF"/>
                      <w:lang w:val="en-US" w:eastAsia="zh-CN"/>
                    </w:rPr>
                    <w:t>g</w:t>
                  </w:r>
                  <w:r>
                    <w:rPr>
                      <w:rFonts w:hint="eastAsia" w:ascii="Times New Roman" w:hAnsi="Times New Roman" w:eastAsia="宋体" w:cs="Times New Roman"/>
                      <w:b w:val="0"/>
                      <w:bCs/>
                      <w:i w:val="0"/>
                      <w:iCs w:val="0"/>
                      <w:caps w:val="0"/>
                      <w:color w:val="333333"/>
                      <w:spacing w:val="0"/>
                      <w:sz w:val="21"/>
                      <w:szCs w:val="21"/>
                      <w:shd w:val="clear" w:fill="FFFFFF"/>
                      <w:lang w:val="en-US" w:eastAsia="zh-CN"/>
                    </w:rPr>
                    <w:t>/kg。</w:t>
                  </w:r>
                </w:p>
                <w:p>
                  <w:pPr>
                    <w:spacing w:line="240" w:lineRule="auto"/>
                    <w:ind w:left="0" w:leftChars="0" w:firstLine="0" w:firstLineChars="0"/>
                    <w:jc w:val="left"/>
                    <w:rPr>
                      <w:rFonts w:hint="eastAsia"/>
                      <w:b w:val="0"/>
                      <w:bCs w:val="0"/>
                      <w:sz w:val="21"/>
                      <w:szCs w:val="21"/>
                      <w:lang w:eastAsia="zh-CN"/>
                    </w:rPr>
                  </w:pPr>
                  <w:r>
                    <w:rPr>
                      <w:rFonts w:hint="eastAsia"/>
                      <w:b w:val="0"/>
                      <w:bCs w:val="0"/>
                      <w:sz w:val="21"/>
                      <w:szCs w:val="21"/>
                      <w:lang w:eastAsia="zh-CN"/>
                    </w:rPr>
                    <w:t>危害性：吸入、与皮肤接触和吞食是有毒的，皮肤接触可引起过敏。刺激眼睛、呼吸系统和皮肤。</w:t>
                  </w:r>
                </w:p>
                <w:p>
                  <w:pPr>
                    <w:spacing w:line="240" w:lineRule="auto"/>
                    <w:ind w:left="0" w:leftChars="0" w:firstLine="0" w:firstLineChars="0"/>
                    <w:jc w:val="left"/>
                    <w:rPr>
                      <w:rFonts w:hint="eastAsia"/>
                      <w:b w:val="0"/>
                      <w:bCs w:val="0"/>
                      <w:sz w:val="21"/>
                      <w:szCs w:val="21"/>
                      <w:lang w:eastAsia="zh-CN"/>
                    </w:rPr>
                  </w:pPr>
                  <w:r>
                    <w:rPr>
                      <w:rFonts w:hint="eastAsia"/>
                      <w:b w:val="0"/>
                      <w:bCs w:val="0"/>
                      <w:sz w:val="21"/>
                      <w:szCs w:val="21"/>
                      <w:lang w:eastAsia="zh-CN"/>
                    </w:rPr>
                    <w:t>危险特性：遇明火、高热可燃，燃烧产物：一氧化碳、二氧化碳。</w:t>
                  </w:r>
                </w:p>
                <w:p>
                  <w:pPr>
                    <w:spacing w:line="240" w:lineRule="auto"/>
                    <w:ind w:left="0" w:leftChars="0" w:firstLine="0" w:firstLineChars="0"/>
                    <w:jc w:val="left"/>
                    <w:rPr>
                      <w:rFonts w:hint="default" w:eastAsia="宋体"/>
                      <w:sz w:val="21"/>
                      <w:szCs w:val="21"/>
                      <w:lang w:val="en-US" w:eastAsia="zh-CN"/>
                    </w:rPr>
                  </w:pPr>
                  <w:r>
                    <w:rPr>
                      <w:rFonts w:hint="eastAsia"/>
                      <w:b w:val="0"/>
                      <w:bCs w:val="0"/>
                      <w:sz w:val="21"/>
                      <w:szCs w:val="21"/>
                      <w:lang w:eastAsia="zh-CN"/>
                    </w:rPr>
                    <w:t>健康危害：</w:t>
                  </w:r>
                  <w:r>
                    <w:rPr>
                      <w:rFonts w:hint="eastAsia"/>
                      <w:sz w:val="21"/>
                      <w:szCs w:val="21"/>
                      <w:lang w:eastAsia="zh-CN"/>
                    </w:rPr>
                    <w:t>具有麻醉作用，对眼、上呼吸道、皮肤有刺激作用。摄入引起头痛、恶心、呕吐、胃肠道刺激、惊厥、昏迷。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4</w:t>
                  </w:r>
                </w:p>
              </w:tc>
              <w:tc>
                <w:tcPr>
                  <w:tcW w:w="796" w:type="dxa"/>
                  <w:vAlign w:val="center"/>
                </w:tcPr>
                <w:p>
                  <w:pPr>
                    <w:spacing w:line="240" w:lineRule="auto"/>
                    <w:ind w:firstLine="0" w:firstLineChars="0"/>
                    <w:jc w:val="center"/>
                    <w:rPr>
                      <w:rFonts w:hint="eastAsia"/>
                      <w:bCs/>
                      <w:sz w:val="21"/>
                      <w:szCs w:val="21"/>
                      <w:lang w:val="en-US" w:eastAsia="zh-CN"/>
                    </w:rPr>
                  </w:pPr>
                  <w:r>
                    <w:rPr>
                      <w:rFonts w:hint="eastAsia"/>
                      <w:bCs/>
                      <w:sz w:val="21"/>
                      <w:szCs w:val="21"/>
                      <w:lang w:val="en-US" w:eastAsia="zh-CN"/>
                    </w:rPr>
                    <w:t>乙二醇</w:t>
                  </w:r>
                </w:p>
              </w:tc>
              <w:tc>
                <w:tcPr>
                  <w:tcW w:w="761"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107-21-1</w:t>
                  </w:r>
                </w:p>
              </w:tc>
              <w:tc>
                <w:tcPr>
                  <w:tcW w:w="2654" w:type="dxa"/>
                  <w:vAlign w:val="center"/>
                </w:tcPr>
                <w:p>
                  <w:pPr>
                    <w:spacing w:line="240" w:lineRule="auto"/>
                    <w:ind w:firstLine="0" w:firstLineChars="0"/>
                    <w:jc w:val="left"/>
                    <w:rPr>
                      <w:rFonts w:hint="default" w:eastAsia="宋体"/>
                      <w:b w:val="0"/>
                      <w:bCs/>
                      <w:sz w:val="21"/>
                      <w:szCs w:val="21"/>
                      <w:lang w:val="en-US" w:eastAsia="zh-CN"/>
                    </w:rPr>
                  </w:pPr>
                  <w:r>
                    <w:rPr>
                      <w:rFonts w:hint="default" w:eastAsia="宋体"/>
                      <w:b w:val="0"/>
                      <w:bCs/>
                      <w:sz w:val="21"/>
                      <w:szCs w:val="21"/>
                      <w:lang w:val="en-US" w:eastAsia="zh-CN"/>
                    </w:rPr>
                    <w:t>化学式为(CH</w:t>
                  </w:r>
                  <w:r>
                    <w:rPr>
                      <w:rFonts w:hint="default" w:eastAsia="宋体"/>
                      <w:b w:val="0"/>
                      <w:bCs/>
                      <w:sz w:val="21"/>
                      <w:szCs w:val="21"/>
                      <w:vertAlign w:val="subscript"/>
                      <w:lang w:val="en-US" w:eastAsia="zh-CN"/>
                    </w:rPr>
                    <w:t>2</w:t>
                  </w:r>
                  <w:r>
                    <w:rPr>
                      <w:rFonts w:hint="default" w:eastAsia="宋体"/>
                      <w:b w:val="0"/>
                      <w:bCs/>
                      <w:sz w:val="21"/>
                      <w:szCs w:val="21"/>
                      <w:lang w:val="en-US" w:eastAsia="zh-CN"/>
                    </w:rPr>
                    <w:t>OH)</w:t>
                  </w:r>
                  <w:r>
                    <w:rPr>
                      <w:rFonts w:hint="default" w:eastAsia="宋体"/>
                      <w:b w:val="0"/>
                      <w:bCs/>
                      <w:sz w:val="21"/>
                      <w:szCs w:val="21"/>
                      <w:vertAlign w:val="subscript"/>
                      <w:lang w:val="en-US" w:eastAsia="zh-CN"/>
                    </w:rPr>
                    <w:t>2</w:t>
                  </w:r>
                  <w:r>
                    <w:rPr>
                      <w:rFonts w:hint="eastAsia"/>
                      <w:b w:val="0"/>
                      <w:bCs/>
                      <w:lang w:val="en-US" w:eastAsia="zh-CN"/>
                    </w:rPr>
                    <w:t>、</w:t>
                  </w:r>
                  <w:r>
                    <w:rPr>
                      <w:rFonts w:hint="eastAsia" w:ascii="Times New Roman" w:hAnsi="Times New Roman" w:eastAsia="宋体" w:cs="Times New Roman"/>
                      <w:b w:val="0"/>
                      <w:bCs/>
                      <w:i w:val="0"/>
                      <w:iCs w:val="0"/>
                      <w:caps w:val="0"/>
                      <w:color w:val="333333"/>
                      <w:spacing w:val="0"/>
                      <w:sz w:val="21"/>
                      <w:szCs w:val="21"/>
                      <w:shd w:val="clear" w:fill="FFFFFF"/>
                      <w:lang w:val="en-US" w:eastAsia="zh-CN"/>
                    </w:rPr>
                    <w:t>无色无臭、有甜味液体，</w:t>
                  </w:r>
                  <w:r>
                    <w:rPr>
                      <w:rFonts w:hint="default" w:ascii="Times New Roman" w:hAnsi="Times New Roman" w:eastAsia="仿宋" w:cs="Times New Roman"/>
                      <w:b w:val="0"/>
                      <w:bCs/>
                      <w:i w:val="0"/>
                      <w:iCs w:val="0"/>
                      <w:caps w:val="0"/>
                      <w:color w:val="333333"/>
                      <w:spacing w:val="0"/>
                      <w:sz w:val="21"/>
                      <w:szCs w:val="21"/>
                      <w:shd w:val="clear" w:fill="FFFFFF"/>
                    </w:rPr>
                    <w:t>熔点-1</w:t>
                  </w:r>
                  <w:r>
                    <w:rPr>
                      <w:rFonts w:hint="eastAsia" w:eastAsia="宋体" w:cs="Times New Roman"/>
                      <w:b w:val="0"/>
                      <w:bCs/>
                      <w:i w:val="0"/>
                      <w:iCs w:val="0"/>
                      <w:caps w:val="0"/>
                      <w:color w:val="333333"/>
                      <w:spacing w:val="0"/>
                      <w:sz w:val="21"/>
                      <w:szCs w:val="21"/>
                      <w:shd w:val="clear" w:fill="FFFFFF"/>
                      <w:lang w:val="en-US" w:eastAsia="zh-CN"/>
                    </w:rPr>
                    <w:t>2.9</w:t>
                  </w:r>
                  <w:r>
                    <w:rPr>
                      <w:rFonts w:hint="default" w:ascii="Times New Roman" w:hAnsi="Times New Roman" w:eastAsia="仿宋" w:cs="Times New Roman"/>
                      <w:b w:val="0"/>
                      <w:bCs/>
                      <w:i w:val="0"/>
                      <w:iCs w:val="0"/>
                      <w:caps w:val="0"/>
                      <w:color w:val="333333"/>
                      <w:spacing w:val="0"/>
                      <w:sz w:val="21"/>
                      <w:szCs w:val="21"/>
                      <w:shd w:val="clear" w:fill="FFFFFF"/>
                    </w:rPr>
                    <w:t xml:space="preserve"> ℃</w:t>
                  </w:r>
                  <w:r>
                    <w:rPr>
                      <w:rFonts w:hint="eastAsia" w:ascii="Times New Roman" w:hAnsi="Times New Roman" w:eastAsia="仿宋" w:cs="Times New Roman"/>
                      <w:b w:val="0"/>
                      <w:bCs/>
                      <w:i w:val="0"/>
                      <w:iCs w:val="0"/>
                      <w:caps w:val="0"/>
                      <w:color w:val="333333"/>
                      <w:spacing w:val="0"/>
                      <w:kern w:val="2"/>
                      <w:sz w:val="21"/>
                      <w:szCs w:val="21"/>
                      <w:shd w:val="clear" w:fill="FFFFFF"/>
                      <w:lang w:val="en-US" w:eastAsia="zh-CN" w:bidi="ar-SA"/>
                    </w:rPr>
                    <w:t>，</w:t>
                  </w:r>
                  <w:r>
                    <w:rPr>
                      <w:rFonts w:hint="default" w:ascii="Times New Roman" w:hAnsi="Times New Roman" w:eastAsia="仿宋" w:cs="Times New Roman"/>
                      <w:b w:val="0"/>
                      <w:bCs/>
                      <w:i w:val="0"/>
                      <w:iCs w:val="0"/>
                      <w:caps w:val="0"/>
                      <w:color w:val="333333"/>
                      <w:spacing w:val="0"/>
                      <w:kern w:val="2"/>
                      <w:sz w:val="21"/>
                      <w:szCs w:val="21"/>
                      <w:shd w:val="clear" w:fill="FFFFFF"/>
                      <w:lang w:val="en-US" w:eastAsia="zh-CN" w:bidi="ar-SA"/>
                    </w:rPr>
                    <w:t>沸 点</w:t>
                  </w:r>
                  <w:r>
                    <w:rPr>
                      <w:rFonts w:hint="eastAsia" w:ascii="Times New Roman" w:hAnsi="Times New Roman" w:eastAsia="仿宋" w:cs="Times New Roman"/>
                      <w:b w:val="0"/>
                      <w:bCs/>
                      <w:i w:val="0"/>
                      <w:iCs w:val="0"/>
                      <w:caps w:val="0"/>
                      <w:color w:val="333333"/>
                      <w:spacing w:val="0"/>
                      <w:kern w:val="2"/>
                      <w:sz w:val="21"/>
                      <w:szCs w:val="21"/>
                      <w:shd w:val="clear" w:fill="FFFFFF"/>
                      <w:lang w:val="en-US" w:eastAsia="zh-CN" w:bidi="ar-SA"/>
                    </w:rPr>
                    <w:t>：</w:t>
                  </w:r>
                  <w:r>
                    <w:rPr>
                      <w:rFonts w:hint="eastAsia" w:eastAsia="仿宋" w:cs="Times New Roman"/>
                      <w:b w:val="0"/>
                      <w:bCs/>
                      <w:i w:val="0"/>
                      <w:iCs w:val="0"/>
                      <w:caps w:val="0"/>
                      <w:color w:val="333333"/>
                      <w:spacing w:val="0"/>
                      <w:kern w:val="2"/>
                      <w:sz w:val="21"/>
                      <w:szCs w:val="21"/>
                      <w:shd w:val="clear" w:fill="FFFFFF"/>
                      <w:lang w:val="en-US" w:eastAsia="zh-CN" w:bidi="ar-SA"/>
                    </w:rPr>
                    <w:t>197.3</w:t>
                  </w:r>
                  <w:r>
                    <w:rPr>
                      <w:rFonts w:hint="default" w:ascii="Times New Roman" w:hAnsi="Times New Roman" w:eastAsia="仿宋" w:cs="Times New Roman"/>
                      <w:b w:val="0"/>
                      <w:bCs/>
                      <w:i w:val="0"/>
                      <w:iCs w:val="0"/>
                      <w:caps w:val="0"/>
                      <w:color w:val="333333"/>
                      <w:spacing w:val="0"/>
                      <w:kern w:val="2"/>
                      <w:sz w:val="21"/>
                      <w:szCs w:val="21"/>
                      <w:shd w:val="clear" w:fill="FFFFFF"/>
                      <w:lang w:val="en-US" w:eastAsia="zh-CN" w:bidi="ar-SA"/>
                    </w:rPr>
                    <w:t xml:space="preserve"> ℃</w:t>
                  </w:r>
                  <w:r>
                    <w:rPr>
                      <w:rFonts w:hint="eastAsia" w:ascii="Times New Roman" w:hAnsi="Times New Roman" w:eastAsia="仿宋" w:cs="Times New Roman"/>
                      <w:b w:val="0"/>
                      <w:bCs/>
                      <w:i w:val="0"/>
                      <w:iCs w:val="0"/>
                      <w:caps w:val="0"/>
                      <w:color w:val="333333"/>
                      <w:spacing w:val="0"/>
                      <w:kern w:val="2"/>
                      <w:sz w:val="21"/>
                      <w:szCs w:val="21"/>
                      <w:shd w:val="clear" w:fill="FFFFFF"/>
                      <w:lang w:val="en-US" w:eastAsia="zh-CN" w:bidi="ar-SA"/>
                    </w:rPr>
                    <w:t>，闪 点</w:t>
                  </w:r>
                  <w:r>
                    <w:rPr>
                      <w:rFonts w:hint="eastAsia" w:eastAsia="仿宋" w:cs="Times New Roman"/>
                      <w:b w:val="0"/>
                      <w:bCs/>
                      <w:i w:val="0"/>
                      <w:iCs w:val="0"/>
                      <w:caps w:val="0"/>
                      <w:color w:val="333333"/>
                      <w:spacing w:val="0"/>
                      <w:kern w:val="2"/>
                      <w:sz w:val="21"/>
                      <w:szCs w:val="21"/>
                      <w:shd w:val="clear" w:fill="FFFFFF"/>
                      <w:lang w:val="en-US" w:eastAsia="zh-CN" w:bidi="ar-SA"/>
                    </w:rPr>
                    <w:t>111.1</w:t>
                  </w:r>
                  <w:r>
                    <w:rPr>
                      <w:rFonts w:hint="eastAsia" w:ascii="Times New Roman" w:hAnsi="Times New Roman" w:eastAsia="仿宋" w:cs="Times New Roman"/>
                      <w:b w:val="0"/>
                      <w:bCs/>
                      <w:i w:val="0"/>
                      <w:iCs w:val="0"/>
                      <w:caps w:val="0"/>
                      <w:color w:val="333333"/>
                      <w:spacing w:val="0"/>
                      <w:kern w:val="2"/>
                      <w:sz w:val="21"/>
                      <w:szCs w:val="21"/>
                      <w:shd w:val="clear" w:fill="FFFFFF"/>
                      <w:lang w:val="en-US" w:eastAsia="zh-CN" w:bidi="ar-SA"/>
                    </w:rPr>
                    <w:t>℃，</w:t>
                  </w:r>
                  <w:r>
                    <w:rPr>
                      <w:rFonts w:hint="default" w:ascii="Times New Roman" w:hAnsi="Times New Roman" w:eastAsia="仿宋" w:cs="Times New Roman"/>
                      <w:b w:val="0"/>
                      <w:bCs/>
                      <w:i w:val="0"/>
                      <w:iCs w:val="0"/>
                      <w:caps w:val="0"/>
                      <w:color w:val="333333"/>
                      <w:spacing w:val="0"/>
                      <w:kern w:val="2"/>
                      <w:sz w:val="21"/>
                      <w:szCs w:val="21"/>
                      <w:shd w:val="clear" w:fill="FFFFFF"/>
                      <w:lang w:val="en-US" w:eastAsia="zh-CN" w:bidi="ar-SA"/>
                    </w:rPr>
                    <w:t>密度1.</w:t>
                  </w:r>
                  <w:r>
                    <w:rPr>
                      <w:rFonts w:hint="eastAsia" w:eastAsia="仿宋" w:cs="Times New Roman"/>
                      <w:b w:val="0"/>
                      <w:bCs/>
                      <w:i w:val="0"/>
                      <w:iCs w:val="0"/>
                      <w:caps w:val="0"/>
                      <w:color w:val="333333"/>
                      <w:spacing w:val="0"/>
                      <w:kern w:val="2"/>
                      <w:sz w:val="21"/>
                      <w:szCs w:val="21"/>
                      <w:shd w:val="clear" w:fill="FFFFFF"/>
                      <w:lang w:val="en-US" w:eastAsia="zh-CN" w:bidi="ar-SA"/>
                    </w:rPr>
                    <w:t>113</w:t>
                  </w:r>
                  <w:r>
                    <w:rPr>
                      <w:rFonts w:hint="default" w:ascii="Times New Roman" w:hAnsi="Times New Roman" w:eastAsia="仿宋" w:cs="Times New Roman"/>
                      <w:b w:val="0"/>
                      <w:bCs/>
                      <w:i w:val="0"/>
                      <w:iCs w:val="0"/>
                      <w:caps w:val="0"/>
                      <w:color w:val="333333"/>
                      <w:spacing w:val="0"/>
                      <w:kern w:val="2"/>
                      <w:sz w:val="21"/>
                      <w:szCs w:val="21"/>
                      <w:shd w:val="clear" w:fill="FFFFFF"/>
                      <w:lang w:val="en-US" w:eastAsia="zh-CN" w:bidi="ar-SA"/>
                    </w:rPr>
                    <w:t xml:space="preserve"> g/cm³</w:t>
                  </w:r>
                  <w:r>
                    <w:rPr>
                      <w:rFonts w:hint="eastAsia" w:ascii="Times New Roman" w:hAnsi="Times New Roman" w:eastAsia="仿宋" w:cs="Times New Roman"/>
                      <w:b w:val="0"/>
                      <w:bCs/>
                      <w:i w:val="0"/>
                      <w:iCs w:val="0"/>
                      <w:caps w:val="0"/>
                      <w:color w:val="333333"/>
                      <w:spacing w:val="0"/>
                      <w:kern w:val="2"/>
                      <w:sz w:val="21"/>
                      <w:szCs w:val="21"/>
                      <w:shd w:val="clear" w:fill="FFFFFF"/>
                      <w:lang w:val="en-US" w:eastAsia="zh-CN" w:bidi="ar-SA"/>
                    </w:rPr>
                    <w:t>，</w:t>
                  </w:r>
                  <w:r>
                    <w:rPr>
                      <w:rFonts w:hint="eastAsia" w:ascii="Times New Roman" w:hAnsi="Times New Roman" w:eastAsia="宋体" w:cs="Times New Roman"/>
                      <w:b w:val="0"/>
                      <w:bCs/>
                      <w:i w:val="0"/>
                      <w:iCs w:val="0"/>
                      <w:caps w:val="0"/>
                      <w:color w:val="333333"/>
                      <w:spacing w:val="0"/>
                      <w:sz w:val="21"/>
                      <w:szCs w:val="21"/>
                      <w:shd w:val="clear" w:fill="FFFFFF"/>
                      <w:lang w:val="en-US" w:eastAsia="zh-CN"/>
                    </w:rPr>
                    <w:t>乙二醇能与水、丙酮互溶，但在醚类中溶解度较小。</w:t>
                  </w:r>
                </w:p>
              </w:tc>
              <w:tc>
                <w:tcPr>
                  <w:tcW w:w="3169" w:type="dxa"/>
                  <w:vAlign w:val="center"/>
                </w:tcPr>
                <w:p>
                  <w:pPr>
                    <w:pStyle w:val="8"/>
                    <w:keepNext w:val="0"/>
                    <w:keepLines w:val="0"/>
                    <w:pageBreakBefore w:val="0"/>
                    <w:widowControl/>
                    <w:kinsoku/>
                    <w:wordWrap/>
                    <w:overflowPunct/>
                    <w:topLinePunct w:val="0"/>
                    <w:autoSpaceDE/>
                    <w:autoSpaceDN/>
                    <w:bidi w:val="0"/>
                    <w:adjustRightInd/>
                    <w:snapToGrid w:val="0"/>
                    <w:spacing w:before="0" w:after="0" w:line="260" w:lineRule="auto"/>
                    <w:ind w:left="0" w:leftChars="0" w:right="113" w:firstLine="0" w:firstLineChars="0"/>
                    <w:textAlignment w:val="auto"/>
                    <w:rPr>
                      <w:rFonts w:hint="eastAsia" w:ascii="Times New Roman" w:hAnsi="Times New Roman" w:eastAsia="宋体" w:cs="Times New Roman"/>
                      <w:b w:val="0"/>
                      <w:bCs/>
                      <w:i w:val="0"/>
                      <w:iCs w:val="0"/>
                      <w:caps w:val="0"/>
                      <w:color w:val="333333"/>
                      <w:spacing w:val="0"/>
                      <w:sz w:val="21"/>
                      <w:szCs w:val="21"/>
                      <w:shd w:val="clear" w:fill="FFFFFF"/>
                      <w:lang w:val="en-US" w:eastAsia="zh-CN"/>
                    </w:rPr>
                  </w:pPr>
                  <w:r>
                    <w:rPr>
                      <w:rFonts w:hint="eastAsia" w:ascii="Times New Roman" w:hAnsi="Times New Roman" w:eastAsia="宋体" w:cs="Times New Roman"/>
                      <w:b w:val="0"/>
                      <w:bCs/>
                      <w:i w:val="0"/>
                      <w:iCs w:val="0"/>
                      <w:caps w:val="0"/>
                      <w:color w:val="333333"/>
                      <w:spacing w:val="0"/>
                      <w:sz w:val="21"/>
                      <w:szCs w:val="21"/>
                      <w:shd w:val="clear" w:fill="FFFFFF"/>
                      <w:lang w:val="en-US" w:eastAsia="zh-CN"/>
                    </w:rPr>
                    <w:t>毒性：属低毒类。大鼠经口LD</w:t>
                  </w:r>
                  <w:r>
                    <w:rPr>
                      <w:rFonts w:hint="eastAsia" w:ascii="Times New Roman" w:hAnsi="Times New Roman" w:eastAsia="宋体" w:cs="Times New Roman"/>
                      <w:b w:val="0"/>
                      <w:bCs/>
                      <w:i w:val="0"/>
                      <w:iCs w:val="0"/>
                      <w:caps w:val="0"/>
                      <w:color w:val="333333"/>
                      <w:spacing w:val="0"/>
                      <w:sz w:val="21"/>
                      <w:szCs w:val="21"/>
                      <w:shd w:val="clear" w:fill="FFFFFF"/>
                      <w:vertAlign w:val="subscript"/>
                      <w:lang w:val="en-US" w:eastAsia="zh-CN"/>
                    </w:rPr>
                    <w:t>50</w:t>
                  </w:r>
                  <w:r>
                    <w:rPr>
                      <w:rFonts w:hint="eastAsia" w:ascii="Times New Roman" w:hAnsi="Times New Roman" w:eastAsia="宋体" w:cs="Times New Roman"/>
                      <w:b w:val="0"/>
                      <w:bCs/>
                      <w:i w:val="0"/>
                      <w:iCs w:val="0"/>
                      <w:caps w:val="0"/>
                      <w:color w:val="333333"/>
                      <w:spacing w:val="0"/>
                      <w:sz w:val="21"/>
                      <w:szCs w:val="21"/>
                      <w:shd w:val="clear" w:fill="FFFFFF"/>
                      <w:lang w:val="en-US" w:eastAsia="zh-CN"/>
                    </w:rPr>
                    <w:t>=5.8mL/kg，小鼠经口LD</w:t>
                  </w:r>
                  <w:r>
                    <w:rPr>
                      <w:rFonts w:hint="eastAsia" w:ascii="Times New Roman" w:hAnsi="Times New Roman" w:eastAsia="宋体" w:cs="Times New Roman"/>
                      <w:b w:val="0"/>
                      <w:bCs/>
                      <w:i w:val="0"/>
                      <w:iCs w:val="0"/>
                      <w:caps w:val="0"/>
                      <w:color w:val="333333"/>
                      <w:spacing w:val="0"/>
                      <w:sz w:val="21"/>
                      <w:szCs w:val="21"/>
                      <w:shd w:val="clear" w:fill="FFFFFF"/>
                      <w:vertAlign w:val="subscript"/>
                      <w:lang w:val="en-US" w:eastAsia="zh-CN"/>
                    </w:rPr>
                    <w:t>50</w:t>
                  </w:r>
                  <w:r>
                    <w:rPr>
                      <w:rFonts w:hint="eastAsia" w:ascii="Times New Roman" w:hAnsi="Times New Roman" w:eastAsia="宋体" w:cs="Times New Roman"/>
                      <w:b w:val="0"/>
                      <w:bCs/>
                      <w:i w:val="0"/>
                      <w:iCs w:val="0"/>
                      <w:caps w:val="0"/>
                      <w:color w:val="333333"/>
                      <w:spacing w:val="0"/>
                      <w:sz w:val="21"/>
                      <w:szCs w:val="21"/>
                      <w:shd w:val="clear" w:fill="FFFFFF"/>
                      <w:lang w:val="en-US" w:eastAsia="zh-CN"/>
                    </w:rPr>
                    <w:t>=1.31~13.8mL/kg。</w:t>
                  </w:r>
                </w:p>
                <w:p>
                  <w:pPr>
                    <w:pStyle w:val="8"/>
                    <w:keepNext w:val="0"/>
                    <w:keepLines w:val="0"/>
                    <w:pageBreakBefore w:val="0"/>
                    <w:widowControl/>
                    <w:kinsoku/>
                    <w:wordWrap/>
                    <w:overflowPunct/>
                    <w:topLinePunct w:val="0"/>
                    <w:autoSpaceDE/>
                    <w:autoSpaceDN/>
                    <w:bidi w:val="0"/>
                    <w:adjustRightInd/>
                    <w:snapToGrid w:val="0"/>
                    <w:spacing w:before="0" w:after="0" w:line="260" w:lineRule="auto"/>
                    <w:ind w:left="0" w:leftChars="0" w:right="113" w:firstLine="0" w:firstLineChars="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i w:val="0"/>
                      <w:iCs w:val="0"/>
                      <w:caps w:val="0"/>
                      <w:color w:val="333333"/>
                      <w:spacing w:val="0"/>
                      <w:sz w:val="21"/>
                      <w:szCs w:val="21"/>
                      <w:shd w:val="clear" w:fill="FFFFFF"/>
                      <w:lang w:val="en-US" w:eastAsia="zh-CN"/>
                    </w:rPr>
                    <w:t>危险特性：遇明火、高热或与氧化剂接触，有引起燃烧爆炸的危险。若遇高热，容器内压增大，有开裂和爆炸的危险。</w:t>
                  </w:r>
                  <w:r>
                    <w:rPr>
                      <w:rFonts w:hint="eastAsia"/>
                      <w:b w:val="0"/>
                      <w:bCs/>
                      <w:sz w:val="21"/>
                      <w:szCs w:val="21"/>
                      <w:lang w:eastAsia="zh-CN"/>
                    </w:rPr>
                    <w:t>健康危害：</w:t>
                  </w:r>
                  <w:r>
                    <w:rPr>
                      <w:rFonts w:hint="eastAsia" w:ascii="Times New Roman" w:hAnsi="Times New Roman" w:eastAsia="宋体" w:cs="Times New Roman"/>
                      <w:b w:val="0"/>
                      <w:bCs/>
                      <w:i w:val="0"/>
                      <w:iCs w:val="0"/>
                      <w:caps w:val="0"/>
                      <w:color w:val="333333"/>
                      <w:spacing w:val="0"/>
                      <w:sz w:val="21"/>
                      <w:szCs w:val="21"/>
                      <w:shd w:val="clear" w:fill="FFFFFF"/>
                      <w:lang w:val="en-US" w:eastAsia="zh-CN"/>
                    </w:rPr>
                    <w:t>吸入中毒表现为反复发作性昏厥，并可有眼球震颤，淋巴细胞增多。 口服后急性中毒分三个阶段：第一阶段主要为中枢神经系统症状，轻者似乙醇中毒表现， 重者迅速产生昏迷、抽搐，最后死亡；第二阶段，心肺症状明显，严重病例可有肺水肿，支气管肺炎，心力衰竭；第三阶段主要表现为不同程度肾功能衰竭。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1" w:hRule="atLeast"/>
                <w:jc w:val="center"/>
              </w:trPr>
              <w:tc>
                <w:tcPr>
                  <w:tcW w:w="446" w:type="dxa"/>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5</w:t>
                  </w:r>
                </w:p>
              </w:tc>
              <w:tc>
                <w:tcPr>
                  <w:tcW w:w="796" w:type="dxa"/>
                  <w:vAlign w:val="center"/>
                </w:tcPr>
                <w:p>
                  <w:pPr>
                    <w:spacing w:line="240" w:lineRule="auto"/>
                    <w:ind w:firstLine="0" w:firstLineChars="0"/>
                    <w:jc w:val="center"/>
                    <w:rPr>
                      <w:rFonts w:hint="eastAsia"/>
                      <w:bCs/>
                      <w:sz w:val="21"/>
                      <w:szCs w:val="21"/>
                      <w:lang w:val="en-US" w:eastAsia="zh-CN"/>
                    </w:rPr>
                  </w:pPr>
                  <w:r>
                    <w:rPr>
                      <w:rFonts w:hint="eastAsia"/>
                      <w:bCs/>
                      <w:sz w:val="21"/>
                      <w:szCs w:val="21"/>
                      <w:lang w:val="en-US" w:eastAsia="zh-CN"/>
                    </w:rPr>
                    <w:t>丙硫克百威</w:t>
                  </w:r>
                </w:p>
              </w:tc>
              <w:tc>
                <w:tcPr>
                  <w:tcW w:w="761" w:type="dxa"/>
                  <w:vAlign w:val="center"/>
                </w:tcPr>
                <w:p>
                  <w:pPr>
                    <w:spacing w:line="240" w:lineRule="auto"/>
                    <w:ind w:firstLine="0" w:firstLineChars="0"/>
                    <w:jc w:val="center"/>
                    <w:rPr>
                      <w:rFonts w:hint="eastAsia"/>
                      <w:sz w:val="21"/>
                      <w:szCs w:val="21"/>
                      <w:lang w:val="en-US" w:eastAsia="zh-CN"/>
                    </w:rPr>
                  </w:pPr>
                </w:p>
              </w:tc>
              <w:tc>
                <w:tcPr>
                  <w:tcW w:w="2654" w:type="dxa"/>
                  <w:vAlign w:val="center"/>
                </w:tcPr>
                <w:p>
                  <w:pPr>
                    <w:spacing w:line="240" w:lineRule="auto"/>
                    <w:ind w:firstLine="0" w:firstLineChars="0"/>
                    <w:jc w:val="left"/>
                    <w:rPr>
                      <w:rFonts w:hint="eastAsia"/>
                      <w:bCs/>
                      <w:sz w:val="21"/>
                      <w:szCs w:val="21"/>
                      <w:lang w:val="en-US" w:eastAsia="zh-CN"/>
                    </w:rPr>
                  </w:pPr>
                  <w:r>
                    <w:rPr>
                      <w:rFonts w:hint="default" w:eastAsia="宋体"/>
                      <w:bCs/>
                      <w:sz w:val="21"/>
                      <w:szCs w:val="21"/>
                      <w:lang w:val="en-US" w:eastAsia="zh-CN"/>
                    </w:rPr>
                    <w:t>分子式:C</w:t>
                  </w:r>
                  <w:r>
                    <w:rPr>
                      <w:rFonts w:hint="default" w:eastAsia="宋体"/>
                      <w:bCs/>
                      <w:sz w:val="21"/>
                      <w:szCs w:val="21"/>
                      <w:vertAlign w:val="subscript"/>
                      <w:lang w:val="en-US" w:eastAsia="zh-CN"/>
                    </w:rPr>
                    <w:t>21</w:t>
                  </w:r>
                  <w:r>
                    <w:rPr>
                      <w:rFonts w:hint="default" w:eastAsia="宋体"/>
                      <w:bCs/>
                      <w:sz w:val="21"/>
                      <w:szCs w:val="21"/>
                      <w:lang w:val="en-US" w:eastAsia="zh-CN"/>
                    </w:rPr>
                    <w:t>H</w:t>
                  </w:r>
                  <w:r>
                    <w:rPr>
                      <w:rFonts w:hint="default" w:eastAsia="宋体"/>
                      <w:bCs/>
                      <w:sz w:val="21"/>
                      <w:szCs w:val="21"/>
                      <w:vertAlign w:val="subscript"/>
                      <w:lang w:val="en-US" w:eastAsia="zh-CN"/>
                    </w:rPr>
                    <w:t>32</w:t>
                  </w:r>
                  <w:r>
                    <w:rPr>
                      <w:rFonts w:hint="default" w:eastAsia="宋体"/>
                      <w:bCs/>
                      <w:sz w:val="21"/>
                      <w:szCs w:val="21"/>
                      <w:lang w:val="en-US" w:eastAsia="zh-CN"/>
                    </w:rPr>
                    <w:t>N</w:t>
                  </w:r>
                  <w:r>
                    <w:rPr>
                      <w:rFonts w:hint="default" w:eastAsia="宋体"/>
                      <w:bCs/>
                      <w:sz w:val="21"/>
                      <w:szCs w:val="21"/>
                      <w:vertAlign w:val="subscript"/>
                      <w:lang w:val="en-US" w:eastAsia="zh-CN"/>
                    </w:rPr>
                    <w:t>2</w:t>
                  </w:r>
                  <w:r>
                    <w:rPr>
                      <w:rFonts w:hint="default" w:eastAsia="宋体"/>
                      <w:bCs/>
                      <w:sz w:val="21"/>
                      <w:szCs w:val="21"/>
                      <w:lang w:val="en-US" w:eastAsia="zh-CN"/>
                    </w:rPr>
                    <w:t>O</w:t>
                  </w:r>
                  <w:r>
                    <w:rPr>
                      <w:rFonts w:hint="default" w:eastAsia="宋体"/>
                      <w:bCs/>
                      <w:sz w:val="21"/>
                      <w:szCs w:val="21"/>
                      <w:vertAlign w:val="subscript"/>
                      <w:lang w:val="en-US" w:eastAsia="zh-CN"/>
                    </w:rPr>
                    <w:t>4</w:t>
                  </w:r>
                  <w:r>
                    <w:rPr>
                      <w:rFonts w:hint="default" w:eastAsia="宋体"/>
                      <w:bCs/>
                      <w:sz w:val="21"/>
                      <w:szCs w:val="21"/>
                      <w:lang w:val="en-US" w:eastAsia="zh-CN"/>
                    </w:rPr>
                    <w:t>S</w:t>
                  </w:r>
                  <w:r>
                    <w:rPr>
                      <w:rFonts w:hint="eastAsia"/>
                      <w:bCs/>
                      <w:sz w:val="21"/>
                      <w:szCs w:val="21"/>
                      <w:lang w:val="en-US" w:eastAsia="zh-CN"/>
                    </w:rPr>
                    <w:t>，</w:t>
                  </w:r>
                  <w:r>
                    <w:rPr>
                      <w:rFonts w:hint="default" w:eastAsia="宋体"/>
                      <w:bCs/>
                      <w:sz w:val="21"/>
                      <w:szCs w:val="21"/>
                      <w:lang w:val="en-US" w:eastAsia="zh-CN"/>
                    </w:rPr>
                    <w:t>外观性状为红棕色黏稠液体</w:t>
                  </w:r>
                  <w:r>
                    <w:rPr>
                      <w:rFonts w:hint="eastAsia"/>
                      <w:bCs/>
                      <w:sz w:val="21"/>
                      <w:szCs w:val="21"/>
                      <w:lang w:val="en-US" w:eastAsia="zh-CN"/>
                    </w:rPr>
                    <w:t>，闪点100°C，相对密度1.142(20℃)</w:t>
                  </w:r>
                </w:p>
                <w:p>
                  <w:pPr>
                    <w:spacing w:line="240" w:lineRule="auto"/>
                    <w:ind w:firstLine="0" w:firstLineChars="0"/>
                    <w:jc w:val="left"/>
                    <w:rPr>
                      <w:rFonts w:hint="default" w:eastAsia="宋体"/>
                      <w:bCs/>
                      <w:sz w:val="21"/>
                      <w:szCs w:val="21"/>
                      <w:lang w:val="en-US" w:eastAsia="zh-CN"/>
                    </w:rPr>
                  </w:pPr>
                  <w:r>
                    <w:rPr>
                      <w:rFonts w:hint="eastAsia"/>
                      <w:bCs/>
                      <w:sz w:val="21"/>
                      <w:szCs w:val="21"/>
                      <w:lang w:val="en-US" w:eastAsia="zh-CN"/>
                    </w:rPr>
                    <w:t>蒸气压26.7Pa(20℃) 能溶于苯、二甲苯、二氯甲烷、丙酮等多种有机溶剂，在水中溶解度为8.1mg/L</w:t>
                  </w:r>
                </w:p>
              </w:tc>
              <w:tc>
                <w:tcPr>
                  <w:tcW w:w="3169" w:type="dxa"/>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left="0" w:leftChars="0" w:right="113" w:firstLine="0" w:firstLineChars="0"/>
                    <w:jc w:val="left"/>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毒性</w:t>
                  </w:r>
                  <w:r>
                    <w:rPr>
                      <w:rFonts w:hint="eastAsia" w:cs="Times New Roman"/>
                      <w:b w:val="0"/>
                      <w:bCs/>
                      <w:kern w:val="2"/>
                      <w:sz w:val="21"/>
                      <w:szCs w:val="21"/>
                      <w:lang w:val="en-US" w:eastAsia="zh-CN" w:bidi="ar-SA"/>
                    </w:rPr>
                    <w:t>：</w:t>
                  </w:r>
                  <w:r>
                    <w:rPr>
                      <w:rFonts w:hint="eastAsia" w:ascii="Times New Roman" w:hAnsi="Times New Roman" w:eastAsia="宋体" w:cs="Times New Roman"/>
                      <w:bCs/>
                      <w:kern w:val="2"/>
                      <w:sz w:val="21"/>
                      <w:szCs w:val="21"/>
                      <w:lang w:val="en-US" w:eastAsia="zh-CN" w:bidi="ar-SA"/>
                    </w:rPr>
                    <w:t>丙硫克百威为中等毒性杀虫剂。大、小鼠急性经口LD</w:t>
                  </w:r>
                  <w:r>
                    <w:rPr>
                      <w:rFonts w:hint="eastAsia" w:ascii="Times New Roman" w:hAnsi="Times New Roman" w:eastAsia="宋体" w:cs="Times New Roman"/>
                      <w:bCs/>
                      <w:kern w:val="2"/>
                      <w:sz w:val="21"/>
                      <w:szCs w:val="21"/>
                      <w:vertAlign w:val="subscript"/>
                      <w:lang w:val="en-US" w:eastAsia="zh-CN" w:bidi="ar-SA"/>
                    </w:rPr>
                    <w:t>50</w:t>
                  </w:r>
                  <w:r>
                    <w:rPr>
                      <w:rFonts w:hint="eastAsia" w:ascii="Times New Roman" w:hAnsi="Times New Roman" w:eastAsia="宋体" w:cs="Times New Roman"/>
                      <w:bCs/>
                      <w:kern w:val="2"/>
                      <w:sz w:val="21"/>
                      <w:szCs w:val="21"/>
                      <w:lang w:val="en-US" w:eastAsia="zh-CN" w:bidi="ar-SA"/>
                    </w:rPr>
                    <w:t>为138mg/kg、175mg/kg，狗急性经口LD</w:t>
                  </w:r>
                  <w:r>
                    <w:rPr>
                      <w:rFonts w:hint="eastAsia" w:ascii="Times New Roman" w:hAnsi="Times New Roman" w:eastAsia="宋体" w:cs="Times New Roman"/>
                      <w:bCs/>
                      <w:kern w:val="2"/>
                      <w:sz w:val="21"/>
                      <w:szCs w:val="21"/>
                      <w:vertAlign w:val="subscript"/>
                      <w:lang w:val="en-US" w:eastAsia="zh-CN" w:bidi="ar-SA"/>
                    </w:rPr>
                    <w:t>50</w:t>
                  </w:r>
                  <w:r>
                    <w:rPr>
                      <w:rFonts w:hint="eastAsia" w:ascii="Times New Roman" w:hAnsi="Times New Roman" w:eastAsia="宋体" w:cs="Times New Roman"/>
                      <w:bCs/>
                      <w:kern w:val="2"/>
                      <w:sz w:val="21"/>
                      <w:szCs w:val="21"/>
                      <w:lang w:val="en-US" w:eastAsia="zh-CN" w:bidi="ar-SA"/>
                    </w:rPr>
                    <w:t>为300mg/kg，小鼠急性经皮LD</w:t>
                  </w:r>
                  <w:r>
                    <w:rPr>
                      <w:rFonts w:hint="eastAsia" w:ascii="Times New Roman" w:hAnsi="Times New Roman" w:eastAsia="宋体" w:cs="Times New Roman"/>
                      <w:bCs/>
                      <w:kern w:val="2"/>
                      <w:sz w:val="21"/>
                      <w:szCs w:val="21"/>
                      <w:vertAlign w:val="subscript"/>
                      <w:lang w:val="en-US" w:eastAsia="zh-CN" w:bidi="ar-SA"/>
                    </w:rPr>
                    <w:t>50</w:t>
                  </w:r>
                  <w:r>
                    <w:rPr>
                      <w:rFonts w:hint="eastAsia" w:ascii="Times New Roman" w:hAnsi="Times New Roman" w:eastAsia="宋体" w:cs="Times New Roman"/>
                      <w:bCs/>
                      <w:kern w:val="2"/>
                      <w:sz w:val="21"/>
                      <w:szCs w:val="21"/>
                      <w:lang w:val="en-US" w:eastAsia="zh-CN" w:bidi="ar-SA"/>
                    </w:rPr>
                    <w:t>大于288mg/kg，大鼠急性经皮LD</w:t>
                  </w:r>
                  <w:r>
                    <w:rPr>
                      <w:rFonts w:hint="eastAsia" w:ascii="Times New Roman" w:hAnsi="Times New Roman" w:eastAsia="宋体" w:cs="Times New Roman"/>
                      <w:bCs/>
                      <w:kern w:val="2"/>
                      <w:sz w:val="21"/>
                      <w:szCs w:val="21"/>
                      <w:vertAlign w:val="subscript"/>
                      <w:lang w:val="en-US" w:eastAsia="zh-CN" w:bidi="ar-SA"/>
                    </w:rPr>
                    <w:t>50</w:t>
                  </w:r>
                  <w:r>
                    <w:rPr>
                      <w:rFonts w:hint="eastAsia" w:ascii="Times New Roman" w:hAnsi="Times New Roman" w:eastAsia="宋体" w:cs="Times New Roman"/>
                      <w:bCs/>
                      <w:kern w:val="2"/>
                      <w:sz w:val="21"/>
                      <w:szCs w:val="21"/>
                      <w:lang w:val="en-US" w:eastAsia="zh-CN" w:bidi="ar-SA"/>
                    </w:rPr>
                    <w:t>大于2000mg/kg，对皮肤和眼睛无刺激作用，对鱼高毒。丙硫克百威是克百威低毒化品种，是胆碱酯酶的抑制剂，具有触杀、胃毒和内吸作用，持效期长。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6</w:t>
                  </w:r>
                </w:p>
              </w:tc>
              <w:tc>
                <w:tcPr>
                  <w:tcW w:w="796" w:type="dxa"/>
                  <w:vAlign w:val="center"/>
                </w:tcPr>
                <w:p>
                  <w:pPr>
                    <w:spacing w:line="240" w:lineRule="auto"/>
                    <w:ind w:firstLine="0" w:firstLineChars="0"/>
                    <w:jc w:val="center"/>
                    <w:rPr>
                      <w:rFonts w:hint="eastAsia"/>
                      <w:bCs/>
                      <w:sz w:val="21"/>
                      <w:szCs w:val="21"/>
                      <w:lang w:val="en-US" w:eastAsia="zh-CN"/>
                    </w:rPr>
                  </w:pPr>
                  <w:r>
                    <w:rPr>
                      <w:rFonts w:hint="eastAsia"/>
                      <w:bCs/>
                      <w:sz w:val="21"/>
                      <w:szCs w:val="21"/>
                      <w:lang w:val="en-US" w:eastAsia="zh-CN"/>
                    </w:rPr>
                    <w:t>仲丁威</w:t>
                  </w:r>
                </w:p>
              </w:tc>
              <w:tc>
                <w:tcPr>
                  <w:tcW w:w="761"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3766-81-2</w:t>
                  </w:r>
                </w:p>
              </w:tc>
              <w:tc>
                <w:tcPr>
                  <w:tcW w:w="2654" w:type="dxa"/>
                  <w:vAlign w:val="center"/>
                </w:tcPr>
                <w:p>
                  <w:pPr>
                    <w:spacing w:line="240" w:lineRule="auto"/>
                    <w:ind w:firstLine="0" w:firstLineChars="0"/>
                    <w:jc w:val="left"/>
                    <w:rPr>
                      <w:rFonts w:hint="default" w:eastAsia="宋体"/>
                      <w:bCs/>
                      <w:sz w:val="21"/>
                      <w:szCs w:val="21"/>
                      <w:lang w:val="en-US" w:eastAsia="zh-CN"/>
                    </w:rPr>
                  </w:pPr>
                  <w:r>
                    <w:rPr>
                      <w:rFonts w:hint="eastAsia"/>
                      <w:bCs/>
                      <w:sz w:val="21"/>
                      <w:szCs w:val="21"/>
                      <w:lang w:val="en-US" w:eastAsia="zh-CN"/>
                    </w:rPr>
                    <w:t>化学式：C</w:t>
                  </w:r>
                  <w:r>
                    <w:rPr>
                      <w:rFonts w:hint="eastAsia"/>
                      <w:bCs/>
                      <w:sz w:val="21"/>
                      <w:szCs w:val="21"/>
                      <w:vertAlign w:val="subscript"/>
                      <w:lang w:val="en-US" w:eastAsia="zh-CN"/>
                    </w:rPr>
                    <w:t>12</w:t>
                  </w:r>
                  <w:r>
                    <w:rPr>
                      <w:rFonts w:hint="eastAsia"/>
                      <w:bCs/>
                      <w:sz w:val="21"/>
                      <w:szCs w:val="21"/>
                      <w:lang w:val="en-US" w:eastAsia="zh-CN"/>
                    </w:rPr>
                    <w:t>H</w:t>
                  </w:r>
                  <w:r>
                    <w:rPr>
                      <w:rFonts w:hint="eastAsia"/>
                      <w:bCs/>
                      <w:sz w:val="21"/>
                      <w:szCs w:val="21"/>
                      <w:vertAlign w:val="subscript"/>
                      <w:lang w:val="en-US" w:eastAsia="zh-CN"/>
                    </w:rPr>
                    <w:t>17</w:t>
                  </w:r>
                  <w:r>
                    <w:rPr>
                      <w:rFonts w:hint="eastAsia"/>
                      <w:bCs/>
                      <w:sz w:val="21"/>
                      <w:szCs w:val="21"/>
                      <w:lang w:val="en-US" w:eastAsia="zh-CN"/>
                    </w:rPr>
                    <w:t>NO</w:t>
                  </w:r>
                  <w:r>
                    <w:rPr>
                      <w:rFonts w:hint="eastAsia"/>
                      <w:bCs/>
                      <w:sz w:val="21"/>
                      <w:szCs w:val="21"/>
                      <w:vertAlign w:val="subscript"/>
                      <w:lang w:val="en-US" w:eastAsia="zh-CN"/>
                    </w:rPr>
                    <w:t>2</w:t>
                  </w:r>
                  <w:r>
                    <w:rPr>
                      <w:rFonts w:hint="default" w:ascii="Times New Roman" w:hAnsi="Times New Roman" w:eastAsia="宋体" w:cs="Times New Roman"/>
                      <w:i w:val="0"/>
                      <w:iCs w:val="0"/>
                      <w:caps w:val="0"/>
                      <w:color w:val="333333"/>
                      <w:spacing w:val="0"/>
                      <w:sz w:val="21"/>
                      <w:szCs w:val="21"/>
                      <w:shd w:val="clear" w:fill="FFFFFF"/>
                      <w:lang w:eastAsia="zh-CN"/>
                    </w:rPr>
                    <w:t>，</w:t>
                  </w:r>
                  <w:r>
                    <w:rPr>
                      <w:rFonts w:hint="eastAsia" w:ascii="Times New Roman" w:hAnsi="Times New Roman" w:eastAsia="宋体" w:cs="Times New Roman"/>
                      <w:i w:val="0"/>
                      <w:iCs w:val="0"/>
                      <w:caps w:val="0"/>
                      <w:color w:val="333333"/>
                      <w:spacing w:val="0"/>
                      <w:sz w:val="21"/>
                      <w:szCs w:val="21"/>
                      <w:shd w:val="clear" w:fill="FFFFFF"/>
                      <w:lang w:eastAsia="zh-CN"/>
                    </w:rPr>
                    <w:t>分子量</w:t>
                  </w:r>
                  <w:r>
                    <w:rPr>
                      <w:rFonts w:hint="eastAsia" w:cs="Times New Roman"/>
                      <w:i w:val="0"/>
                      <w:iCs w:val="0"/>
                      <w:caps w:val="0"/>
                      <w:color w:val="333333"/>
                      <w:spacing w:val="0"/>
                      <w:sz w:val="21"/>
                      <w:szCs w:val="21"/>
                      <w:shd w:val="clear" w:fill="FFFFFF"/>
                      <w:lang w:val="en-US" w:eastAsia="zh-CN"/>
                    </w:rPr>
                    <w:t>2</w:t>
                  </w:r>
                  <w:r>
                    <w:rPr>
                      <w:rFonts w:hint="eastAsia" w:ascii="Times New Roman" w:hAnsi="Times New Roman" w:eastAsia="宋体" w:cs="Times New Roman"/>
                      <w:i w:val="0"/>
                      <w:iCs w:val="0"/>
                      <w:caps w:val="0"/>
                      <w:color w:val="333333"/>
                      <w:spacing w:val="0"/>
                      <w:sz w:val="21"/>
                      <w:szCs w:val="21"/>
                      <w:shd w:val="clear" w:fill="FFFFFF"/>
                      <w:lang w:val="en-US" w:eastAsia="zh-CN"/>
                    </w:rPr>
                    <w:t>0</w:t>
                  </w:r>
                  <w:r>
                    <w:rPr>
                      <w:rFonts w:hint="eastAsia" w:cs="Times New Roman"/>
                      <w:i w:val="0"/>
                      <w:iCs w:val="0"/>
                      <w:caps w:val="0"/>
                      <w:color w:val="333333"/>
                      <w:spacing w:val="0"/>
                      <w:sz w:val="21"/>
                      <w:szCs w:val="21"/>
                      <w:shd w:val="clear" w:fill="FFFFFF"/>
                      <w:lang w:val="en-US" w:eastAsia="zh-CN"/>
                    </w:rPr>
                    <w:t>7</w:t>
                  </w:r>
                  <w:r>
                    <w:rPr>
                      <w:rFonts w:hint="eastAsia" w:ascii="Times New Roman" w:hAnsi="Times New Roman" w:eastAsia="宋体" w:cs="Times New Roman"/>
                      <w:i w:val="0"/>
                      <w:iCs w:val="0"/>
                      <w:caps w:val="0"/>
                      <w:color w:val="333333"/>
                      <w:spacing w:val="0"/>
                      <w:sz w:val="21"/>
                      <w:szCs w:val="21"/>
                      <w:shd w:val="clear" w:fill="FFFFFF"/>
                      <w:lang w:val="en-US" w:eastAsia="zh-CN"/>
                    </w:rPr>
                    <w:t>.3。</w:t>
                  </w:r>
                  <w:r>
                    <w:rPr>
                      <w:rFonts w:hint="eastAsia" w:cs="Times New Roman"/>
                      <w:i w:val="0"/>
                      <w:iCs w:val="0"/>
                      <w:caps w:val="0"/>
                      <w:color w:val="333333"/>
                      <w:spacing w:val="0"/>
                      <w:sz w:val="21"/>
                      <w:szCs w:val="21"/>
                      <w:shd w:val="clear" w:fill="FFFFFF"/>
                      <w:lang w:val="en-US" w:eastAsia="zh-CN"/>
                    </w:rPr>
                    <w:t>不溶于水，</w:t>
                  </w:r>
                  <w:r>
                    <w:rPr>
                      <w:rFonts w:hint="eastAsia" w:ascii="Times New Roman" w:hAnsi="Times New Roman" w:eastAsia="宋体" w:cs="Times New Roman"/>
                      <w:i w:val="0"/>
                      <w:iCs w:val="0"/>
                      <w:caps w:val="0"/>
                      <w:color w:val="333333"/>
                      <w:spacing w:val="0"/>
                      <w:sz w:val="21"/>
                      <w:szCs w:val="21"/>
                      <w:shd w:val="clear" w:fill="FFFFFF"/>
                      <w:lang w:val="en-US" w:eastAsia="zh-CN"/>
                    </w:rPr>
                    <w:t>密度1.05 kg/m³</w:t>
                  </w:r>
                  <w:r>
                    <w:rPr>
                      <w:rFonts w:hint="default" w:eastAsia="宋体"/>
                      <w:bCs/>
                      <w:sz w:val="21"/>
                      <w:szCs w:val="21"/>
                      <w:lang w:val="en-US" w:eastAsia="zh-CN"/>
                    </w:rPr>
                    <w:t>，沸点3</w:t>
                  </w:r>
                  <w:r>
                    <w:rPr>
                      <w:rFonts w:hint="eastAsia"/>
                      <w:bCs/>
                      <w:sz w:val="21"/>
                      <w:szCs w:val="21"/>
                      <w:lang w:val="en-US" w:eastAsia="zh-CN"/>
                    </w:rPr>
                    <w:t>46.3</w:t>
                  </w:r>
                  <w:r>
                    <w:rPr>
                      <w:rFonts w:hint="default" w:eastAsia="宋体"/>
                      <w:bCs/>
                      <w:sz w:val="21"/>
                      <w:szCs w:val="21"/>
                      <w:lang w:val="en-US" w:eastAsia="zh-CN"/>
                    </w:rPr>
                    <w:t xml:space="preserve"> ℃</w:t>
                  </w:r>
                  <w:r>
                    <w:rPr>
                      <w:rFonts w:hint="eastAsia"/>
                      <w:bCs/>
                      <w:sz w:val="21"/>
                      <w:szCs w:val="21"/>
                      <w:lang w:val="en-US" w:eastAsia="zh-CN"/>
                    </w:rPr>
                    <w:t>（标准大气压下），20℃时为无色结晶，溶液为淡蓝色或浅粉色，有芳香气味。</w:t>
                  </w:r>
                </w:p>
              </w:tc>
              <w:tc>
                <w:tcPr>
                  <w:tcW w:w="3169" w:type="dxa"/>
                  <w:vAlign w:val="center"/>
                </w:tcPr>
                <w:p>
                  <w:pPr>
                    <w:pStyle w:val="8"/>
                    <w:ind w:left="0" w:leftChars="0" w:firstLine="0" w:firstLineChars="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低毒，具有强烈的触杀作用，并具一定胃毒、熏蒸和杀卵作用。仲丁威的中毒症状与轻度有机磷农药中毒相似，但一般较轻，以毒蕈碱样症状为明显，可出现头昏、头痛、乏力、恶心、呕吐、流涎、多汗及瞳孔缩小，血液胆碱酯酶活性轻度受抑制，因此一般病情较轻，病程较短，复原较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7</w:t>
                  </w:r>
                </w:p>
              </w:tc>
              <w:tc>
                <w:tcPr>
                  <w:tcW w:w="796" w:type="dxa"/>
                  <w:vAlign w:val="center"/>
                </w:tcPr>
                <w:p>
                  <w:pPr>
                    <w:spacing w:line="240" w:lineRule="auto"/>
                    <w:ind w:firstLine="0" w:firstLineChars="0"/>
                    <w:jc w:val="center"/>
                    <w:rPr>
                      <w:rFonts w:hint="eastAsia"/>
                      <w:bCs/>
                      <w:sz w:val="21"/>
                      <w:szCs w:val="21"/>
                      <w:lang w:val="en-US" w:eastAsia="zh-CN"/>
                    </w:rPr>
                  </w:pPr>
                  <w:r>
                    <w:rPr>
                      <w:rFonts w:hint="eastAsia"/>
                      <w:bCs/>
                      <w:sz w:val="21"/>
                      <w:szCs w:val="21"/>
                      <w:lang w:val="en-US" w:eastAsia="zh-CN"/>
                    </w:rPr>
                    <w:t>乙酸苄酯</w:t>
                  </w:r>
                </w:p>
              </w:tc>
              <w:tc>
                <w:tcPr>
                  <w:tcW w:w="761"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140-11-4</w:t>
                  </w:r>
                </w:p>
              </w:tc>
              <w:tc>
                <w:tcPr>
                  <w:tcW w:w="2654" w:type="dxa"/>
                  <w:vAlign w:val="center"/>
                </w:tcPr>
                <w:p>
                  <w:pPr>
                    <w:spacing w:line="240" w:lineRule="auto"/>
                    <w:ind w:firstLine="0" w:firstLineChars="0"/>
                    <w:jc w:val="left"/>
                    <w:rPr>
                      <w:rFonts w:hint="eastAsia"/>
                      <w:bCs/>
                      <w:sz w:val="21"/>
                      <w:szCs w:val="21"/>
                      <w:lang w:val="en-US" w:eastAsia="zh-CN"/>
                    </w:rPr>
                  </w:pPr>
                  <w:r>
                    <w:rPr>
                      <w:rFonts w:hint="eastAsia" w:ascii="Times New Roman" w:hAnsi="Times New Roman" w:eastAsia="宋体" w:cs="Times New Roman"/>
                      <w:bCs/>
                      <w:kern w:val="2"/>
                      <w:sz w:val="21"/>
                      <w:szCs w:val="21"/>
                      <w:lang w:val="en-US" w:eastAsia="zh-CN" w:bidi="ar-SA"/>
                    </w:rPr>
                    <w:t>化学式为C</w:t>
                  </w:r>
                  <w:r>
                    <w:rPr>
                      <w:rFonts w:hint="eastAsia" w:ascii="Times New Roman" w:hAnsi="Times New Roman" w:eastAsia="宋体" w:cs="Times New Roman"/>
                      <w:bCs/>
                      <w:kern w:val="2"/>
                      <w:sz w:val="21"/>
                      <w:szCs w:val="21"/>
                      <w:vertAlign w:val="subscript"/>
                      <w:lang w:val="en-US" w:eastAsia="zh-CN" w:bidi="ar-SA"/>
                    </w:rPr>
                    <w:t>9</w:t>
                  </w:r>
                  <w:r>
                    <w:rPr>
                      <w:rFonts w:hint="eastAsia" w:ascii="Times New Roman" w:hAnsi="Times New Roman" w:eastAsia="宋体" w:cs="Times New Roman"/>
                      <w:bCs/>
                      <w:kern w:val="2"/>
                      <w:sz w:val="21"/>
                      <w:szCs w:val="21"/>
                      <w:lang w:val="en-US" w:eastAsia="zh-CN" w:bidi="ar-SA"/>
                    </w:rPr>
                    <w:t>H</w:t>
                  </w:r>
                  <w:r>
                    <w:rPr>
                      <w:rFonts w:hint="eastAsia" w:ascii="Times New Roman" w:hAnsi="Times New Roman" w:eastAsia="宋体" w:cs="Times New Roman"/>
                      <w:bCs/>
                      <w:kern w:val="2"/>
                      <w:sz w:val="21"/>
                      <w:szCs w:val="21"/>
                      <w:vertAlign w:val="subscript"/>
                      <w:lang w:val="en-US" w:eastAsia="zh-CN" w:bidi="ar-SA"/>
                    </w:rPr>
                    <w:t>10</w:t>
                  </w:r>
                  <w:r>
                    <w:rPr>
                      <w:rFonts w:hint="eastAsia"/>
                      <w:lang w:val="en-US" w:eastAsia="zh-CN"/>
                    </w:rPr>
                    <w:t>O</w:t>
                  </w:r>
                  <w:r>
                    <w:rPr>
                      <w:rFonts w:hint="eastAsia" w:ascii="Times New Roman" w:hAnsi="Times New Roman" w:eastAsia="宋体" w:cs="Times New Roman"/>
                      <w:bCs/>
                      <w:kern w:val="2"/>
                      <w:sz w:val="21"/>
                      <w:szCs w:val="21"/>
                      <w:vertAlign w:val="subscript"/>
                      <w:lang w:val="en-US" w:eastAsia="zh-CN" w:bidi="ar-SA"/>
                    </w:rPr>
                    <w:t>2</w:t>
                  </w:r>
                  <w:r>
                    <w:rPr>
                      <w:rFonts w:hint="eastAsia" w:ascii="Times New Roman" w:hAnsi="Times New Roman" w:eastAsia="宋体" w:cs="Times New Roman"/>
                      <w:bCs/>
                      <w:kern w:val="2"/>
                      <w:sz w:val="21"/>
                      <w:szCs w:val="21"/>
                      <w:lang w:val="en-US" w:eastAsia="zh-CN" w:bidi="ar-SA"/>
                    </w:rPr>
                    <w:t>，分子量150.174，闪点102℃，沸点206℃，密 度1.054 g/cm³，不溶于甘油，但能与醇、醚、酮及脂肪烃、芳香烃等混溶</w:t>
                  </w:r>
                  <w:r>
                    <w:rPr>
                      <w:rFonts w:hint="eastAsia" w:cs="Times New Roman"/>
                      <w:bCs/>
                      <w:kern w:val="2"/>
                      <w:sz w:val="21"/>
                      <w:szCs w:val="21"/>
                      <w:lang w:val="en-US" w:eastAsia="zh-CN" w:bidi="ar-SA"/>
                    </w:rPr>
                    <w:t>。</w:t>
                  </w:r>
                </w:p>
              </w:tc>
              <w:tc>
                <w:tcPr>
                  <w:tcW w:w="3169" w:type="dxa"/>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left="0" w:leftChars="0" w:right="113" w:firstLine="0" w:firstLineChars="0"/>
                    <w:textAlignment w:val="auto"/>
                    <w:rPr>
                      <w:rFonts w:hint="default"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毒性</w:t>
                  </w:r>
                  <w:r>
                    <w:rPr>
                      <w:rFonts w:hint="eastAsia" w:cs="Times New Roman"/>
                      <w:bCs/>
                      <w:kern w:val="2"/>
                      <w:sz w:val="21"/>
                      <w:szCs w:val="21"/>
                      <w:lang w:val="en-US" w:eastAsia="zh-CN" w:bidi="ar-SA"/>
                    </w:rPr>
                    <w:t>：低毒LD</w:t>
                  </w:r>
                  <w:r>
                    <w:rPr>
                      <w:rFonts w:hint="eastAsia" w:cs="Times New Roman"/>
                      <w:bCs/>
                      <w:kern w:val="2"/>
                      <w:sz w:val="21"/>
                      <w:szCs w:val="21"/>
                      <w:vertAlign w:val="subscript"/>
                      <w:lang w:val="en-US" w:eastAsia="zh-CN" w:bidi="ar-SA"/>
                    </w:rPr>
                    <w:t>50</w:t>
                  </w:r>
                  <w:r>
                    <w:rPr>
                      <w:rFonts w:hint="eastAsia" w:cs="Times New Roman"/>
                      <w:bCs/>
                      <w:kern w:val="2"/>
                      <w:sz w:val="21"/>
                      <w:szCs w:val="21"/>
                      <w:lang w:val="en-US" w:eastAsia="zh-CN" w:bidi="ar-SA"/>
                    </w:rPr>
                    <w:t>：2500 mg/kg(大鼠经口)；2400 mg/kg(兔经皮)；LC50：1500mg/m</w:t>
                  </w:r>
                  <w:r>
                    <w:rPr>
                      <w:rFonts w:hint="eastAsia" w:cs="Times New Roman"/>
                      <w:bCs/>
                      <w:kern w:val="2"/>
                      <w:sz w:val="21"/>
                      <w:szCs w:val="21"/>
                      <w:vertAlign w:val="superscript"/>
                      <w:lang w:val="en-US" w:eastAsia="zh-CN" w:bidi="ar-SA"/>
                    </w:rPr>
                    <w:t>3</w:t>
                  </w:r>
                  <w:r>
                    <w:rPr>
                      <w:rFonts w:hint="eastAsia" w:cs="Times New Roman"/>
                      <w:bCs/>
                      <w:kern w:val="2"/>
                      <w:sz w:val="21"/>
                      <w:szCs w:val="21"/>
                      <w:lang w:val="en-US" w:eastAsia="zh-CN" w:bidi="ar-SA"/>
                    </w:rPr>
                    <w:t>，1小时(猫吸入)。</w:t>
                  </w:r>
                </w:p>
                <w:p>
                  <w:pPr>
                    <w:pStyle w:val="8"/>
                    <w:keepNext w:val="0"/>
                    <w:keepLines w:val="0"/>
                    <w:pageBreakBefore w:val="0"/>
                    <w:widowControl/>
                    <w:kinsoku/>
                    <w:wordWrap/>
                    <w:overflowPunct/>
                    <w:topLinePunct w:val="0"/>
                    <w:autoSpaceDE/>
                    <w:autoSpaceDN/>
                    <w:bidi w:val="0"/>
                    <w:adjustRightInd/>
                    <w:snapToGrid w:val="0"/>
                    <w:spacing w:before="0" w:after="0" w:line="240" w:lineRule="auto"/>
                    <w:ind w:left="0" w:leftChars="0" w:right="113" w:firstLine="0" w:firstLineChars="0"/>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危险特性：遇明火、高热可燃。若遇高热，容器内压增大，有开裂和爆炸的危险。</w:t>
                  </w:r>
                </w:p>
                <w:p>
                  <w:pPr>
                    <w:pStyle w:val="8"/>
                    <w:keepNext w:val="0"/>
                    <w:keepLines w:val="0"/>
                    <w:pageBreakBefore w:val="0"/>
                    <w:widowControl/>
                    <w:kinsoku/>
                    <w:wordWrap/>
                    <w:overflowPunct/>
                    <w:topLinePunct w:val="0"/>
                    <w:autoSpaceDE/>
                    <w:autoSpaceDN/>
                    <w:bidi w:val="0"/>
                    <w:adjustRightInd/>
                    <w:snapToGrid w:val="0"/>
                    <w:spacing w:before="0" w:after="0" w:line="240" w:lineRule="auto"/>
                    <w:ind w:left="0" w:leftChars="0" w:right="113" w:firstLine="0" w:firstLineChars="0"/>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健康危害</w:t>
                  </w:r>
                  <w:r>
                    <w:rPr>
                      <w:rFonts w:hint="eastAsia" w:cs="Times New Roman"/>
                      <w:bCs/>
                      <w:kern w:val="2"/>
                      <w:sz w:val="21"/>
                      <w:szCs w:val="21"/>
                      <w:lang w:val="en-US" w:eastAsia="zh-CN" w:bidi="ar-SA"/>
                    </w:rPr>
                    <w:t>：</w:t>
                  </w:r>
                  <w:r>
                    <w:rPr>
                      <w:rFonts w:hint="eastAsia" w:ascii="Times New Roman" w:hAnsi="Times New Roman" w:eastAsia="宋体" w:cs="Times New Roman"/>
                      <w:bCs/>
                      <w:kern w:val="2"/>
                      <w:sz w:val="21"/>
                      <w:szCs w:val="21"/>
                      <w:lang w:val="en-US" w:eastAsia="zh-CN" w:bidi="ar-SA"/>
                    </w:rPr>
                    <w:t>吸入、摄入或经皮肤吸收后可能有害。对皮肤有刺激作用。对眼睛、粘膜和上呼吸道有刺激作用。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8</w:t>
                  </w:r>
                </w:p>
              </w:tc>
              <w:tc>
                <w:tcPr>
                  <w:tcW w:w="796" w:type="dxa"/>
                  <w:vAlign w:val="center"/>
                </w:tcPr>
                <w:p>
                  <w:pPr>
                    <w:spacing w:line="240" w:lineRule="auto"/>
                    <w:ind w:firstLine="0" w:firstLineChars="0"/>
                    <w:jc w:val="center"/>
                    <w:rPr>
                      <w:rFonts w:hint="eastAsia"/>
                      <w:bCs/>
                      <w:sz w:val="21"/>
                      <w:szCs w:val="21"/>
                      <w:lang w:val="en-US" w:eastAsia="zh-CN"/>
                    </w:rPr>
                  </w:pPr>
                  <w:r>
                    <w:rPr>
                      <w:rFonts w:hint="eastAsia"/>
                      <w:bCs/>
                      <w:sz w:val="21"/>
                      <w:szCs w:val="21"/>
                      <w:lang w:val="en-US" w:eastAsia="zh-CN"/>
                    </w:rPr>
                    <w:t>氯菊酯</w:t>
                  </w:r>
                </w:p>
              </w:tc>
              <w:tc>
                <w:tcPr>
                  <w:tcW w:w="761"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52645-53-1</w:t>
                  </w:r>
                </w:p>
              </w:tc>
              <w:tc>
                <w:tcPr>
                  <w:tcW w:w="2654" w:type="dxa"/>
                  <w:vAlign w:val="center"/>
                </w:tcPr>
                <w:p>
                  <w:pPr>
                    <w:spacing w:line="240" w:lineRule="auto"/>
                    <w:ind w:firstLine="0" w:firstLineChars="0"/>
                    <w:jc w:val="left"/>
                    <w:rPr>
                      <w:rFonts w:hint="eastAsia"/>
                      <w:bCs/>
                      <w:sz w:val="21"/>
                      <w:szCs w:val="21"/>
                      <w:lang w:val="en-US" w:eastAsia="zh-CN"/>
                    </w:rPr>
                  </w:pPr>
                  <w:r>
                    <w:rPr>
                      <w:rFonts w:hint="eastAsia"/>
                      <w:bCs/>
                      <w:sz w:val="21"/>
                      <w:szCs w:val="21"/>
                      <w:lang w:val="en-US" w:eastAsia="zh-CN"/>
                    </w:rPr>
                    <w:t>无色结晶性粉末，化学式为C</w:t>
                  </w:r>
                  <w:r>
                    <w:rPr>
                      <w:rFonts w:hint="eastAsia"/>
                      <w:bCs/>
                      <w:sz w:val="21"/>
                      <w:szCs w:val="21"/>
                      <w:vertAlign w:val="subscript"/>
                      <w:lang w:val="en-US" w:eastAsia="zh-CN"/>
                    </w:rPr>
                    <w:t>21</w:t>
                  </w:r>
                  <w:r>
                    <w:rPr>
                      <w:rFonts w:hint="eastAsia"/>
                      <w:bCs/>
                      <w:sz w:val="21"/>
                      <w:szCs w:val="21"/>
                      <w:lang w:val="en-US" w:eastAsia="zh-CN"/>
                    </w:rPr>
                    <w:t>H</w:t>
                  </w:r>
                  <w:r>
                    <w:rPr>
                      <w:rFonts w:hint="eastAsia"/>
                      <w:bCs/>
                      <w:sz w:val="21"/>
                      <w:szCs w:val="21"/>
                      <w:vertAlign w:val="subscript"/>
                      <w:lang w:val="en-US" w:eastAsia="zh-CN"/>
                    </w:rPr>
                    <w:t>20</w:t>
                  </w:r>
                  <w:r>
                    <w:rPr>
                      <w:rFonts w:hint="eastAsia"/>
                      <w:bCs/>
                      <w:sz w:val="21"/>
                      <w:szCs w:val="21"/>
                      <w:lang w:val="en-US" w:eastAsia="zh-CN"/>
                    </w:rPr>
                    <w:t>Cl</w:t>
                  </w:r>
                  <w:r>
                    <w:rPr>
                      <w:rFonts w:hint="eastAsia"/>
                      <w:bCs/>
                      <w:sz w:val="21"/>
                      <w:szCs w:val="21"/>
                      <w:vertAlign w:val="subscript"/>
                      <w:lang w:val="en-US" w:eastAsia="zh-CN"/>
                    </w:rPr>
                    <w:t>2</w:t>
                  </w:r>
                  <w:r>
                    <w:rPr>
                      <w:rFonts w:hint="eastAsia"/>
                      <w:bCs/>
                      <w:sz w:val="21"/>
                      <w:szCs w:val="21"/>
                      <w:lang w:val="en-US" w:eastAsia="zh-CN"/>
                    </w:rPr>
                    <w:t>O</w:t>
                  </w:r>
                  <w:r>
                    <w:rPr>
                      <w:rFonts w:hint="eastAsia"/>
                      <w:bCs/>
                      <w:sz w:val="21"/>
                      <w:szCs w:val="21"/>
                      <w:vertAlign w:val="subscript"/>
                      <w:lang w:val="en-US" w:eastAsia="zh-CN"/>
                    </w:rPr>
                    <w:t>3</w:t>
                  </w:r>
                  <w:r>
                    <w:rPr>
                      <w:rFonts w:hint="eastAsia"/>
                      <w:bCs/>
                      <w:sz w:val="21"/>
                      <w:szCs w:val="21"/>
                      <w:lang w:val="en-US" w:eastAsia="zh-CN"/>
                    </w:rPr>
                    <w:t>，分子量391.288，闪点10℃，沸点465.9℃，密度1.19 g/cm³，</w:t>
                  </w:r>
                  <w:r>
                    <w:rPr>
                      <w:rFonts w:hint="eastAsia" w:ascii="Times New Roman" w:hAnsi="Times New Roman" w:eastAsia="宋体" w:cs="Times New Roman"/>
                      <w:bCs/>
                      <w:kern w:val="2"/>
                      <w:sz w:val="21"/>
                      <w:szCs w:val="21"/>
                      <w:lang w:val="en-US" w:eastAsia="zh-CN" w:bidi="ar-SA"/>
                    </w:rPr>
                    <w:t>具有相对稳定的化学性质，不易分解。</w:t>
                  </w:r>
                  <w:r>
                    <w:rPr>
                      <w:rFonts w:hint="eastAsia"/>
                      <w:bCs/>
                      <w:sz w:val="21"/>
                      <w:szCs w:val="21"/>
                      <w:lang w:val="en-US" w:eastAsia="zh-CN"/>
                    </w:rPr>
                    <w:t>在水中溶解度很低，但在有机溶剂中溶解性较好。</w:t>
                  </w:r>
                </w:p>
              </w:tc>
              <w:tc>
                <w:tcPr>
                  <w:tcW w:w="3169" w:type="dxa"/>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left="0" w:leftChars="0" w:right="113" w:firstLine="0" w:firstLineChars="0"/>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毒性：低毒，LD50：&gt;2000 mg/kg(大鼠经口)；&gt;2000 mg/kg(兔经皮)。</w:t>
                  </w:r>
                </w:p>
                <w:p>
                  <w:pPr>
                    <w:pStyle w:val="8"/>
                    <w:keepNext w:val="0"/>
                    <w:keepLines w:val="0"/>
                    <w:pageBreakBefore w:val="0"/>
                    <w:widowControl/>
                    <w:kinsoku/>
                    <w:wordWrap/>
                    <w:overflowPunct/>
                    <w:topLinePunct w:val="0"/>
                    <w:autoSpaceDE/>
                    <w:autoSpaceDN/>
                    <w:bidi w:val="0"/>
                    <w:adjustRightInd/>
                    <w:snapToGrid w:val="0"/>
                    <w:spacing w:before="0" w:after="0" w:line="240" w:lineRule="auto"/>
                    <w:ind w:left="0" w:leftChars="0" w:right="113" w:firstLine="0" w:firstLineChars="0"/>
                    <w:textAlignment w:val="auto"/>
                    <w:rPr>
                      <w:rFonts w:hint="eastAsia" w:cs="Times New Roman"/>
                      <w:bCs/>
                      <w:kern w:val="2"/>
                      <w:sz w:val="21"/>
                      <w:szCs w:val="21"/>
                      <w:lang w:val="en-US" w:eastAsia="zh-CN" w:bidi="ar-SA"/>
                    </w:rPr>
                  </w:pPr>
                  <w:r>
                    <w:rPr>
                      <w:rFonts w:hint="eastAsia" w:cs="Times New Roman"/>
                      <w:bCs/>
                      <w:kern w:val="2"/>
                      <w:sz w:val="21"/>
                      <w:szCs w:val="21"/>
                      <w:lang w:val="en-US" w:eastAsia="zh-CN" w:bidi="ar-SA"/>
                    </w:rPr>
                    <w:t>危险特性：易燃，应远离火源。</w:t>
                  </w:r>
                </w:p>
                <w:p>
                  <w:pPr>
                    <w:pStyle w:val="8"/>
                    <w:keepNext w:val="0"/>
                    <w:keepLines w:val="0"/>
                    <w:pageBreakBefore w:val="0"/>
                    <w:widowControl/>
                    <w:kinsoku/>
                    <w:wordWrap/>
                    <w:overflowPunct/>
                    <w:topLinePunct w:val="0"/>
                    <w:autoSpaceDE/>
                    <w:autoSpaceDN/>
                    <w:bidi w:val="0"/>
                    <w:adjustRightInd/>
                    <w:snapToGrid w:val="0"/>
                    <w:spacing w:before="0" w:after="0" w:line="240" w:lineRule="auto"/>
                    <w:ind w:left="0" w:leftChars="0" w:right="113" w:firstLine="0" w:firstLineChars="0"/>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健康危害：本品属低毒类。吸入、皮肤接触及吞食有害</w:t>
                  </w:r>
                  <w:r>
                    <w:rPr>
                      <w:rFonts w:hint="eastAsia" w:cs="Times New Roman"/>
                      <w:bCs/>
                      <w:kern w:val="2"/>
                      <w:sz w:val="21"/>
                      <w:szCs w:val="21"/>
                      <w:lang w:val="en-US" w:eastAsia="zh-CN" w:bidi="ar-SA"/>
                    </w:rPr>
                    <w:t>，</w:t>
                  </w:r>
                  <w:r>
                    <w:rPr>
                      <w:rFonts w:hint="eastAsia" w:ascii="Times New Roman" w:hAnsi="Times New Roman" w:eastAsia="宋体" w:cs="Times New Roman"/>
                      <w:bCs/>
                      <w:kern w:val="2"/>
                      <w:sz w:val="21"/>
                      <w:szCs w:val="21"/>
                      <w:lang w:val="en-US" w:eastAsia="zh-CN" w:bidi="ar-SA"/>
                    </w:rPr>
                    <w:t>对眼睛有轻度刺激作用。误服，引起头痛、头晕、恶心、呕吐、流涎和血尿等。严重者出现抽搐和意识障碍。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9</w:t>
                  </w:r>
                </w:p>
              </w:tc>
              <w:tc>
                <w:tcPr>
                  <w:tcW w:w="796" w:type="dxa"/>
                  <w:vAlign w:val="center"/>
                </w:tcPr>
                <w:p>
                  <w:pPr>
                    <w:spacing w:line="240" w:lineRule="auto"/>
                    <w:ind w:firstLine="0" w:firstLineChars="0"/>
                    <w:jc w:val="center"/>
                    <w:rPr>
                      <w:rFonts w:hint="eastAsia"/>
                      <w:bCs/>
                      <w:sz w:val="21"/>
                      <w:szCs w:val="21"/>
                      <w:lang w:val="en-US" w:eastAsia="zh-CN"/>
                    </w:rPr>
                  </w:pPr>
                  <w:r>
                    <w:rPr>
                      <w:rFonts w:hint="eastAsia"/>
                      <w:bCs/>
                      <w:sz w:val="21"/>
                      <w:szCs w:val="21"/>
                      <w:lang w:val="en-US" w:eastAsia="zh-CN"/>
                    </w:rPr>
                    <w:t>磷酸二正丁酯</w:t>
                  </w:r>
                </w:p>
              </w:tc>
              <w:tc>
                <w:tcPr>
                  <w:tcW w:w="761"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107-66-4</w:t>
                  </w:r>
                </w:p>
              </w:tc>
              <w:tc>
                <w:tcPr>
                  <w:tcW w:w="2654" w:type="dxa"/>
                  <w:vAlign w:val="center"/>
                </w:tcPr>
                <w:p>
                  <w:pPr>
                    <w:spacing w:line="240" w:lineRule="auto"/>
                    <w:ind w:firstLine="0" w:firstLineChars="0"/>
                    <w:jc w:val="left"/>
                    <w:rPr>
                      <w:rFonts w:hint="default"/>
                      <w:bCs/>
                      <w:sz w:val="21"/>
                      <w:szCs w:val="21"/>
                      <w:lang w:val="en-US" w:eastAsia="zh-CN"/>
                    </w:rPr>
                  </w:pPr>
                  <w:r>
                    <w:rPr>
                      <w:rFonts w:hint="eastAsia"/>
                      <w:bCs/>
                      <w:sz w:val="21"/>
                      <w:szCs w:val="21"/>
                      <w:lang w:val="en-US" w:eastAsia="zh-CN"/>
                    </w:rPr>
                    <w:t>性状：无色至浅黄色黏稠状液体。化学式为C</w:t>
                  </w:r>
                  <w:r>
                    <w:rPr>
                      <w:rFonts w:hint="eastAsia"/>
                      <w:bCs/>
                      <w:sz w:val="21"/>
                      <w:szCs w:val="21"/>
                      <w:vertAlign w:val="subscript"/>
                      <w:lang w:val="en-US" w:eastAsia="zh-CN"/>
                    </w:rPr>
                    <w:t>8</w:t>
                  </w:r>
                  <w:r>
                    <w:rPr>
                      <w:rFonts w:hint="eastAsia"/>
                      <w:bCs/>
                      <w:sz w:val="21"/>
                      <w:szCs w:val="21"/>
                      <w:lang w:val="en-US" w:eastAsia="zh-CN"/>
                    </w:rPr>
                    <w:t>H</w:t>
                  </w:r>
                  <w:r>
                    <w:rPr>
                      <w:rFonts w:hint="eastAsia"/>
                      <w:bCs/>
                      <w:sz w:val="21"/>
                      <w:szCs w:val="21"/>
                      <w:vertAlign w:val="subscript"/>
                      <w:lang w:val="en-US" w:eastAsia="zh-CN"/>
                    </w:rPr>
                    <w:t>19</w:t>
                  </w:r>
                  <w:r>
                    <w:rPr>
                      <w:rFonts w:hint="eastAsia"/>
                      <w:bCs/>
                      <w:sz w:val="21"/>
                      <w:szCs w:val="21"/>
                      <w:lang w:val="en-US" w:eastAsia="zh-CN"/>
                    </w:rPr>
                    <w:t>O</w:t>
                  </w:r>
                  <w:r>
                    <w:rPr>
                      <w:rFonts w:hint="eastAsia"/>
                      <w:bCs/>
                      <w:sz w:val="21"/>
                      <w:szCs w:val="21"/>
                      <w:vertAlign w:val="subscript"/>
                      <w:lang w:val="en-US" w:eastAsia="zh-CN"/>
                    </w:rPr>
                    <w:t>4</w:t>
                  </w:r>
                  <w:r>
                    <w:rPr>
                      <w:rFonts w:hint="eastAsia"/>
                      <w:bCs/>
                      <w:sz w:val="21"/>
                      <w:szCs w:val="21"/>
                      <w:lang w:val="en-US" w:eastAsia="zh-CN"/>
                    </w:rPr>
                    <w:t>P，闪点157℃，沸点252℃，密度1.06g/cm³。</w:t>
                  </w:r>
                </w:p>
              </w:tc>
              <w:tc>
                <w:tcPr>
                  <w:tcW w:w="3169" w:type="dxa"/>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left="0" w:leftChars="0" w:right="113" w:firstLine="0" w:firstLineChars="0"/>
                    <w:textAlignment w:val="auto"/>
                    <w:rPr>
                      <w:rFonts w:hint="eastAsia"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毒性</w:t>
                  </w:r>
                  <w:r>
                    <w:rPr>
                      <w:rFonts w:hint="eastAsia" w:cs="Times New Roman"/>
                      <w:bCs/>
                      <w:kern w:val="2"/>
                      <w:sz w:val="21"/>
                      <w:szCs w:val="21"/>
                      <w:lang w:val="en-US" w:eastAsia="zh-CN" w:bidi="ar-SA"/>
                    </w:rPr>
                    <w:t>：LD</w:t>
                  </w:r>
                  <w:r>
                    <w:rPr>
                      <w:rFonts w:hint="eastAsia" w:cs="Times New Roman"/>
                      <w:bCs/>
                      <w:kern w:val="2"/>
                      <w:sz w:val="21"/>
                      <w:szCs w:val="21"/>
                      <w:vertAlign w:val="subscript"/>
                      <w:lang w:val="en-US" w:eastAsia="zh-CN" w:bidi="ar-SA"/>
                    </w:rPr>
                    <w:t>50</w:t>
                  </w:r>
                  <w:r>
                    <w:rPr>
                      <w:rFonts w:hint="eastAsia" w:cs="Times New Roman"/>
                      <w:bCs/>
                      <w:kern w:val="2"/>
                      <w:sz w:val="21"/>
                      <w:szCs w:val="21"/>
                      <w:lang w:val="en-US" w:eastAsia="zh-CN" w:bidi="ar-SA"/>
                    </w:rPr>
                    <w:t>：3200 mg/ kg。</w:t>
                  </w:r>
                </w:p>
                <w:p>
                  <w:pPr>
                    <w:pStyle w:val="8"/>
                    <w:keepNext w:val="0"/>
                    <w:keepLines w:val="0"/>
                    <w:pageBreakBefore w:val="0"/>
                    <w:widowControl/>
                    <w:kinsoku/>
                    <w:wordWrap/>
                    <w:overflowPunct/>
                    <w:topLinePunct w:val="0"/>
                    <w:autoSpaceDE/>
                    <w:autoSpaceDN/>
                    <w:bidi w:val="0"/>
                    <w:adjustRightInd/>
                    <w:snapToGrid w:val="0"/>
                    <w:spacing w:before="0" w:after="0" w:line="240" w:lineRule="auto"/>
                    <w:ind w:left="0" w:leftChars="0" w:right="113" w:firstLine="0" w:firstLineChars="0"/>
                    <w:textAlignment w:val="auto"/>
                    <w:rPr>
                      <w:rFonts w:hint="eastAsia" w:cs="Times New Roman"/>
                      <w:bCs/>
                      <w:kern w:val="2"/>
                      <w:sz w:val="21"/>
                      <w:szCs w:val="21"/>
                      <w:lang w:val="en-US" w:eastAsia="zh-CN" w:bidi="ar-SA"/>
                    </w:rPr>
                  </w:pPr>
                  <w:r>
                    <w:rPr>
                      <w:rFonts w:hint="eastAsia" w:cs="Times New Roman"/>
                      <w:bCs/>
                      <w:kern w:val="2"/>
                      <w:sz w:val="21"/>
                      <w:szCs w:val="21"/>
                      <w:lang w:val="en-US" w:eastAsia="zh-CN" w:bidi="ar-SA"/>
                    </w:rPr>
                    <w:t>危险特性：易燃，应远离火源，强氧化剂，碱、活性金属。</w:t>
                  </w:r>
                </w:p>
                <w:p>
                  <w:pPr>
                    <w:pStyle w:val="8"/>
                    <w:keepNext w:val="0"/>
                    <w:keepLines w:val="0"/>
                    <w:pageBreakBefore w:val="0"/>
                    <w:widowControl/>
                    <w:kinsoku/>
                    <w:wordWrap/>
                    <w:overflowPunct/>
                    <w:topLinePunct w:val="0"/>
                    <w:autoSpaceDE/>
                    <w:autoSpaceDN/>
                    <w:bidi w:val="0"/>
                    <w:adjustRightInd/>
                    <w:snapToGrid w:val="0"/>
                    <w:spacing w:before="0" w:after="0" w:line="240" w:lineRule="auto"/>
                    <w:ind w:left="0" w:leftChars="0" w:right="113" w:firstLine="0" w:firstLineChars="0"/>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健康危害：对皮肤有轻度刺激作用。对眼睛则会严重损害，可能导致化学性结膜炎或角膜损伤。对呼吸系统的危害：吸入后可引起喉、支气管的痉挛、炎症和水肿，化学性肺炎，甚至肺水肿。中毒表现可能包括烧灼感、咳嗽、喘息、喉炎、气短、头痛、恶心和呕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4" w:hRule="atLeast"/>
                <w:jc w:val="center"/>
              </w:trPr>
              <w:tc>
                <w:tcPr>
                  <w:tcW w:w="446"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10</w:t>
                  </w:r>
                </w:p>
              </w:tc>
              <w:tc>
                <w:tcPr>
                  <w:tcW w:w="796" w:type="dxa"/>
                  <w:vAlign w:val="center"/>
                </w:tcPr>
                <w:p>
                  <w:pPr>
                    <w:spacing w:line="240" w:lineRule="auto"/>
                    <w:ind w:firstLine="0" w:firstLineChars="0"/>
                    <w:jc w:val="center"/>
                    <w:rPr>
                      <w:rFonts w:hint="eastAsia"/>
                      <w:bCs/>
                      <w:sz w:val="21"/>
                      <w:szCs w:val="21"/>
                      <w:lang w:val="en-US" w:eastAsia="zh-CN"/>
                    </w:rPr>
                  </w:pPr>
                  <w:r>
                    <w:rPr>
                      <w:rFonts w:hint="eastAsia"/>
                      <w:bCs/>
                      <w:sz w:val="21"/>
                      <w:szCs w:val="21"/>
                      <w:lang w:val="en-US" w:eastAsia="zh-CN"/>
                    </w:rPr>
                    <w:t>丁硫克百威</w:t>
                  </w:r>
                </w:p>
              </w:tc>
              <w:tc>
                <w:tcPr>
                  <w:tcW w:w="761"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55285-14-8</w:t>
                  </w:r>
                </w:p>
              </w:tc>
              <w:tc>
                <w:tcPr>
                  <w:tcW w:w="2654" w:type="dxa"/>
                  <w:vAlign w:val="center"/>
                </w:tcPr>
                <w:p>
                  <w:pPr>
                    <w:spacing w:line="240" w:lineRule="auto"/>
                    <w:ind w:firstLine="0" w:firstLineChars="0"/>
                    <w:jc w:val="left"/>
                    <w:rPr>
                      <w:rFonts w:hint="eastAsia"/>
                      <w:bCs/>
                      <w:sz w:val="21"/>
                      <w:szCs w:val="21"/>
                      <w:lang w:val="en-US" w:eastAsia="zh-CN"/>
                    </w:rPr>
                  </w:pPr>
                  <w:r>
                    <w:rPr>
                      <w:rFonts w:hint="eastAsia"/>
                      <w:bCs/>
                      <w:sz w:val="21"/>
                      <w:szCs w:val="21"/>
                      <w:lang w:val="en-US" w:eastAsia="zh-CN"/>
                    </w:rPr>
                    <w:t>纯品为无色或淡黄色油状液体，分子式为C</w:t>
                  </w:r>
                  <w:r>
                    <w:rPr>
                      <w:rFonts w:hint="eastAsia"/>
                      <w:bCs/>
                      <w:sz w:val="21"/>
                      <w:szCs w:val="21"/>
                      <w:vertAlign w:val="subscript"/>
                      <w:lang w:val="en-US" w:eastAsia="zh-CN"/>
                    </w:rPr>
                    <w:t>20</w:t>
                  </w:r>
                  <w:r>
                    <w:rPr>
                      <w:rFonts w:hint="eastAsia"/>
                      <w:bCs/>
                      <w:sz w:val="21"/>
                      <w:szCs w:val="21"/>
                      <w:lang w:val="en-US" w:eastAsia="zh-CN"/>
                    </w:rPr>
                    <w:t>H</w:t>
                  </w:r>
                  <w:r>
                    <w:rPr>
                      <w:rFonts w:hint="eastAsia"/>
                      <w:bCs/>
                      <w:sz w:val="21"/>
                      <w:szCs w:val="21"/>
                      <w:vertAlign w:val="subscript"/>
                      <w:lang w:val="en-US" w:eastAsia="zh-CN"/>
                    </w:rPr>
                    <w:t>32</w:t>
                  </w:r>
                  <w:r>
                    <w:rPr>
                      <w:rFonts w:hint="eastAsia"/>
                      <w:bCs/>
                      <w:sz w:val="21"/>
                      <w:szCs w:val="21"/>
                      <w:lang w:val="en-US" w:eastAsia="zh-CN"/>
                    </w:rPr>
                    <w:t>N</w:t>
                  </w:r>
                  <w:r>
                    <w:rPr>
                      <w:rFonts w:hint="eastAsia"/>
                      <w:bCs/>
                      <w:sz w:val="21"/>
                      <w:szCs w:val="21"/>
                      <w:vertAlign w:val="subscript"/>
                      <w:lang w:val="en-US" w:eastAsia="zh-CN"/>
                    </w:rPr>
                    <w:t>2</w:t>
                  </w:r>
                  <w:r>
                    <w:rPr>
                      <w:rFonts w:hint="eastAsia"/>
                      <w:bCs/>
                      <w:sz w:val="21"/>
                      <w:szCs w:val="21"/>
                      <w:lang w:val="en-US" w:eastAsia="zh-CN"/>
                    </w:rPr>
                    <w:t>O</w:t>
                  </w:r>
                  <w:r>
                    <w:rPr>
                      <w:rFonts w:hint="eastAsia"/>
                      <w:bCs/>
                      <w:sz w:val="21"/>
                      <w:szCs w:val="21"/>
                      <w:vertAlign w:val="subscript"/>
                      <w:lang w:val="en-US" w:eastAsia="zh-CN"/>
                    </w:rPr>
                    <w:t>3</w:t>
                  </w:r>
                  <w:r>
                    <w:rPr>
                      <w:rFonts w:hint="eastAsia"/>
                      <w:bCs/>
                      <w:sz w:val="21"/>
                      <w:szCs w:val="21"/>
                      <w:lang w:val="en-US" w:eastAsia="zh-CN"/>
                    </w:rPr>
                    <w:t>S，难溶于水，易溶于有机溶剂，闪点96℃，沸点114℃，密度1.056g/cm³。</w:t>
                  </w:r>
                </w:p>
              </w:tc>
              <w:tc>
                <w:tcPr>
                  <w:tcW w:w="3169" w:type="dxa"/>
                  <w:vAlign w:val="center"/>
                </w:tcPr>
                <w:p>
                  <w:pPr>
                    <w:pStyle w:val="8"/>
                    <w:keepNext w:val="0"/>
                    <w:keepLines w:val="0"/>
                    <w:pageBreakBefore w:val="0"/>
                    <w:widowControl/>
                    <w:kinsoku/>
                    <w:wordWrap/>
                    <w:overflowPunct/>
                    <w:topLinePunct w:val="0"/>
                    <w:autoSpaceDE/>
                    <w:autoSpaceDN/>
                    <w:bidi w:val="0"/>
                    <w:adjustRightInd/>
                    <w:snapToGrid w:val="0"/>
                    <w:spacing w:before="0" w:after="0" w:line="260" w:lineRule="auto"/>
                    <w:ind w:left="0" w:leftChars="0" w:right="113" w:firstLine="0" w:firstLineChars="0"/>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毒性：属中等毒性杀虫杀螨剂。大鼠急性经口LD50为209mg/ kg。</w:t>
                  </w:r>
                </w:p>
                <w:p>
                  <w:pPr>
                    <w:pStyle w:val="8"/>
                    <w:keepNext w:val="0"/>
                    <w:keepLines w:val="0"/>
                    <w:pageBreakBefore w:val="0"/>
                    <w:widowControl/>
                    <w:kinsoku/>
                    <w:wordWrap/>
                    <w:overflowPunct/>
                    <w:topLinePunct w:val="0"/>
                    <w:autoSpaceDE/>
                    <w:autoSpaceDN/>
                    <w:bidi w:val="0"/>
                    <w:adjustRightInd/>
                    <w:snapToGrid w:val="0"/>
                    <w:spacing w:before="0" w:after="0" w:line="260" w:lineRule="auto"/>
                    <w:ind w:left="0" w:leftChars="0" w:right="113" w:firstLine="0" w:firstLineChars="0"/>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健康危害：</w:t>
                  </w:r>
                  <w:r>
                    <w:rPr>
                      <w:rFonts w:hint="eastAsia" w:cs="Times New Roman"/>
                      <w:bCs/>
                      <w:kern w:val="2"/>
                      <w:sz w:val="21"/>
                      <w:szCs w:val="21"/>
                      <w:lang w:val="en-US" w:eastAsia="zh-CN" w:bidi="ar-SA"/>
                    </w:rPr>
                    <w:t>接触丁硫克百威后可能会头昏、头痛、乏力、面色苍白、呕吐、多汗、流涎、瞳孔缩小、视力模糊。严重者出现血压下降、意识不清，皮肤出现接触性皮炎如风疹，局部红肿 奇痒，眼结膜充血、流泪、胸闷、呼吸困难等中毒症状出现快，一般几分钟至1小时即表现出来。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11</w:t>
                  </w:r>
                </w:p>
              </w:tc>
              <w:tc>
                <w:tcPr>
                  <w:tcW w:w="796" w:type="dxa"/>
                  <w:vAlign w:val="center"/>
                </w:tcPr>
                <w:p>
                  <w:pPr>
                    <w:spacing w:line="240" w:lineRule="auto"/>
                    <w:ind w:firstLine="0" w:firstLineChars="0"/>
                    <w:jc w:val="center"/>
                    <w:rPr>
                      <w:rFonts w:hint="eastAsia"/>
                      <w:bCs/>
                      <w:sz w:val="21"/>
                      <w:szCs w:val="21"/>
                      <w:lang w:val="en-US" w:eastAsia="zh-CN"/>
                    </w:rPr>
                  </w:pPr>
                  <w:r>
                    <w:rPr>
                      <w:rFonts w:hint="default" w:ascii="Times New Roman" w:hAnsi="Times New Roman" w:eastAsia="宋体" w:cs="Times New Roman"/>
                      <w:color w:val="auto"/>
                      <w:sz w:val="21"/>
                      <w:szCs w:val="21"/>
                      <w:lang w:val="en-US" w:eastAsia="zh-CN"/>
                    </w:rPr>
                    <w:t>环氧大豆油</w:t>
                  </w:r>
                </w:p>
              </w:tc>
              <w:tc>
                <w:tcPr>
                  <w:tcW w:w="761"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br w:type="textWrapping"/>
                  </w:r>
                  <w:r>
                    <w:rPr>
                      <w:rFonts w:hint="eastAsia"/>
                      <w:sz w:val="21"/>
                      <w:szCs w:val="21"/>
                      <w:lang w:val="en-US" w:eastAsia="zh-CN"/>
                    </w:rPr>
                    <w:t>8013-07-8</w:t>
                  </w:r>
                </w:p>
              </w:tc>
              <w:tc>
                <w:tcPr>
                  <w:tcW w:w="2654" w:type="dxa"/>
                  <w:vAlign w:val="center"/>
                </w:tcPr>
                <w:p>
                  <w:pPr>
                    <w:spacing w:line="240" w:lineRule="auto"/>
                    <w:ind w:firstLine="0" w:firstLineChars="0"/>
                    <w:jc w:val="left"/>
                    <w:rPr>
                      <w:rFonts w:hint="eastAsia"/>
                      <w:bCs/>
                      <w:sz w:val="21"/>
                      <w:szCs w:val="21"/>
                      <w:lang w:val="en-US" w:eastAsia="zh-CN"/>
                    </w:rPr>
                  </w:pPr>
                  <w:r>
                    <w:rPr>
                      <w:rFonts w:hint="eastAsia"/>
                      <w:bCs/>
                      <w:sz w:val="21"/>
                      <w:szCs w:val="21"/>
                      <w:lang w:val="en-US" w:eastAsia="zh-CN"/>
                    </w:rPr>
                    <w:t>常温下为浅黄色黏稠油状液体。化学式为(RC</w:t>
                  </w:r>
                  <w:r>
                    <w:rPr>
                      <w:rFonts w:hint="eastAsia"/>
                      <w:bCs/>
                      <w:sz w:val="21"/>
                      <w:szCs w:val="21"/>
                      <w:vertAlign w:val="subscript"/>
                      <w:lang w:val="en-US" w:eastAsia="zh-CN"/>
                    </w:rPr>
                    <w:t>2</w:t>
                  </w:r>
                  <w:r>
                    <w:rPr>
                      <w:rFonts w:hint="eastAsia"/>
                      <w:bCs/>
                      <w:sz w:val="21"/>
                      <w:szCs w:val="21"/>
                      <w:lang w:val="en-US" w:eastAsia="zh-CN"/>
                    </w:rPr>
                    <w:t>H</w:t>
                  </w:r>
                  <w:r>
                    <w:rPr>
                      <w:rFonts w:hint="eastAsia"/>
                      <w:bCs/>
                      <w:sz w:val="21"/>
                      <w:szCs w:val="21"/>
                      <w:vertAlign w:val="subscript"/>
                      <w:lang w:val="en-US" w:eastAsia="zh-CN"/>
                    </w:rPr>
                    <w:t>2</w:t>
                  </w:r>
                  <w:r>
                    <w:rPr>
                      <w:rFonts w:hint="eastAsia"/>
                      <w:bCs/>
                      <w:sz w:val="21"/>
                      <w:szCs w:val="21"/>
                      <w:lang w:val="en-US" w:eastAsia="zh-CN"/>
                    </w:rPr>
                    <w:t>OR'COO)</w:t>
                  </w:r>
                  <w:r>
                    <w:rPr>
                      <w:rFonts w:hint="eastAsia"/>
                      <w:bCs/>
                      <w:sz w:val="21"/>
                      <w:szCs w:val="21"/>
                      <w:vertAlign w:val="subscript"/>
                      <w:lang w:val="en-US" w:eastAsia="zh-CN"/>
                    </w:rPr>
                    <w:t>3</w:t>
                  </w:r>
                  <w:r>
                    <w:rPr>
                      <w:rFonts w:hint="eastAsia"/>
                      <w:bCs/>
                      <w:sz w:val="21"/>
                      <w:szCs w:val="21"/>
                      <w:lang w:val="en-US" w:eastAsia="zh-CN"/>
                    </w:rPr>
                    <w:t>C</w:t>
                  </w:r>
                  <w:r>
                    <w:rPr>
                      <w:rFonts w:hint="eastAsia"/>
                      <w:bCs/>
                      <w:sz w:val="21"/>
                      <w:szCs w:val="21"/>
                      <w:vertAlign w:val="subscript"/>
                      <w:lang w:val="en-US" w:eastAsia="zh-CN"/>
                    </w:rPr>
                    <w:t>3</w:t>
                  </w:r>
                  <w:r>
                    <w:rPr>
                      <w:rFonts w:hint="eastAsia"/>
                      <w:bCs/>
                      <w:sz w:val="21"/>
                      <w:szCs w:val="21"/>
                      <w:lang w:val="en-US" w:eastAsia="zh-CN"/>
                    </w:rPr>
                    <w:t>H</w:t>
                  </w:r>
                  <w:r>
                    <w:rPr>
                      <w:rFonts w:hint="eastAsia"/>
                      <w:bCs/>
                      <w:sz w:val="21"/>
                      <w:szCs w:val="21"/>
                      <w:vertAlign w:val="subscript"/>
                      <w:lang w:val="en-US" w:eastAsia="zh-CN"/>
                    </w:rPr>
                    <w:t>5</w:t>
                  </w:r>
                  <w:r>
                    <w:rPr>
                      <w:rFonts w:hint="eastAsia"/>
                      <w:bCs/>
                      <w:sz w:val="21"/>
                      <w:szCs w:val="21"/>
                      <w:lang w:val="en-US" w:eastAsia="zh-CN"/>
                    </w:rPr>
                    <w:t>，闪点280℃，沸点150℃，密0.988-0.999g/cm³。溶于大多数有机溶剂和烃类，不溶于水。</w:t>
                  </w:r>
                </w:p>
              </w:tc>
              <w:tc>
                <w:tcPr>
                  <w:tcW w:w="3169" w:type="dxa"/>
                  <w:vAlign w:val="center"/>
                </w:tcPr>
                <w:p>
                  <w:pPr>
                    <w:pStyle w:val="8"/>
                    <w:ind w:left="0" w:leftChars="0" w:firstLine="0" w:firstLineChars="0"/>
                    <w:rPr>
                      <w:rFonts w:hint="eastAsia" w:cs="Times New Roman"/>
                      <w:bCs/>
                      <w:kern w:val="2"/>
                      <w:sz w:val="21"/>
                      <w:szCs w:val="21"/>
                      <w:lang w:val="en-US" w:eastAsia="zh-CN" w:bidi="ar-SA"/>
                    </w:rPr>
                  </w:pPr>
                  <w:r>
                    <w:rPr>
                      <w:rFonts w:hint="eastAsia" w:cs="Times New Roman"/>
                      <w:bCs/>
                      <w:kern w:val="2"/>
                      <w:sz w:val="21"/>
                      <w:szCs w:val="21"/>
                      <w:lang w:val="en-US" w:eastAsia="zh-CN" w:bidi="ar-SA"/>
                    </w:rPr>
                    <w:t>毒性极低，美、英、法、德、日、意、荷兰等国均许可其用于制作食品包装材料，具有低挥发性、耐热性。</w:t>
                  </w:r>
                </w:p>
                <w:p>
                  <w:pPr>
                    <w:pStyle w:val="8"/>
                    <w:ind w:left="0" w:leftChars="0" w:firstLine="0" w:firstLineChars="0"/>
                    <w:rPr>
                      <w:rFonts w:hint="eastAsia" w:cs="Times New Roman"/>
                      <w:bCs/>
                      <w:kern w:val="2"/>
                      <w:sz w:val="21"/>
                      <w:szCs w:val="21"/>
                      <w:lang w:val="en-US" w:eastAsia="zh-CN" w:bidi="ar-SA"/>
                    </w:rPr>
                  </w:pPr>
                  <w:r>
                    <w:rPr>
                      <w:rFonts w:hint="eastAsia" w:cs="Times New Roman"/>
                      <w:bCs/>
                      <w:kern w:val="2"/>
                      <w:sz w:val="21"/>
                      <w:szCs w:val="21"/>
                      <w:lang w:val="en-US" w:eastAsia="zh-CN" w:bidi="ar-SA"/>
                    </w:rPr>
                    <w:t>危险特性：易燃。</w:t>
                  </w:r>
                </w:p>
                <w:p>
                  <w:pPr>
                    <w:pStyle w:val="8"/>
                    <w:ind w:left="0" w:leftChars="0" w:firstLine="0" w:firstLineChars="0"/>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健康危害：</w:t>
                  </w:r>
                  <w:r>
                    <w:rPr>
                      <w:rFonts w:hint="eastAsia" w:cs="Times New Roman"/>
                      <w:bCs/>
                      <w:kern w:val="2"/>
                      <w:sz w:val="21"/>
                      <w:szCs w:val="21"/>
                      <w:lang w:val="en-US" w:eastAsia="zh-CN" w:bidi="ar-SA"/>
                    </w:rPr>
                    <w:t>皮肤接触可能有害，造成轻微皮肤刺激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12</w:t>
                  </w:r>
                </w:p>
              </w:tc>
              <w:tc>
                <w:tcPr>
                  <w:tcW w:w="796" w:type="dxa"/>
                  <w:vAlign w:val="center"/>
                </w:tcPr>
                <w:p>
                  <w:pPr>
                    <w:spacing w:line="240" w:lineRule="auto"/>
                    <w:ind w:firstLine="0" w:firstLineChars="0"/>
                    <w:jc w:val="center"/>
                    <w:rPr>
                      <w:rFonts w:hint="eastAsia"/>
                      <w:bCs/>
                      <w:sz w:val="21"/>
                      <w:szCs w:val="21"/>
                      <w:lang w:val="en-US" w:eastAsia="zh-CN"/>
                    </w:rPr>
                  </w:pPr>
                  <w:r>
                    <w:rPr>
                      <w:rFonts w:hint="default" w:ascii="Times New Roman" w:hAnsi="Times New Roman" w:eastAsia="宋体" w:cs="Times New Roman"/>
                      <w:color w:val="auto"/>
                      <w:sz w:val="21"/>
                      <w:szCs w:val="21"/>
                      <w:lang w:val="en-US" w:eastAsia="zh-CN"/>
                    </w:rPr>
                    <w:t>环氧亚麻籽油</w:t>
                  </w:r>
                </w:p>
              </w:tc>
              <w:tc>
                <w:tcPr>
                  <w:tcW w:w="761" w:type="dxa"/>
                  <w:vAlign w:val="center"/>
                </w:tcPr>
                <w:p>
                  <w:pPr>
                    <w:spacing w:line="240" w:lineRule="auto"/>
                    <w:ind w:firstLine="0" w:firstLineChars="0"/>
                    <w:jc w:val="both"/>
                    <w:rPr>
                      <w:rFonts w:hint="eastAsia"/>
                      <w:sz w:val="21"/>
                      <w:szCs w:val="21"/>
                      <w:lang w:val="en-US" w:eastAsia="zh-CN"/>
                    </w:rPr>
                  </w:pPr>
                  <w:r>
                    <w:rPr>
                      <w:rFonts w:hint="eastAsia"/>
                      <w:sz w:val="21"/>
                      <w:szCs w:val="21"/>
                      <w:lang w:val="en-US" w:eastAsia="zh-CN"/>
                    </w:rPr>
                    <w:t xml:space="preserve">                                                 8016-11-3</w:t>
                  </w:r>
                </w:p>
              </w:tc>
              <w:tc>
                <w:tcPr>
                  <w:tcW w:w="2654" w:type="dxa"/>
                  <w:vAlign w:val="center"/>
                </w:tcPr>
                <w:p>
                  <w:pPr>
                    <w:spacing w:line="240" w:lineRule="auto"/>
                    <w:ind w:firstLine="0" w:firstLineChars="0"/>
                    <w:jc w:val="left"/>
                    <w:rPr>
                      <w:rFonts w:hint="default"/>
                      <w:bCs/>
                      <w:sz w:val="21"/>
                      <w:szCs w:val="21"/>
                      <w:lang w:val="en-US" w:eastAsia="zh-CN"/>
                    </w:rPr>
                  </w:pPr>
                  <w:r>
                    <w:rPr>
                      <w:rFonts w:hint="eastAsia"/>
                      <w:bCs/>
                      <w:sz w:val="21"/>
                      <w:szCs w:val="21"/>
                      <w:lang w:val="en-US" w:eastAsia="zh-CN"/>
                    </w:rPr>
                    <w:t>一种塑料添加剂，淡黄色清澈，透明油状液体化学式为C</w:t>
                  </w:r>
                  <w:r>
                    <w:rPr>
                      <w:rFonts w:hint="eastAsia"/>
                      <w:bCs/>
                      <w:sz w:val="21"/>
                      <w:szCs w:val="21"/>
                      <w:vertAlign w:val="subscript"/>
                      <w:lang w:val="en-US" w:eastAsia="zh-CN"/>
                    </w:rPr>
                    <w:t>8</w:t>
                  </w:r>
                  <w:r>
                    <w:rPr>
                      <w:rFonts w:hint="eastAsia"/>
                      <w:bCs/>
                      <w:sz w:val="21"/>
                      <w:szCs w:val="21"/>
                      <w:lang w:val="en-US" w:eastAsia="zh-CN"/>
                    </w:rPr>
                    <w:t>H</w:t>
                  </w:r>
                  <w:r>
                    <w:rPr>
                      <w:rFonts w:hint="eastAsia"/>
                      <w:bCs/>
                      <w:sz w:val="21"/>
                      <w:szCs w:val="21"/>
                      <w:vertAlign w:val="subscript"/>
                      <w:lang w:val="en-US" w:eastAsia="zh-CN"/>
                    </w:rPr>
                    <w:t>12</w:t>
                  </w:r>
                  <w:r>
                    <w:rPr>
                      <w:rFonts w:hint="eastAsia"/>
                      <w:bCs/>
                      <w:sz w:val="21"/>
                      <w:szCs w:val="21"/>
                      <w:lang w:val="en-US" w:eastAsia="zh-CN"/>
                    </w:rPr>
                    <w:t>N</w:t>
                  </w:r>
                  <w:r>
                    <w:rPr>
                      <w:rFonts w:hint="eastAsia"/>
                      <w:bCs/>
                      <w:sz w:val="21"/>
                      <w:szCs w:val="21"/>
                      <w:vertAlign w:val="subscript"/>
                      <w:lang w:val="en-US" w:eastAsia="zh-CN"/>
                    </w:rPr>
                    <w:t>2</w:t>
                  </w:r>
                  <w:r>
                    <w:rPr>
                      <w:rFonts w:hint="eastAsia"/>
                      <w:bCs/>
                      <w:sz w:val="21"/>
                      <w:szCs w:val="21"/>
                      <w:lang w:val="en-US" w:eastAsia="zh-CN"/>
                    </w:rPr>
                    <w:t>，闪点310℃，密度1.034g/cm³。化学性质稳定，较高的耐候性，能够抵御氧化、紫外线和化学腐蚀。脱水固化性，与空气中的氧发生反应，形成坚硬的膜状物质。</w:t>
                  </w:r>
                </w:p>
              </w:tc>
              <w:tc>
                <w:tcPr>
                  <w:tcW w:w="3169" w:type="dxa"/>
                  <w:vAlign w:val="center"/>
                </w:tcPr>
                <w:p>
                  <w:pPr>
                    <w:pStyle w:val="8"/>
                    <w:ind w:left="0" w:leftChars="0" w:firstLine="0" w:firstLineChars="0"/>
                    <w:rPr>
                      <w:rFonts w:hint="eastAsia"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较低的毒性、较好的生物降解能力</w:t>
                  </w:r>
                  <w:r>
                    <w:rPr>
                      <w:rFonts w:hint="eastAsia" w:cs="Times New Roman"/>
                      <w:bCs/>
                      <w:kern w:val="2"/>
                      <w:sz w:val="21"/>
                      <w:szCs w:val="21"/>
                      <w:lang w:val="en-US" w:eastAsia="zh-CN" w:bidi="ar-SA"/>
                    </w:rPr>
                    <w:t>。</w:t>
                  </w:r>
                </w:p>
                <w:p>
                  <w:pPr>
                    <w:pStyle w:val="8"/>
                    <w:ind w:left="0" w:leftChars="0" w:firstLine="0" w:firstLineChars="0"/>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健康危害：</w:t>
                  </w:r>
                  <w:r>
                    <w:rPr>
                      <w:rFonts w:hint="eastAsia" w:cs="Times New Roman"/>
                      <w:bCs/>
                      <w:kern w:val="2"/>
                      <w:sz w:val="21"/>
                      <w:szCs w:val="21"/>
                      <w:lang w:val="en-US" w:eastAsia="zh-CN" w:bidi="ar-SA"/>
                    </w:rPr>
                    <w:t>食入可能对身体有害，皮肤和眼睛接触可能有过敏反应。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13</w:t>
                  </w:r>
                </w:p>
              </w:tc>
              <w:tc>
                <w:tcPr>
                  <w:tcW w:w="796" w:type="dxa"/>
                  <w:vAlign w:val="center"/>
                </w:tcPr>
                <w:p>
                  <w:pPr>
                    <w:spacing w:line="240" w:lineRule="auto"/>
                    <w:ind w:firstLine="0" w:firstLineChars="0"/>
                    <w:jc w:val="center"/>
                    <w:rPr>
                      <w:rFonts w:hint="eastAsia"/>
                      <w:bCs/>
                      <w:sz w:val="21"/>
                      <w:szCs w:val="21"/>
                      <w:lang w:val="en-US" w:eastAsia="zh-CN"/>
                    </w:rPr>
                  </w:pPr>
                  <w:r>
                    <w:rPr>
                      <w:rFonts w:hint="eastAsia"/>
                      <w:bCs/>
                      <w:sz w:val="21"/>
                      <w:szCs w:val="21"/>
                      <w:lang w:val="en-US" w:eastAsia="zh-CN"/>
                    </w:rPr>
                    <w:t>冷冻机油</w:t>
                  </w:r>
                </w:p>
              </w:tc>
              <w:tc>
                <w:tcPr>
                  <w:tcW w:w="761"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w:t>
                  </w:r>
                </w:p>
              </w:tc>
              <w:tc>
                <w:tcPr>
                  <w:tcW w:w="2654" w:type="dxa"/>
                  <w:vAlign w:val="center"/>
                </w:tcPr>
                <w:p>
                  <w:pPr>
                    <w:spacing w:line="240" w:lineRule="auto"/>
                    <w:ind w:firstLine="0" w:firstLineChars="0"/>
                    <w:jc w:val="left"/>
                    <w:rPr>
                      <w:rFonts w:hint="default"/>
                      <w:bCs/>
                      <w:sz w:val="21"/>
                      <w:szCs w:val="21"/>
                      <w:lang w:val="en-US" w:eastAsia="zh-CN"/>
                    </w:rPr>
                  </w:pPr>
                  <w:r>
                    <w:rPr>
                      <w:rFonts w:hint="eastAsia"/>
                      <w:bCs/>
                      <w:sz w:val="21"/>
                      <w:szCs w:val="21"/>
                      <w:lang w:val="en-US" w:eastAsia="zh-CN"/>
                    </w:rPr>
                    <w:t>用于冷冻机械的润滑油类物质，主要由聚四氟乙烯等合成润滑油组成，化学结构属于酯类，化学性质稳定，在高温下不会分解变质具有润滑、密封、减振、冷却、防腐等作用。</w:t>
                  </w:r>
                </w:p>
              </w:tc>
              <w:tc>
                <w:tcPr>
                  <w:tcW w:w="3169" w:type="dxa"/>
                  <w:vAlign w:val="center"/>
                </w:tcPr>
                <w:p>
                  <w:pPr>
                    <w:pStyle w:val="8"/>
                    <w:ind w:left="0" w:leftChars="0" w:firstLine="0" w:firstLineChars="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在正常使用情况下，对人类健康的直接影响较小。然而，不当使用或处理废弃冷冻机油可能会对人体健康造成严重威胁。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shd w:val="clear" w:color="auto" w:fill="auto"/>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14</w:t>
                  </w:r>
                </w:p>
              </w:tc>
              <w:tc>
                <w:tcPr>
                  <w:tcW w:w="796" w:type="dxa"/>
                  <w:shd w:val="clear" w:color="auto" w:fill="auto"/>
                  <w:vAlign w:val="center"/>
                </w:tcPr>
                <w:p>
                  <w:pPr>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500#</w:t>
                  </w:r>
                </w:p>
              </w:tc>
              <w:tc>
                <w:tcPr>
                  <w:tcW w:w="761" w:type="dxa"/>
                  <w:shd w:val="clear" w:color="auto" w:fill="auto"/>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26264-06-2</w:t>
                  </w:r>
                </w:p>
              </w:tc>
              <w:tc>
                <w:tcPr>
                  <w:tcW w:w="2654" w:type="dxa"/>
                  <w:shd w:val="clear" w:color="auto" w:fill="auto"/>
                  <w:vAlign w:val="center"/>
                </w:tcPr>
                <w:p>
                  <w:pPr>
                    <w:spacing w:line="240" w:lineRule="auto"/>
                    <w:ind w:firstLine="0" w:firstLineChars="0"/>
                    <w:jc w:val="left"/>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指十二烷基苯磺酸钙，C</w:t>
                  </w:r>
                  <w:r>
                    <w:rPr>
                      <w:rFonts w:hint="eastAsia"/>
                      <w:bCs/>
                      <w:sz w:val="21"/>
                      <w:szCs w:val="21"/>
                      <w:vertAlign w:val="subscript"/>
                      <w:lang w:val="en-US" w:eastAsia="zh-CN"/>
                    </w:rPr>
                    <w:t>36</w:t>
                  </w:r>
                  <w:r>
                    <w:rPr>
                      <w:rFonts w:hint="eastAsia"/>
                      <w:bCs/>
                      <w:sz w:val="21"/>
                      <w:szCs w:val="21"/>
                      <w:lang w:val="en-US" w:eastAsia="zh-CN"/>
                    </w:rPr>
                    <w:t>H</w:t>
                  </w:r>
                  <w:r>
                    <w:rPr>
                      <w:rFonts w:hint="eastAsia"/>
                      <w:bCs/>
                      <w:sz w:val="21"/>
                      <w:szCs w:val="21"/>
                      <w:vertAlign w:val="subscript"/>
                      <w:lang w:val="en-US" w:eastAsia="zh-CN"/>
                    </w:rPr>
                    <w:t>58</w:t>
                  </w:r>
                  <w:r>
                    <w:rPr>
                      <w:rFonts w:hint="eastAsia"/>
                      <w:bCs/>
                      <w:sz w:val="21"/>
                      <w:szCs w:val="21"/>
                      <w:lang w:val="en-US" w:eastAsia="zh-CN"/>
                    </w:rPr>
                    <w:t>CaO</w:t>
                  </w:r>
                  <w:r>
                    <w:rPr>
                      <w:rFonts w:hint="eastAsia"/>
                      <w:bCs/>
                      <w:sz w:val="21"/>
                      <w:szCs w:val="21"/>
                      <w:vertAlign w:val="subscript"/>
                      <w:lang w:val="en-US" w:eastAsia="zh-CN"/>
                    </w:rPr>
                    <w:t>6</w:t>
                  </w:r>
                  <w:r>
                    <w:rPr>
                      <w:rFonts w:hint="eastAsia"/>
                      <w:bCs/>
                      <w:sz w:val="21"/>
                      <w:szCs w:val="21"/>
                      <w:lang w:val="en-US" w:eastAsia="zh-CN"/>
                    </w:rPr>
                    <w:t>S</w:t>
                  </w:r>
                  <w:r>
                    <w:rPr>
                      <w:rFonts w:hint="eastAsia"/>
                      <w:bCs/>
                      <w:sz w:val="21"/>
                      <w:szCs w:val="21"/>
                      <w:vertAlign w:val="subscript"/>
                      <w:lang w:val="en-US" w:eastAsia="zh-CN"/>
                    </w:rPr>
                    <w:t>2</w:t>
                  </w:r>
                  <w:r>
                    <w:rPr>
                      <w:rFonts w:hint="eastAsia"/>
                      <w:bCs/>
                      <w:sz w:val="21"/>
                      <w:szCs w:val="21"/>
                      <w:lang w:val="en-US" w:eastAsia="zh-CN"/>
                    </w:rPr>
                    <w:t>，分子量691.05。该物质为白色至淡黄色粒状固体或黄棕色透明粘稠液体</w:t>
                  </w:r>
                </w:p>
              </w:tc>
              <w:tc>
                <w:tcPr>
                  <w:tcW w:w="3169" w:type="dxa"/>
                  <w:shd w:val="clear" w:color="auto" w:fill="auto"/>
                  <w:vAlign w:val="center"/>
                </w:tcPr>
                <w:p>
                  <w:pPr>
                    <w:pStyle w:val="8"/>
                    <w:ind w:left="0" w:leftChars="0" w:right="113" w:rightChars="0" w:firstLine="0" w:firstLineChars="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 xml:space="preserve">急性毒性：口服-大鼠 LD50: 4000 </w:t>
                  </w:r>
                  <w:r>
                    <w:rPr>
                      <w:rFonts w:hint="eastAsia" w:cs="Times New Roman"/>
                      <w:bCs/>
                      <w:kern w:val="2"/>
                      <w:sz w:val="21"/>
                      <w:szCs w:val="21"/>
                      <w:lang w:val="en-US" w:eastAsia="zh-CN" w:bidi="ar-SA"/>
                    </w:rPr>
                    <w:t>mg/kg；</w:t>
                  </w:r>
                  <w:r>
                    <w:rPr>
                      <w:rFonts w:hint="eastAsia" w:ascii="Times New Roman" w:hAnsi="Times New Roman" w:eastAsia="宋体" w:cs="Times New Roman"/>
                      <w:bCs/>
                      <w:kern w:val="2"/>
                      <w:sz w:val="21"/>
                      <w:szCs w:val="21"/>
                      <w:lang w:val="en-US" w:eastAsia="zh-CN" w:bidi="ar-SA"/>
                    </w:rPr>
                    <w:t>口服-小鼠 LD50: 3680</w:t>
                  </w:r>
                  <w:r>
                    <w:rPr>
                      <w:rFonts w:hint="eastAsia" w:cs="Times New Roman"/>
                      <w:bCs/>
                      <w:kern w:val="2"/>
                      <w:sz w:val="21"/>
                      <w:szCs w:val="21"/>
                      <w:lang w:val="en-US" w:eastAsia="zh-CN" w:bidi="ar-SA"/>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shd w:val="clear" w:color="auto" w:fill="auto"/>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15</w:t>
                  </w:r>
                </w:p>
              </w:tc>
              <w:tc>
                <w:tcPr>
                  <w:tcW w:w="796" w:type="dxa"/>
                  <w:shd w:val="clear" w:color="auto" w:fill="auto"/>
                  <w:vAlign w:val="center"/>
                </w:tcPr>
                <w:p>
                  <w:pPr>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1602#</w:t>
                  </w:r>
                </w:p>
              </w:tc>
              <w:tc>
                <w:tcPr>
                  <w:tcW w:w="761" w:type="dxa"/>
                  <w:shd w:val="clear" w:color="auto" w:fill="auto"/>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99734-09-05</w:t>
                  </w:r>
                </w:p>
              </w:tc>
              <w:tc>
                <w:tcPr>
                  <w:tcW w:w="2654" w:type="dxa"/>
                  <w:shd w:val="clear" w:color="auto" w:fill="auto"/>
                  <w:vAlign w:val="center"/>
                </w:tcPr>
                <w:p>
                  <w:pPr>
                    <w:spacing w:line="240" w:lineRule="auto"/>
                    <w:ind w:firstLine="0" w:firstLineChars="0"/>
                    <w:jc w:val="left"/>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主要成份是三苯乙烯基苯酚聚氧乙烯醚类非离子表面活性剂，纯度99%。三苯乙烯苯酚聚氧乙烯分子式C</w:t>
                  </w:r>
                  <w:r>
                    <w:rPr>
                      <w:rFonts w:hint="eastAsia"/>
                      <w:bCs/>
                      <w:sz w:val="21"/>
                      <w:szCs w:val="21"/>
                      <w:vertAlign w:val="subscript"/>
                      <w:lang w:val="en-US" w:eastAsia="zh-CN"/>
                    </w:rPr>
                    <w:t>11</w:t>
                  </w:r>
                  <w:r>
                    <w:rPr>
                      <w:rFonts w:hint="eastAsia"/>
                      <w:bCs/>
                      <w:sz w:val="21"/>
                      <w:szCs w:val="21"/>
                      <w:lang w:val="en-US" w:eastAsia="zh-CN"/>
                    </w:rPr>
                    <w:t>H</w:t>
                  </w:r>
                  <w:r>
                    <w:rPr>
                      <w:rFonts w:hint="eastAsia"/>
                      <w:bCs/>
                      <w:sz w:val="21"/>
                      <w:szCs w:val="21"/>
                      <w:vertAlign w:val="subscript"/>
                      <w:lang w:val="en-US" w:eastAsia="zh-CN"/>
                    </w:rPr>
                    <w:t>11</w:t>
                  </w:r>
                  <w:r>
                    <w:rPr>
                      <w:rFonts w:hint="eastAsia"/>
                      <w:bCs/>
                      <w:sz w:val="21"/>
                      <w:szCs w:val="21"/>
                      <w:lang w:val="en-US" w:eastAsia="zh-CN"/>
                    </w:rPr>
                    <w:t>C</w:t>
                  </w:r>
                  <w:r>
                    <w:rPr>
                      <w:rFonts w:hint="eastAsia"/>
                      <w:bCs/>
                      <w:sz w:val="21"/>
                      <w:szCs w:val="21"/>
                      <w:vertAlign w:val="subscript"/>
                      <w:lang w:val="en-US" w:eastAsia="zh-CN"/>
                    </w:rPr>
                    <w:t>l2</w:t>
                  </w:r>
                  <w:r>
                    <w:rPr>
                      <w:rFonts w:hint="eastAsia"/>
                      <w:bCs/>
                      <w:sz w:val="21"/>
                      <w:szCs w:val="21"/>
                      <w:lang w:val="en-US" w:eastAsia="zh-CN"/>
                    </w:rPr>
                    <w:t>NO</w:t>
                  </w:r>
                  <w:r>
                    <w:rPr>
                      <w:rFonts w:hint="eastAsia"/>
                      <w:bCs/>
                      <w:sz w:val="21"/>
                      <w:szCs w:val="21"/>
                      <w:vertAlign w:val="subscript"/>
                      <w:lang w:val="en-US" w:eastAsia="zh-CN"/>
                    </w:rPr>
                    <w:t>2</w:t>
                  </w:r>
                  <w:r>
                    <w:rPr>
                      <w:rFonts w:hint="eastAsia"/>
                      <w:bCs/>
                      <w:sz w:val="21"/>
                      <w:szCs w:val="21"/>
                      <w:lang w:val="en-US" w:eastAsia="zh-CN"/>
                    </w:rPr>
                    <w:t>，淡黄色可流动黏液，浊点76～77℃，折射率1.4890～1.4900，适应水温范围15～35℃，亲水性较强。易溶于水、醇、苯类等溶剂。</w:t>
                  </w:r>
                </w:p>
              </w:tc>
              <w:tc>
                <w:tcPr>
                  <w:tcW w:w="3169" w:type="dxa"/>
                  <w:shd w:val="clear" w:color="auto" w:fill="auto"/>
                  <w:vAlign w:val="center"/>
                </w:tcPr>
                <w:p>
                  <w:pPr>
                    <w:pStyle w:val="8"/>
                    <w:ind w:left="0" w:leftChars="0" w:right="113" w:rightChars="0" w:firstLine="0" w:firstLineChars="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急性毒性：</w:t>
                  </w:r>
                  <w:r>
                    <w:rPr>
                      <w:rFonts w:hint="eastAsia" w:cs="Times New Roman"/>
                      <w:bCs/>
                      <w:kern w:val="2"/>
                      <w:sz w:val="21"/>
                      <w:szCs w:val="21"/>
                      <w:lang w:val="en-US" w:eastAsia="zh-CN" w:bidi="ar-SA"/>
                    </w:rPr>
                    <w:t>低毒类，</w:t>
                  </w:r>
                  <w:r>
                    <w:rPr>
                      <w:rFonts w:hint="eastAsia" w:ascii="Times New Roman" w:hAnsi="Times New Roman" w:eastAsia="宋体" w:cs="Times New Roman"/>
                      <w:bCs/>
                      <w:kern w:val="2"/>
                      <w:sz w:val="21"/>
                      <w:szCs w:val="21"/>
                      <w:lang w:val="en-US" w:eastAsia="zh-CN" w:bidi="ar-SA"/>
                    </w:rPr>
                    <w:t>口服-大鼠 LD50: 4</w:t>
                  </w:r>
                  <w:r>
                    <w:rPr>
                      <w:rFonts w:hint="eastAsia" w:cs="Times New Roman"/>
                      <w:bCs/>
                      <w:kern w:val="2"/>
                      <w:sz w:val="21"/>
                      <w:szCs w:val="21"/>
                      <w:lang w:val="en-US" w:eastAsia="zh-CN" w:bidi="ar-SA"/>
                    </w:rPr>
                    <w:t>3</w:t>
                  </w:r>
                  <w:r>
                    <w:rPr>
                      <w:rFonts w:hint="eastAsia" w:ascii="Times New Roman" w:hAnsi="Times New Roman" w:eastAsia="宋体" w:cs="Times New Roman"/>
                      <w:bCs/>
                      <w:kern w:val="2"/>
                      <w:sz w:val="21"/>
                      <w:szCs w:val="21"/>
                      <w:lang w:val="en-US" w:eastAsia="zh-CN" w:bidi="ar-SA"/>
                    </w:rPr>
                    <w:t xml:space="preserve">00 </w:t>
                  </w:r>
                  <w:r>
                    <w:rPr>
                      <w:rFonts w:hint="eastAsia" w:cs="Times New Roman"/>
                      <w:bCs/>
                      <w:kern w:val="2"/>
                      <w:sz w:val="21"/>
                      <w:szCs w:val="21"/>
                      <w:lang w:val="en-US" w:eastAsia="zh-CN" w:bidi="ar-SA"/>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shd w:val="clear" w:color="auto" w:fill="auto"/>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16</w:t>
                  </w:r>
                </w:p>
              </w:tc>
              <w:tc>
                <w:tcPr>
                  <w:tcW w:w="796" w:type="dxa"/>
                  <w:shd w:val="clear" w:color="auto" w:fill="auto"/>
                  <w:vAlign w:val="center"/>
                </w:tcPr>
                <w:p>
                  <w:pPr>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603#</w:t>
                  </w:r>
                </w:p>
              </w:tc>
              <w:tc>
                <w:tcPr>
                  <w:tcW w:w="761" w:type="dxa"/>
                  <w:shd w:val="clear" w:color="auto" w:fill="auto"/>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51609-41-7</w:t>
                  </w:r>
                </w:p>
              </w:tc>
              <w:tc>
                <w:tcPr>
                  <w:tcW w:w="2654" w:type="dxa"/>
                  <w:shd w:val="clear" w:color="auto" w:fill="auto"/>
                  <w:vAlign w:val="center"/>
                </w:tcPr>
                <w:p>
                  <w:pPr>
                    <w:spacing w:line="240" w:lineRule="auto"/>
                    <w:ind w:firstLine="0" w:firstLineChars="0"/>
                    <w:jc w:val="left"/>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通常指苯乙烯基苯酚聚氧乙烯醚磷酸酯钾盐，外观为淡黄色至白色膏状物，HLB值范围12-16，浊点约60-65℃，可溶于水、有机溶剂，具有良好的分散、润湿和乳化作用。‌耐酸、碱、硬水和电解质，化学稳定性高。</w:t>
                  </w:r>
                </w:p>
              </w:tc>
              <w:tc>
                <w:tcPr>
                  <w:tcW w:w="3169" w:type="dxa"/>
                  <w:shd w:val="clear" w:color="auto" w:fill="auto"/>
                  <w:vAlign w:val="center"/>
                </w:tcPr>
                <w:p>
                  <w:pPr>
                    <w:pStyle w:val="8"/>
                    <w:ind w:left="0" w:leftChars="0" w:right="113" w:rightChars="0" w:firstLine="0" w:firstLineChars="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低毒、低刺激，生物降解性好，环境友好。</w:t>
                  </w:r>
                </w:p>
              </w:tc>
            </w:tr>
          </w:tbl>
          <w:p>
            <w:pPr>
              <w:spacing w:before="163" w:beforeLines="50" w:line="276" w:lineRule="auto"/>
              <w:ind w:firstLine="0" w:firstLineChars="0"/>
              <w:rPr>
                <w:b/>
                <w:bCs/>
                <w:sz w:val="21"/>
                <w:szCs w:val="21"/>
              </w:rPr>
            </w:pPr>
            <w:r>
              <w:rPr>
                <w:rFonts w:hint="eastAsia"/>
                <w:b/>
                <w:bCs/>
                <w:sz w:val="21"/>
                <w:szCs w:val="21"/>
                <w:lang w:val="en-US" w:eastAsia="zh-CN"/>
              </w:rPr>
              <w:t>4</w:t>
            </w:r>
            <w:r>
              <w:rPr>
                <w:rFonts w:hint="eastAsia"/>
                <w:b/>
                <w:bCs/>
                <w:sz w:val="21"/>
                <w:szCs w:val="21"/>
              </w:rPr>
              <w:t>、主要设备</w:t>
            </w:r>
          </w:p>
          <w:p>
            <w:pPr>
              <w:spacing w:line="276" w:lineRule="auto"/>
              <w:ind w:firstLine="420"/>
              <w:rPr>
                <w:sz w:val="21"/>
                <w:szCs w:val="21"/>
              </w:rPr>
            </w:pPr>
            <w:r>
              <w:rPr>
                <w:sz w:val="21"/>
                <w:szCs w:val="21"/>
              </w:rPr>
              <w:t>主要设备见表2-</w:t>
            </w:r>
            <w:r>
              <w:rPr>
                <w:rFonts w:hint="eastAsia"/>
                <w:sz w:val="21"/>
                <w:szCs w:val="21"/>
                <w:lang w:val="en-US" w:eastAsia="zh-CN"/>
              </w:rPr>
              <w:t>3</w:t>
            </w:r>
            <w:r>
              <w:rPr>
                <w:sz w:val="21"/>
                <w:szCs w:val="21"/>
              </w:rPr>
              <w:t>。</w:t>
            </w:r>
          </w:p>
          <w:p>
            <w:pPr>
              <w:spacing w:line="276" w:lineRule="auto"/>
              <w:ind w:firstLine="0" w:firstLineChars="0"/>
              <w:jc w:val="center"/>
              <w:rPr>
                <w:sz w:val="21"/>
                <w:szCs w:val="21"/>
              </w:rPr>
            </w:pPr>
            <w:r>
              <w:rPr>
                <w:b/>
                <w:bCs/>
                <w:sz w:val="21"/>
                <w:szCs w:val="21"/>
              </w:rPr>
              <w:t>表2-</w:t>
            </w:r>
            <w:r>
              <w:rPr>
                <w:rFonts w:hint="eastAsia"/>
                <w:b/>
                <w:bCs/>
                <w:sz w:val="21"/>
                <w:szCs w:val="21"/>
                <w:lang w:val="en-US" w:eastAsia="zh-CN"/>
              </w:rPr>
              <w:t>3</w:t>
            </w:r>
            <w:r>
              <w:rPr>
                <w:b/>
                <w:bCs/>
                <w:sz w:val="21"/>
                <w:szCs w:val="21"/>
              </w:rPr>
              <w:t xml:space="preserve">  项目主要设备一览表</w:t>
            </w:r>
          </w:p>
          <w:tbl>
            <w:tblPr>
              <w:tblStyle w:val="16"/>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216"/>
              <w:gridCol w:w="1846"/>
              <w:gridCol w:w="1226"/>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6" w:type="dxa"/>
                  <w:shd w:val="clear" w:color="auto" w:fill="auto"/>
                  <w:vAlign w:val="center"/>
                </w:tcPr>
                <w:p>
                  <w:pPr>
                    <w:pStyle w:val="28"/>
                    <w:spacing w:line="240" w:lineRule="auto"/>
                    <w:rPr>
                      <w:b w:val="0"/>
                      <w:szCs w:val="21"/>
                    </w:rPr>
                  </w:pPr>
                  <w:r>
                    <w:rPr>
                      <w:rFonts w:hint="eastAsia"/>
                      <w:b w:val="0"/>
                      <w:szCs w:val="21"/>
                    </w:rPr>
                    <w:t>序号</w:t>
                  </w:r>
                </w:p>
              </w:tc>
              <w:tc>
                <w:tcPr>
                  <w:tcW w:w="2216" w:type="dxa"/>
                  <w:shd w:val="clear" w:color="auto" w:fill="auto"/>
                  <w:vAlign w:val="center"/>
                </w:tcPr>
                <w:p>
                  <w:pPr>
                    <w:pStyle w:val="28"/>
                    <w:spacing w:line="240" w:lineRule="auto"/>
                    <w:rPr>
                      <w:b w:val="0"/>
                      <w:szCs w:val="21"/>
                    </w:rPr>
                  </w:pPr>
                  <w:r>
                    <w:rPr>
                      <w:rFonts w:hint="eastAsia"/>
                      <w:b w:val="0"/>
                      <w:szCs w:val="21"/>
                    </w:rPr>
                    <w:t>设备名称</w:t>
                  </w:r>
                </w:p>
              </w:tc>
              <w:tc>
                <w:tcPr>
                  <w:tcW w:w="1846" w:type="dxa"/>
                  <w:shd w:val="clear" w:color="auto" w:fill="auto"/>
                  <w:vAlign w:val="center"/>
                </w:tcPr>
                <w:p>
                  <w:pPr>
                    <w:pStyle w:val="28"/>
                    <w:spacing w:line="240" w:lineRule="auto"/>
                    <w:rPr>
                      <w:rFonts w:hint="eastAsia" w:eastAsia="宋体"/>
                      <w:b w:val="0"/>
                      <w:szCs w:val="21"/>
                      <w:lang w:eastAsia="zh-CN"/>
                    </w:rPr>
                  </w:pPr>
                  <w:r>
                    <w:rPr>
                      <w:rFonts w:hint="eastAsia"/>
                      <w:b w:val="0"/>
                      <w:szCs w:val="21"/>
                      <w:lang w:eastAsia="zh-CN"/>
                    </w:rPr>
                    <w:t>型号</w:t>
                  </w:r>
                </w:p>
              </w:tc>
              <w:tc>
                <w:tcPr>
                  <w:tcW w:w="1226" w:type="dxa"/>
                  <w:shd w:val="clear" w:color="auto" w:fill="auto"/>
                  <w:vAlign w:val="center"/>
                </w:tcPr>
                <w:p>
                  <w:pPr>
                    <w:pStyle w:val="28"/>
                    <w:spacing w:line="240" w:lineRule="auto"/>
                    <w:rPr>
                      <w:b w:val="0"/>
                      <w:szCs w:val="21"/>
                    </w:rPr>
                  </w:pPr>
                  <w:r>
                    <w:rPr>
                      <w:b w:val="0"/>
                      <w:szCs w:val="21"/>
                    </w:rPr>
                    <w:t>数量</w:t>
                  </w:r>
                  <w:r>
                    <w:rPr>
                      <w:rFonts w:hint="eastAsia"/>
                      <w:b w:val="0"/>
                      <w:szCs w:val="21"/>
                      <w:lang w:val="en-US" w:eastAsia="zh-CN"/>
                    </w:rPr>
                    <w:t>/</w:t>
                  </w:r>
                  <w:r>
                    <w:rPr>
                      <w:rFonts w:hint="eastAsia"/>
                      <w:b w:val="0"/>
                      <w:szCs w:val="21"/>
                      <w:lang w:eastAsia="zh-CN"/>
                    </w:rPr>
                    <w:t>单位</w:t>
                  </w:r>
                </w:p>
              </w:tc>
              <w:tc>
                <w:tcPr>
                  <w:tcW w:w="1476" w:type="dxa"/>
                  <w:shd w:val="clear" w:color="auto" w:fill="auto"/>
                  <w:vAlign w:val="center"/>
                </w:tcPr>
                <w:p>
                  <w:pPr>
                    <w:pStyle w:val="28"/>
                    <w:spacing w:line="240" w:lineRule="auto"/>
                    <w:rPr>
                      <w:rFonts w:hint="eastAsia" w:eastAsia="宋体"/>
                      <w:b w:val="0"/>
                      <w:szCs w:val="21"/>
                      <w:lang w:eastAsia="zh-CN"/>
                    </w:rPr>
                  </w:pPr>
                  <w:r>
                    <w:rPr>
                      <w:rFonts w:hint="eastAsia"/>
                      <w:b w:val="0"/>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6" w:type="dxa"/>
                  <w:shd w:val="clear" w:color="auto" w:fill="auto"/>
                  <w:vAlign w:val="center"/>
                </w:tcPr>
                <w:p>
                  <w:pPr>
                    <w:spacing w:line="240" w:lineRule="auto"/>
                    <w:ind w:firstLine="0" w:firstLineChars="0"/>
                    <w:jc w:val="center"/>
                    <w:rPr>
                      <w:sz w:val="21"/>
                      <w:szCs w:val="21"/>
                    </w:rPr>
                  </w:pPr>
                  <w:r>
                    <w:rPr>
                      <w:sz w:val="21"/>
                      <w:szCs w:val="21"/>
                    </w:rPr>
                    <w:t>1</w:t>
                  </w:r>
                </w:p>
              </w:tc>
              <w:tc>
                <w:tcPr>
                  <w:tcW w:w="2216" w:type="dxa"/>
                  <w:shd w:val="clear" w:color="auto" w:fill="auto"/>
                  <w:vAlign w:val="center"/>
                </w:tcPr>
                <w:p>
                  <w:pPr>
                    <w:spacing w:line="240" w:lineRule="exact"/>
                    <w:ind w:firstLine="0" w:firstLineChars="0"/>
                    <w:jc w:val="center"/>
                    <w:rPr>
                      <w:rFonts w:hint="default" w:ascii="Times New Roman" w:hAnsi="Times New Roman" w:eastAsia="宋体" w:cs="Times New Roman"/>
                      <w:b w:val="0"/>
                      <w:szCs w:val="21"/>
                    </w:rPr>
                  </w:pPr>
                  <w:r>
                    <w:rPr>
                      <w:rFonts w:hint="default" w:ascii="Times New Roman" w:hAnsi="Times New Roman" w:eastAsia="宋体" w:cs="Times New Roman"/>
                      <w:color w:val="auto"/>
                      <w:sz w:val="21"/>
                      <w:szCs w:val="21"/>
                    </w:rPr>
                    <w:t>手提式干粉灭火器</w:t>
                  </w:r>
                </w:p>
              </w:tc>
              <w:tc>
                <w:tcPr>
                  <w:tcW w:w="1846" w:type="dxa"/>
                  <w:shd w:val="clear" w:color="auto" w:fill="auto"/>
                  <w:vAlign w:val="center"/>
                </w:tcPr>
                <w:p>
                  <w:pPr>
                    <w:spacing w:line="240" w:lineRule="exact"/>
                    <w:ind w:firstLine="0" w:firstLineChars="0"/>
                    <w:jc w:val="center"/>
                    <w:rPr>
                      <w:rFonts w:hint="default" w:ascii="Times New Roman" w:hAnsi="Times New Roman" w:eastAsia="宋体" w:cs="Times New Roman"/>
                      <w:b w:val="0"/>
                      <w:szCs w:val="21"/>
                      <w:lang w:val="en-US" w:eastAsia="zh-CN"/>
                    </w:rPr>
                  </w:pPr>
                  <w:r>
                    <w:rPr>
                      <w:rFonts w:hint="default" w:ascii="Times New Roman" w:hAnsi="Times New Roman" w:eastAsia="宋体" w:cs="Times New Roman"/>
                      <w:color w:val="auto"/>
                      <w:sz w:val="21"/>
                      <w:szCs w:val="21"/>
                    </w:rPr>
                    <w:t>MF/ABC4</w:t>
                  </w:r>
                </w:p>
              </w:tc>
              <w:tc>
                <w:tcPr>
                  <w:tcW w:w="1226" w:type="dxa"/>
                  <w:shd w:val="clear" w:color="auto" w:fill="auto"/>
                  <w:vAlign w:val="center"/>
                </w:tcPr>
                <w:p>
                  <w:pPr>
                    <w:pStyle w:val="28"/>
                    <w:spacing w:line="240" w:lineRule="auto"/>
                    <w:rPr>
                      <w:rFonts w:hint="eastAsia" w:eastAsia="宋体"/>
                      <w:b w:val="0"/>
                      <w:szCs w:val="21"/>
                      <w:lang w:eastAsia="zh-CN"/>
                    </w:rPr>
                  </w:pPr>
                  <w:r>
                    <w:rPr>
                      <w:rFonts w:hint="eastAsia"/>
                      <w:b w:val="0"/>
                      <w:szCs w:val="21"/>
                      <w:lang w:val="en-US" w:eastAsia="zh-CN"/>
                    </w:rPr>
                    <w:t>24台</w:t>
                  </w:r>
                </w:p>
              </w:tc>
              <w:tc>
                <w:tcPr>
                  <w:tcW w:w="1476" w:type="dxa"/>
                  <w:shd w:val="clear" w:color="auto" w:fill="auto"/>
                  <w:vAlign w:val="center"/>
                </w:tcPr>
                <w:p>
                  <w:pPr>
                    <w:pStyle w:val="28"/>
                    <w:spacing w:line="240" w:lineRule="auto"/>
                    <w:ind w:firstLine="420" w:firstLineChars="200"/>
                    <w:jc w:val="both"/>
                    <w:rPr>
                      <w:rFonts w:hint="default"/>
                      <w:b w:val="0"/>
                      <w:szCs w:val="21"/>
                      <w:lang w:val="en-US" w:eastAsia="zh-CN"/>
                    </w:rPr>
                  </w:pPr>
                  <w:r>
                    <w:rPr>
                      <w:rFonts w:hint="eastAsia"/>
                      <w:b w:val="0"/>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2</w:t>
                  </w:r>
                </w:p>
              </w:tc>
              <w:tc>
                <w:tcPr>
                  <w:tcW w:w="2216" w:type="dxa"/>
                  <w:shd w:val="clear" w:color="auto" w:fill="auto"/>
                  <w:vAlign w:val="center"/>
                </w:tcPr>
                <w:p>
                  <w:pPr>
                    <w:spacing w:line="240" w:lineRule="exact"/>
                    <w:ind w:firstLine="0" w:firstLineChars="0"/>
                    <w:jc w:val="center"/>
                    <w:rPr>
                      <w:rFonts w:hint="default" w:ascii="Times New Roman" w:hAnsi="Times New Roman" w:eastAsia="宋体" w:cs="Times New Roman"/>
                      <w:b w:val="0"/>
                      <w:szCs w:val="21"/>
                      <w:lang w:eastAsia="zh-CN"/>
                    </w:rPr>
                  </w:pPr>
                  <w:r>
                    <w:rPr>
                      <w:rFonts w:hint="default" w:ascii="Times New Roman" w:hAnsi="Times New Roman" w:eastAsia="宋体" w:cs="Times New Roman"/>
                      <w:color w:val="auto"/>
                      <w:sz w:val="21"/>
                      <w:szCs w:val="21"/>
                    </w:rPr>
                    <w:t>推车式干粉灭火器</w:t>
                  </w:r>
                </w:p>
              </w:tc>
              <w:tc>
                <w:tcPr>
                  <w:tcW w:w="1846" w:type="dxa"/>
                  <w:shd w:val="clear" w:color="auto" w:fill="auto"/>
                  <w:vAlign w:val="center"/>
                </w:tcPr>
                <w:p>
                  <w:pPr>
                    <w:spacing w:line="240" w:lineRule="exact"/>
                    <w:ind w:firstLine="0" w:firstLineChars="0"/>
                    <w:jc w:val="center"/>
                    <w:rPr>
                      <w:rFonts w:hint="default" w:ascii="Times New Roman" w:hAnsi="Times New Roman" w:eastAsia="宋体" w:cs="Times New Roman"/>
                      <w:b w:val="0"/>
                      <w:szCs w:val="21"/>
                      <w:lang w:val="en-US" w:eastAsia="zh-CN"/>
                    </w:rPr>
                  </w:pPr>
                  <w:r>
                    <w:rPr>
                      <w:rFonts w:hint="default" w:ascii="Times New Roman" w:hAnsi="Times New Roman" w:eastAsia="宋体" w:cs="Times New Roman"/>
                      <w:color w:val="auto"/>
                      <w:sz w:val="21"/>
                      <w:szCs w:val="21"/>
                    </w:rPr>
                    <w:t>MFT/ABC20</w:t>
                  </w:r>
                </w:p>
              </w:tc>
              <w:tc>
                <w:tcPr>
                  <w:tcW w:w="1226" w:type="dxa"/>
                  <w:shd w:val="clear" w:color="auto" w:fill="auto"/>
                  <w:vAlign w:val="center"/>
                </w:tcPr>
                <w:p>
                  <w:pPr>
                    <w:pStyle w:val="28"/>
                    <w:spacing w:line="240" w:lineRule="auto"/>
                    <w:rPr>
                      <w:rFonts w:hint="default"/>
                      <w:b w:val="0"/>
                      <w:szCs w:val="21"/>
                      <w:lang w:val="en-US" w:eastAsia="zh-CN"/>
                    </w:rPr>
                  </w:pPr>
                  <w:r>
                    <w:rPr>
                      <w:rFonts w:hint="eastAsia"/>
                      <w:b w:val="0"/>
                      <w:szCs w:val="21"/>
                      <w:lang w:val="en-US" w:eastAsia="zh-CN"/>
                    </w:rPr>
                    <w:t>5台</w:t>
                  </w:r>
                </w:p>
              </w:tc>
              <w:tc>
                <w:tcPr>
                  <w:tcW w:w="1476" w:type="dxa"/>
                  <w:shd w:val="clear" w:color="auto" w:fill="auto"/>
                  <w:vAlign w:val="center"/>
                </w:tcPr>
                <w:p>
                  <w:pPr>
                    <w:pStyle w:val="28"/>
                    <w:spacing w:line="240" w:lineRule="auto"/>
                    <w:ind w:firstLine="420" w:firstLineChars="200"/>
                    <w:jc w:val="both"/>
                    <w:rPr>
                      <w:rFonts w:hint="eastAsia"/>
                      <w:b w:val="0"/>
                      <w:szCs w:val="21"/>
                      <w:lang w:val="en-US" w:eastAsia="zh-CN"/>
                    </w:rPr>
                  </w:pPr>
                  <w:r>
                    <w:rPr>
                      <w:rFonts w:hint="eastAsia"/>
                      <w:b w:val="0"/>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3</w:t>
                  </w:r>
                </w:p>
              </w:tc>
              <w:tc>
                <w:tcPr>
                  <w:tcW w:w="2216" w:type="dxa"/>
                  <w:shd w:val="clear" w:color="auto" w:fill="auto"/>
                  <w:vAlign w:val="center"/>
                </w:tcPr>
                <w:p>
                  <w:pPr>
                    <w:spacing w:line="240" w:lineRule="exact"/>
                    <w:ind w:firstLine="0" w:firstLineChars="0"/>
                    <w:jc w:val="center"/>
                    <w:rPr>
                      <w:rFonts w:hint="default" w:ascii="Times New Roman" w:hAnsi="Times New Roman" w:eastAsia="宋体" w:cs="Times New Roman"/>
                      <w:b w:val="0"/>
                      <w:szCs w:val="21"/>
                      <w:lang w:eastAsia="zh-CN"/>
                    </w:rPr>
                  </w:pPr>
                  <w:r>
                    <w:rPr>
                      <w:rFonts w:hint="default" w:ascii="Times New Roman" w:hAnsi="Times New Roman" w:eastAsia="宋体" w:cs="Times New Roman"/>
                      <w:color w:val="auto"/>
                      <w:sz w:val="21"/>
                      <w:szCs w:val="21"/>
                    </w:rPr>
                    <w:t>室内消火栓</w:t>
                  </w:r>
                </w:p>
              </w:tc>
              <w:tc>
                <w:tcPr>
                  <w:tcW w:w="1846" w:type="dxa"/>
                  <w:shd w:val="clear" w:color="auto" w:fill="auto"/>
                  <w:vAlign w:val="center"/>
                </w:tcPr>
                <w:p>
                  <w:pPr>
                    <w:spacing w:line="240" w:lineRule="exact"/>
                    <w:ind w:firstLine="0" w:firstLineChars="0"/>
                    <w:jc w:val="center"/>
                    <w:rPr>
                      <w:rFonts w:hint="default" w:ascii="Times New Roman" w:hAnsi="Times New Roman" w:eastAsia="宋体" w:cs="Times New Roman"/>
                      <w:b w:val="0"/>
                      <w:szCs w:val="21"/>
                      <w:lang w:val="en-US" w:eastAsia="zh-CN"/>
                    </w:rPr>
                  </w:pPr>
                  <w:r>
                    <w:rPr>
                      <w:rFonts w:hint="default" w:ascii="Times New Roman" w:hAnsi="Times New Roman" w:eastAsia="宋体" w:cs="Times New Roman"/>
                      <w:color w:val="auto"/>
                      <w:sz w:val="21"/>
                      <w:szCs w:val="21"/>
                    </w:rPr>
                    <w:t>SNW65</w:t>
                  </w:r>
                </w:p>
              </w:tc>
              <w:tc>
                <w:tcPr>
                  <w:tcW w:w="1226" w:type="dxa"/>
                  <w:shd w:val="clear" w:color="auto" w:fill="auto"/>
                  <w:vAlign w:val="center"/>
                </w:tcPr>
                <w:p>
                  <w:pPr>
                    <w:pStyle w:val="28"/>
                    <w:spacing w:line="240" w:lineRule="auto"/>
                    <w:rPr>
                      <w:rFonts w:hint="default"/>
                      <w:b w:val="0"/>
                      <w:szCs w:val="21"/>
                      <w:lang w:val="en-US" w:eastAsia="zh-CN"/>
                    </w:rPr>
                  </w:pPr>
                  <w:r>
                    <w:rPr>
                      <w:rFonts w:hint="eastAsia"/>
                      <w:b w:val="0"/>
                      <w:szCs w:val="21"/>
                      <w:lang w:val="en-US" w:eastAsia="zh-CN"/>
                    </w:rPr>
                    <w:t>8套</w:t>
                  </w:r>
                </w:p>
              </w:tc>
              <w:tc>
                <w:tcPr>
                  <w:tcW w:w="1476" w:type="dxa"/>
                  <w:shd w:val="clear" w:color="auto" w:fill="auto"/>
                  <w:vAlign w:val="center"/>
                </w:tcPr>
                <w:p>
                  <w:pPr>
                    <w:pStyle w:val="28"/>
                    <w:spacing w:line="240" w:lineRule="auto"/>
                    <w:ind w:firstLine="420" w:firstLineChars="200"/>
                    <w:jc w:val="both"/>
                    <w:rPr>
                      <w:rFonts w:hint="default"/>
                      <w:b w:val="0"/>
                      <w:szCs w:val="21"/>
                      <w:lang w:val="en-US" w:eastAsia="zh-CN"/>
                    </w:rPr>
                  </w:pPr>
                  <w:r>
                    <w:rPr>
                      <w:rFonts w:hint="eastAsia"/>
                      <w:b w:val="0"/>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4</w:t>
                  </w:r>
                </w:p>
              </w:tc>
              <w:tc>
                <w:tcPr>
                  <w:tcW w:w="2216" w:type="dxa"/>
                  <w:shd w:val="clear" w:color="auto" w:fill="auto"/>
                  <w:vAlign w:val="center"/>
                </w:tcPr>
                <w:p>
                  <w:pPr>
                    <w:pStyle w:val="28"/>
                    <w:spacing w:line="240" w:lineRule="auto"/>
                    <w:rPr>
                      <w:rFonts w:hint="eastAsia"/>
                      <w:b w:val="0"/>
                      <w:szCs w:val="21"/>
                      <w:lang w:eastAsia="zh-CN"/>
                    </w:rPr>
                  </w:pPr>
                  <w:r>
                    <w:rPr>
                      <w:rFonts w:hint="eastAsia"/>
                      <w:b w:val="0"/>
                      <w:szCs w:val="21"/>
                      <w:lang w:val="en-US" w:eastAsia="zh-CN"/>
                    </w:rPr>
                    <w:t>洗眼器</w:t>
                  </w:r>
                </w:p>
              </w:tc>
              <w:tc>
                <w:tcPr>
                  <w:tcW w:w="1846" w:type="dxa"/>
                  <w:shd w:val="clear" w:color="auto" w:fill="auto"/>
                  <w:vAlign w:val="center"/>
                </w:tcPr>
                <w:p>
                  <w:pPr>
                    <w:pStyle w:val="28"/>
                    <w:spacing w:line="240" w:lineRule="auto"/>
                    <w:rPr>
                      <w:rFonts w:hint="default"/>
                      <w:b w:val="0"/>
                      <w:szCs w:val="21"/>
                      <w:lang w:val="en-US" w:eastAsia="zh-CN"/>
                    </w:rPr>
                  </w:pPr>
                  <w:r>
                    <w:rPr>
                      <w:rFonts w:hint="eastAsia"/>
                      <w:b w:val="0"/>
                      <w:szCs w:val="21"/>
                      <w:lang w:val="en-US" w:eastAsia="zh-CN"/>
                    </w:rPr>
                    <w:t>/</w:t>
                  </w:r>
                </w:p>
              </w:tc>
              <w:tc>
                <w:tcPr>
                  <w:tcW w:w="1226" w:type="dxa"/>
                  <w:shd w:val="clear" w:color="auto" w:fill="auto"/>
                  <w:vAlign w:val="center"/>
                </w:tcPr>
                <w:p>
                  <w:pPr>
                    <w:pStyle w:val="28"/>
                    <w:spacing w:line="240" w:lineRule="auto"/>
                    <w:rPr>
                      <w:rFonts w:hint="default"/>
                      <w:b w:val="0"/>
                      <w:szCs w:val="21"/>
                      <w:lang w:val="en-US" w:eastAsia="zh-CN"/>
                    </w:rPr>
                  </w:pPr>
                  <w:r>
                    <w:rPr>
                      <w:rFonts w:hint="eastAsia"/>
                      <w:b w:val="0"/>
                      <w:szCs w:val="21"/>
                      <w:lang w:val="en-US" w:eastAsia="zh-CN"/>
                    </w:rPr>
                    <w:t>1套</w:t>
                  </w:r>
                </w:p>
              </w:tc>
              <w:tc>
                <w:tcPr>
                  <w:tcW w:w="1476" w:type="dxa"/>
                  <w:shd w:val="clear" w:color="auto" w:fill="auto"/>
                  <w:vAlign w:val="center"/>
                </w:tcPr>
                <w:p>
                  <w:pPr>
                    <w:pStyle w:val="28"/>
                    <w:spacing w:line="240" w:lineRule="auto"/>
                    <w:ind w:firstLine="420" w:firstLineChars="200"/>
                    <w:jc w:val="both"/>
                    <w:rPr>
                      <w:rFonts w:hint="eastAsia"/>
                      <w:b w:val="0"/>
                      <w:szCs w:val="21"/>
                      <w:lang w:val="en-US" w:eastAsia="zh-CN"/>
                    </w:rPr>
                  </w:pPr>
                  <w:r>
                    <w:rPr>
                      <w:rFonts w:hint="eastAsia"/>
                      <w:b w:val="0"/>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5</w:t>
                  </w:r>
                </w:p>
              </w:tc>
              <w:tc>
                <w:tcPr>
                  <w:tcW w:w="2216" w:type="dxa"/>
                  <w:shd w:val="clear" w:color="auto" w:fill="auto"/>
                  <w:vAlign w:val="center"/>
                </w:tcPr>
                <w:p>
                  <w:pPr>
                    <w:pStyle w:val="28"/>
                    <w:spacing w:line="240" w:lineRule="auto"/>
                    <w:rPr>
                      <w:rFonts w:hint="eastAsia"/>
                      <w:b w:val="0"/>
                      <w:szCs w:val="21"/>
                      <w:lang w:val="en-US" w:eastAsia="zh-CN"/>
                    </w:rPr>
                  </w:pPr>
                  <w:r>
                    <w:rPr>
                      <w:rFonts w:hint="eastAsia"/>
                      <w:b w:val="0"/>
                      <w:szCs w:val="21"/>
                      <w:lang w:val="en-US" w:eastAsia="zh-CN"/>
                    </w:rPr>
                    <w:t>监控摄像头</w:t>
                  </w:r>
                </w:p>
              </w:tc>
              <w:tc>
                <w:tcPr>
                  <w:tcW w:w="1846" w:type="dxa"/>
                  <w:shd w:val="clear" w:color="auto" w:fill="auto"/>
                  <w:vAlign w:val="center"/>
                </w:tcPr>
                <w:p>
                  <w:pPr>
                    <w:pStyle w:val="28"/>
                    <w:spacing w:line="240" w:lineRule="auto"/>
                    <w:rPr>
                      <w:rFonts w:hint="eastAsia"/>
                      <w:b w:val="0"/>
                      <w:szCs w:val="21"/>
                      <w:lang w:val="en-US" w:eastAsia="zh-CN"/>
                    </w:rPr>
                  </w:pPr>
                  <w:r>
                    <w:rPr>
                      <w:rFonts w:hint="eastAsia"/>
                      <w:b w:val="0"/>
                      <w:szCs w:val="21"/>
                      <w:lang w:val="en-US" w:eastAsia="zh-CN"/>
                    </w:rPr>
                    <w:t>/</w:t>
                  </w:r>
                </w:p>
              </w:tc>
              <w:tc>
                <w:tcPr>
                  <w:tcW w:w="1226" w:type="dxa"/>
                  <w:shd w:val="clear" w:color="auto" w:fill="auto"/>
                  <w:vAlign w:val="center"/>
                </w:tcPr>
                <w:p>
                  <w:pPr>
                    <w:pStyle w:val="28"/>
                    <w:spacing w:line="240" w:lineRule="auto"/>
                    <w:rPr>
                      <w:rFonts w:hint="default"/>
                      <w:b w:val="0"/>
                      <w:szCs w:val="21"/>
                      <w:lang w:val="en-US" w:eastAsia="zh-CN"/>
                    </w:rPr>
                  </w:pPr>
                  <w:r>
                    <w:rPr>
                      <w:rFonts w:hint="eastAsia"/>
                      <w:b w:val="0"/>
                      <w:szCs w:val="21"/>
                      <w:lang w:val="en-US" w:eastAsia="zh-CN"/>
                    </w:rPr>
                    <w:t>1个</w:t>
                  </w:r>
                </w:p>
              </w:tc>
              <w:tc>
                <w:tcPr>
                  <w:tcW w:w="1476" w:type="dxa"/>
                  <w:shd w:val="clear" w:color="auto" w:fill="auto"/>
                  <w:vAlign w:val="center"/>
                </w:tcPr>
                <w:p>
                  <w:pPr>
                    <w:pStyle w:val="28"/>
                    <w:spacing w:line="240" w:lineRule="auto"/>
                    <w:ind w:firstLine="420" w:firstLineChars="200"/>
                    <w:jc w:val="both"/>
                    <w:rPr>
                      <w:rFonts w:hint="eastAsia"/>
                      <w:b w:val="0"/>
                      <w:szCs w:val="21"/>
                      <w:lang w:val="en-US" w:eastAsia="zh-CN"/>
                    </w:rPr>
                  </w:pPr>
                  <w:r>
                    <w:rPr>
                      <w:rFonts w:hint="eastAsia"/>
                      <w:b w:val="0"/>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6</w:t>
                  </w:r>
                </w:p>
              </w:tc>
              <w:tc>
                <w:tcPr>
                  <w:tcW w:w="2216" w:type="dxa"/>
                  <w:shd w:val="clear" w:color="auto" w:fill="auto"/>
                  <w:vAlign w:val="center"/>
                </w:tcPr>
                <w:p>
                  <w:pPr>
                    <w:pStyle w:val="28"/>
                    <w:spacing w:line="240" w:lineRule="auto"/>
                    <w:rPr>
                      <w:rFonts w:hint="eastAsia"/>
                      <w:b w:val="0"/>
                      <w:szCs w:val="21"/>
                      <w:lang w:val="en-US" w:eastAsia="zh-CN"/>
                    </w:rPr>
                  </w:pPr>
                  <w:r>
                    <w:rPr>
                      <w:rFonts w:hint="eastAsia"/>
                      <w:b w:val="0"/>
                      <w:szCs w:val="21"/>
                      <w:lang w:val="en-US" w:eastAsia="zh-CN"/>
                    </w:rPr>
                    <w:t>火灾探测器</w:t>
                  </w:r>
                </w:p>
              </w:tc>
              <w:tc>
                <w:tcPr>
                  <w:tcW w:w="1846" w:type="dxa"/>
                  <w:shd w:val="clear" w:color="auto" w:fill="auto"/>
                  <w:vAlign w:val="center"/>
                </w:tcPr>
                <w:p>
                  <w:pPr>
                    <w:pStyle w:val="28"/>
                    <w:spacing w:line="240" w:lineRule="auto"/>
                    <w:rPr>
                      <w:rFonts w:hint="eastAsia"/>
                      <w:b w:val="0"/>
                      <w:szCs w:val="21"/>
                      <w:lang w:val="en-US" w:eastAsia="zh-CN"/>
                    </w:rPr>
                  </w:pPr>
                  <w:r>
                    <w:rPr>
                      <w:rFonts w:hint="eastAsia"/>
                      <w:b w:val="0"/>
                      <w:szCs w:val="21"/>
                      <w:lang w:val="en-US" w:eastAsia="zh-CN"/>
                    </w:rPr>
                    <w:t>/</w:t>
                  </w:r>
                </w:p>
              </w:tc>
              <w:tc>
                <w:tcPr>
                  <w:tcW w:w="1226" w:type="dxa"/>
                  <w:shd w:val="clear" w:color="auto" w:fill="auto"/>
                  <w:vAlign w:val="center"/>
                </w:tcPr>
                <w:p>
                  <w:pPr>
                    <w:pStyle w:val="28"/>
                    <w:spacing w:line="240" w:lineRule="auto"/>
                    <w:rPr>
                      <w:rFonts w:hint="default"/>
                      <w:b w:val="0"/>
                      <w:szCs w:val="21"/>
                      <w:lang w:val="en-US" w:eastAsia="zh-CN"/>
                    </w:rPr>
                  </w:pPr>
                  <w:r>
                    <w:rPr>
                      <w:rFonts w:hint="eastAsia"/>
                      <w:b w:val="0"/>
                      <w:szCs w:val="21"/>
                      <w:lang w:val="en-US" w:eastAsia="zh-CN"/>
                    </w:rPr>
                    <w:t>1个</w:t>
                  </w:r>
                </w:p>
              </w:tc>
              <w:tc>
                <w:tcPr>
                  <w:tcW w:w="1476" w:type="dxa"/>
                  <w:shd w:val="clear" w:color="auto" w:fill="auto"/>
                  <w:vAlign w:val="center"/>
                </w:tcPr>
                <w:p>
                  <w:pPr>
                    <w:pStyle w:val="28"/>
                    <w:spacing w:line="240" w:lineRule="auto"/>
                    <w:ind w:firstLine="420" w:firstLineChars="200"/>
                    <w:jc w:val="both"/>
                    <w:rPr>
                      <w:rFonts w:hint="eastAsia"/>
                      <w:b w:val="0"/>
                      <w:szCs w:val="21"/>
                      <w:lang w:val="en-US" w:eastAsia="zh-CN"/>
                    </w:rPr>
                  </w:pPr>
                  <w:r>
                    <w:rPr>
                      <w:rFonts w:hint="eastAsia"/>
                      <w:b w:val="0"/>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6" w:type="dxa"/>
                  <w:shd w:val="clear" w:color="auto" w:fill="auto"/>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7</w:t>
                  </w:r>
                </w:p>
              </w:tc>
              <w:tc>
                <w:tcPr>
                  <w:tcW w:w="2216" w:type="dxa"/>
                  <w:shd w:val="clear" w:color="auto" w:fill="auto"/>
                  <w:vAlign w:val="center"/>
                </w:tcPr>
                <w:p>
                  <w:pPr>
                    <w:pStyle w:val="28"/>
                    <w:spacing w:line="240" w:lineRule="auto"/>
                    <w:rPr>
                      <w:rFonts w:hint="default"/>
                      <w:b w:val="0"/>
                      <w:szCs w:val="21"/>
                      <w:lang w:val="en-US" w:eastAsia="zh-CN"/>
                    </w:rPr>
                  </w:pPr>
                  <w:r>
                    <w:rPr>
                      <w:rFonts w:hint="eastAsia"/>
                      <w:b w:val="0"/>
                      <w:szCs w:val="21"/>
                      <w:lang w:val="en-US" w:eastAsia="zh-CN"/>
                    </w:rPr>
                    <w:t>防爆屋顶排风机</w:t>
                  </w:r>
                </w:p>
              </w:tc>
              <w:tc>
                <w:tcPr>
                  <w:tcW w:w="1846" w:type="dxa"/>
                  <w:shd w:val="clear" w:color="auto" w:fill="auto"/>
                  <w:vAlign w:val="center"/>
                </w:tcPr>
                <w:p>
                  <w:pPr>
                    <w:pStyle w:val="28"/>
                    <w:spacing w:line="240" w:lineRule="auto"/>
                    <w:rPr>
                      <w:rFonts w:hint="default"/>
                      <w:b w:val="0"/>
                      <w:szCs w:val="21"/>
                      <w:lang w:val="en-US" w:eastAsia="zh-CN"/>
                    </w:rPr>
                  </w:pPr>
                  <w:r>
                    <w:rPr>
                      <w:rFonts w:hint="eastAsia"/>
                      <w:b w:val="0"/>
                      <w:szCs w:val="21"/>
                      <w:lang w:val="en-US" w:eastAsia="zh-CN"/>
                    </w:rPr>
                    <w:t>DWT-5-0.55KW-EX</w:t>
                  </w:r>
                </w:p>
              </w:tc>
              <w:tc>
                <w:tcPr>
                  <w:tcW w:w="1226" w:type="dxa"/>
                  <w:shd w:val="clear" w:color="auto" w:fill="auto"/>
                  <w:vAlign w:val="center"/>
                </w:tcPr>
                <w:p>
                  <w:pPr>
                    <w:pStyle w:val="28"/>
                    <w:spacing w:line="240" w:lineRule="auto"/>
                    <w:rPr>
                      <w:rFonts w:hint="default"/>
                      <w:b w:val="0"/>
                      <w:szCs w:val="21"/>
                      <w:lang w:val="en-US" w:eastAsia="zh-CN"/>
                    </w:rPr>
                  </w:pPr>
                  <w:r>
                    <w:rPr>
                      <w:rFonts w:hint="eastAsia"/>
                      <w:b w:val="0"/>
                      <w:szCs w:val="21"/>
                      <w:lang w:val="en-US" w:eastAsia="zh-CN"/>
                    </w:rPr>
                    <w:t>16台</w:t>
                  </w:r>
                </w:p>
              </w:tc>
              <w:tc>
                <w:tcPr>
                  <w:tcW w:w="1476" w:type="dxa"/>
                  <w:shd w:val="clear" w:color="auto" w:fill="auto"/>
                  <w:vAlign w:val="center"/>
                </w:tcPr>
                <w:p>
                  <w:pPr>
                    <w:pStyle w:val="28"/>
                    <w:spacing w:line="240" w:lineRule="auto"/>
                    <w:ind w:firstLine="420" w:firstLineChars="200"/>
                    <w:jc w:val="both"/>
                    <w:rPr>
                      <w:rFonts w:hint="eastAsia"/>
                      <w:b w:val="0"/>
                      <w:szCs w:val="21"/>
                      <w:lang w:val="en-US" w:eastAsia="zh-CN"/>
                    </w:rPr>
                  </w:pPr>
                  <w:r>
                    <w:rPr>
                      <w:rFonts w:hint="eastAsia"/>
                      <w:b w:val="0"/>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8</w:t>
                  </w:r>
                </w:p>
              </w:tc>
              <w:tc>
                <w:tcPr>
                  <w:tcW w:w="2216" w:type="dxa"/>
                  <w:shd w:val="clear" w:color="auto" w:fill="auto"/>
                  <w:vAlign w:val="center"/>
                </w:tcPr>
                <w:p>
                  <w:pPr>
                    <w:pStyle w:val="28"/>
                    <w:spacing w:line="240" w:lineRule="auto"/>
                    <w:rPr>
                      <w:rFonts w:hint="default"/>
                      <w:b w:val="0"/>
                      <w:szCs w:val="21"/>
                      <w:lang w:val="en-US" w:eastAsia="zh-CN"/>
                    </w:rPr>
                  </w:pPr>
                  <w:r>
                    <w:rPr>
                      <w:rFonts w:hint="eastAsia"/>
                      <w:b w:val="0"/>
                      <w:szCs w:val="21"/>
                      <w:lang w:val="en-US" w:eastAsia="zh-CN"/>
                    </w:rPr>
                    <w:t>防爆叉车</w:t>
                  </w:r>
                </w:p>
              </w:tc>
              <w:tc>
                <w:tcPr>
                  <w:tcW w:w="1846" w:type="dxa"/>
                  <w:shd w:val="clear" w:color="auto" w:fill="auto"/>
                  <w:vAlign w:val="center"/>
                </w:tcPr>
                <w:p>
                  <w:pPr>
                    <w:pStyle w:val="28"/>
                    <w:spacing w:line="240" w:lineRule="auto"/>
                    <w:rPr>
                      <w:rFonts w:hint="eastAsia"/>
                      <w:b w:val="0"/>
                      <w:szCs w:val="21"/>
                      <w:lang w:val="en-US" w:eastAsia="zh-CN"/>
                    </w:rPr>
                  </w:pPr>
                  <w:r>
                    <w:rPr>
                      <w:rFonts w:hint="eastAsia"/>
                      <w:b w:val="0"/>
                      <w:szCs w:val="21"/>
                      <w:lang w:val="en-US" w:eastAsia="zh-CN"/>
                    </w:rPr>
                    <w:t>/</w:t>
                  </w:r>
                </w:p>
              </w:tc>
              <w:tc>
                <w:tcPr>
                  <w:tcW w:w="1226" w:type="dxa"/>
                  <w:shd w:val="clear" w:color="auto" w:fill="auto"/>
                  <w:vAlign w:val="center"/>
                </w:tcPr>
                <w:p>
                  <w:pPr>
                    <w:pStyle w:val="28"/>
                    <w:spacing w:line="240" w:lineRule="auto"/>
                    <w:rPr>
                      <w:rFonts w:hint="default"/>
                      <w:b w:val="0"/>
                      <w:szCs w:val="21"/>
                      <w:lang w:val="en-US" w:eastAsia="zh-CN"/>
                    </w:rPr>
                  </w:pPr>
                  <w:r>
                    <w:rPr>
                      <w:rFonts w:hint="eastAsia"/>
                      <w:b w:val="0"/>
                      <w:szCs w:val="21"/>
                      <w:lang w:val="en-US" w:eastAsia="zh-CN"/>
                    </w:rPr>
                    <w:t>6台</w:t>
                  </w:r>
                </w:p>
              </w:tc>
              <w:tc>
                <w:tcPr>
                  <w:tcW w:w="1476" w:type="dxa"/>
                  <w:shd w:val="clear" w:color="auto" w:fill="auto"/>
                  <w:vAlign w:val="center"/>
                </w:tcPr>
                <w:p>
                  <w:pPr>
                    <w:pStyle w:val="28"/>
                    <w:spacing w:line="240" w:lineRule="auto"/>
                    <w:ind w:firstLine="420" w:firstLineChars="200"/>
                    <w:jc w:val="both"/>
                    <w:rPr>
                      <w:rFonts w:hint="eastAsia"/>
                      <w:b w:val="0"/>
                      <w:szCs w:val="21"/>
                      <w:lang w:val="en-US" w:eastAsia="zh-CN"/>
                    </w:rPr>
                  </w:pPr>
                  <w:r>
                    <w:rPr>
                      <w:rFonts w:hint="eastAsia"/>
                      <w:b w:val="0"/>
                      <w:szCs w:val="21"/>
                      <w:lang w:val="en-US" w:eastAsia="zh-CN"/>
                    </w:rPr>
                    <w:t>新增</w:t>
                  </w:r>
                </w:p>
              </w:tc>
            </w:tr>
          </w:tbl>
          <w:p>
            <w:pPr>
              <w:spacing w:before="163" w:beforeLines="50" w:line="276" w:lineRule="auto"/>
              <w:ind w:firstLine="0" w:firstLineChars="0"/>
              <w:rPr>
                <w:b/>
                <w:bCs/>
                <w:sz w:val="21"/>
                <w:szCs w:val="21"/>
              </w:rPr>
            </w:pPr>
            <w:r>
              <w:rPr>
                <w:rFonts w:hint="eastAsia"/>
                <w:b/>
                <w:bCs/>
                <w:sz w:val="21"/>
                <w:szCs w:val="21"/>
                <w:lang w:val="en-US" w:eastAsia="zh-CN"/>
              </w:rPr>
              <w:t>5</w:t>
            </w:r>
            <w:r>
              <w:rPr>
                <w:rFonts w:hint="eastAsia"/>
                <w:b/>
                <w:bCs/>
                <w:sz w:val="21"/>
                <w:szCs w:val="21"/>
              </w:rPr>
              <w:t>、主要原辅材料及能源消耗情况</w:t>
            </w:r>
          </w:p>
          <w:p>
            <w:pPr>
              <w:spacing w:line="276" w:lineRule="auto"/>
              <w:ind w:firstLine="420"/>
              <w:rPr>
                <w:rFonts w:hint="eastAsia" w:eastAsia="宋体"/>
                <w:sz w:val="21"/>
                <w:szCs w:val="21"/>
                <w:lang w:eastAsia="zh-CN"/>
              </w:rPr>
            </w:pPr>
            <w:r>
              <w:rPr>
                <w:rFonts w:hint="eastAsia"/>
                <w:sz w:val="21"/>
                <w:szCs w:val="21"/>
                <w:lang w:eastAsia="zh-CN"/>
              </w:rPr>
              <w:t>本项目为仓储项目，正常工况下无生产用水。</w:t>
            </w:r>
            <w:r>
              <w:rPr>
                <w:rFonts w:hint="eastAsia"/>
                <w:sz w:val="21"/>
                <w:szCs w:val="21"/>
                <w:lang w:val="en-US" w:eastAsia="zh-CN"/>
              </w:rPr>
              <w:t>本</w:t>
            </w:r>
            <w:r>
              <w:rPr>
                <w:rFonts w:hint="eastAsia"/>
                <w:sz w:val="21"/>
                <w:szCs w:val="21"/>
                <w:lang w:eastAsia="zh-CN"/>
              </w:rPr>
              <w:t>项目</w:t>
            </w:r>
            <w:r>
              <w:rPr>
                <w:rFonts w:hint="eastAsia"/>
                <w:sz w:val="21"/>
                <w:szCs w:val="21"/>
                <w:lang w:val="en-US" w:eastAsia="zh-CN"/>
              </w:rPr>
              <w:t>无</w:t>
            </w:r>
            <w:r>
              <w:rPr>
                <w:rFonts w:hint="eastAsia"/>
                <w:sz w:val="21"/>
                <w:szCs w:val="21"/>
                <w:lang w:eastAsia="zh-CN"/>
              </w:rPr>
              <w:t>新增员</w:t>
            </w:r>
            <w:r>
              <w:rPr>
                <w:rFonts w:hint="eastAsia"/>
                <w:sz w:val="21"/>
                <w:szCs w:val="21"/>
                <w:lang w:val="en-US" w:eastAsia="zh-CN"/>
              </w:rPr>
              <w:t>工，不新增</w:t>
            </w:r>
            <w:r>
              <w:rPr>
                <w:rFonts w:hint="eastAsia"/>
                <w:sz w:val="21"/>
                <w:szCs w:val="21"/>
                <w:lang w:eastAsia="zh-CN"/>
              </w:rPr>
              <w:t>生活用水。</w:t>
            </w:r>
            <w:r>
              <w:rPr>
                <w:rFonts w:hint="eastAsia"/>
                <w:sz w:val="21"/>
                <w:szCs w:val="21"/>
                <w:lang w:val="en-US" w:eastAsia="zh-CN"/>
              </w:rPr>
              <w:t>项目一次用水主要包括地面清洁用水及其他。</w:t>
            </w:r>
            <w:r>
              <w:rPr>
                <w:rFonts w:hint="eastAsia"/>
                <w:sz w:val="21"/>
                <w:szCs w:val="21"/>
                <w:lang w:eastAsia="zh-CN"/>
              </w:rPr>
              <w:t>本项目主要原</w:t>
            </w:r>
            <w:r>
              <w:rPr>
                <w:bCs/>
                <w:sz w:val="21"/>
                <w:szCs w:val="21"/>
              </w:rPr>
              <w:t>辅材料及能源消耗</w:t>
            </w:r>
            <w:r>
              <w:rPr>
                <w:rFonts w:hint="eastAsia"/>
                <w:bCs/>
                <w:sz w:val="21"/>
                <w:szCs w:val="21"/>
                <w:lang w:eastAsia="zh-CN"/>
              </w:rPr>
              <w:t>见下表。</w:t>
            </w:r>
          </w:p>
          <w:p>
            <w:pPr>
              <w:spacing w:line="276" w:lineRule="auto"/>
              <w:ind w:firstLine="0" w:firstLineChars="0"/>
              <w:jc w:val="center"/>
              <w:rPr>
                <w:bCs/>
                <w:sz w:val="21"/>
                <w:szCs w:val="21"/>
              </w:rPr>
            </w:pPr>
            <w:r>
              <w:rPr>
                <w:b/>
                <w:bCs w:val="0"/>
                <w:sz w:val="21"/>
                <w:szCs w:val="21"/>
              </w:rPr>
              <w:t>表2-</w:t>
            </w:r>
            <w:r>
              <w:rPr>
                <w:rFonts w:hint="eastAsia"/>
                <w:b/>
                <w:bCs w:val="0"/>
                <w:sz w:val="21"/>
                <w:szCs w:val="21"/>
                <w:lang w:val="en-US" w:eastAsia="zh-CN"/>
              </w:rPr>
              <w:t>4</w:t>
            </w:r>
            <w:r>
              <w:rPr>
                <w:rFonts w:hint="eastAsia"/>
                <w:b/>
                <w:bCs w:val="0"/>
                <w:sz w:val="21"/>
                <w:szCs w:val="21"/>
              </w:rPr>
              <w:t xml:space="preserve">  </w:t>
            </w:r>
            <w:r>
              <w:rPr>
                <w:b/>
                <w:bCs w:val="0"/>
                <w:sz w:val="21"/>
                <w:szCs w:val="21"/>
              </w:rPr>
              <w:t>主要原辅材料及能源消耗</w:t>
            </w:r>
            <w:r>
              <w:rPr>
                <w:rFonts w:hint="eastAsia"/>
                <w:b/>
                <w:bCs w:val="0"/>
                <w:sz w:val="21"/>
                <w:szCs w:val="21"/>
              </w:rPr>
              <w:t>情况</w:t>
            </w:r>
            <w:r>
              <w:rPr>
                <w:b/>
                <w:bCs w:val="0"/>
                <w:sz w:val="21"/>
                <w:szCs w:val="21"/>
              </w:rPr>
              <w:t>表</w:t>
            </w:r>
          </w:p>
          <w:tbl>
            <w:tblPr>
              <w:tblStyle w:val="16"/>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325"/>
              <w:gridCol w:w="990"/>
              <w:gridCol w:w="990"/>
              <w:gridCol w:w="1627"/>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pPr>
                    <w:spacing w:line="240" w:lineRule="auto"/>
                    <w:ind w:firstLine="0" w:firstLineChars="0"/>
                    <w:jc w:val="center"/>
                    <w:rPr>
                      <w:bCs/>
                      <w:sz w:val="21"/>
                      <w:szCs w:val="21"/>
                    </w:rPr>
                  </w:pPr>
                  <w:r>
                    <w:rPr>
                      <w:rFonts w:hint="eastAsia"/>
                      <w:bCs/>
                      <w:sz w:val="21"/>
                      <w:szCs w:val="21"/>
                    </w:rPr>
                    <w:t>类别</w:t>
                  </w:r>
                </w:p>
              </w:tc>
              <w:tc>
                <w:tcPr>
                  <w:tcW w:w="2325" w:type="dxa"/>
                  <w:vAlign w:val="center"/>
                </w:tcPr>
                <w:p>
                  <w:pPr>
                    <w:spacing w:line="240" w:lineRule="auto"/>
                    <w:ind w:firstLine="0" w:firstLineChars="0"/>
                    <w:jc w:val="center"/>
                    <w:rPr>
                      <w:bCs/>
                      <w:sz w:val="21"/>
                      <w:szCs w:val="21"/>
                    </w:rPr>
                  </w:pPr>
                  <w:r>
                    <w:rPr>
                      <w:rFonts w:hint="eastAsia"/>
                      <w:bCs/>
                      <w:sz w:val="21"/>
                      <w:szCs w:val="21"/>
                    </w:rPr>
                    <w:t>名称</w:t>
                  </w:r>
                </w:p>
              </w:tc>
              <w:tc>
                <w:tcPr>
                  <w:tcW w:w="990" w:type="dxa"/>
                  <w:vAlign w:val="center"/>
                </w:tcPr>
                <w:p>
                  <w:pPr>
                    <w:spacing w:line="240" w:lineRule="auto"/>
                    <w:ind w:firstLine="0" w:firstLineChars="0"/>
                    <w:jc w:val="center"/>
                    <w:rPr>
                      <w:bCs/>
                      <w:sz w:val="21"/>
                      <w:szCs w:val="21"/>
                    </w:rPr>
                  </w:pPr>
                  <w:r>
                    <w:rPr>
                      <w:rFonts w:hint="eastAsia"/>
                      <w:bCs/>
                      <w:sz w:val="21"/>
                      <w:szCs w:val="21"/>
                    </w:rPr>
                    <w:t>年用量</w:t>
                  </w:r>
                </w:p>
              </w:tc>
              <w:tc>
                <w:tcPr>
                  <w:tcW w:w="990" w:type="dxa"/>
                  <w:vAlign w:val="center"/>
                </w:tcPr>
                <w:p>
                  <w:pPr>
                    <w:spacing w:line="240" w:lineRule="auto"/>
                    <w:ind w:firstLine="0" w:firstLineChars="0"/>
                    <w:jc w:val="center"/>
                    <w:rPr>
                      <w:bCs/>
                      <w:sz w:val="21"/>
                      <w:szCs w:val="21"/>
                    </w:rPr>
                  </w:pPr>
                  <w:r>
                    <w:rPr>
                      <w:rFonts w:hint="eastAsia"/>
                      <w:bCs/>
                      <w:sz w:val="21"/>
                      <w:szCs w:val="21"/>
                    </w:rPr>
                    <w:t>单位</w:t>
                  </w:r>
                </w:p>
              </w:tc>
              <w:tc>
                <w:tcPr>
                  <w:tcW w:w="1627" w:type="dxa"/>
                  <w:vAlign w:val="center"/>
                </w:tcPr>
                <w:p>
                  <w:pPr>
                    <w:spacing w:line="240" w:lineRule="auto"/>
                    <w:ind w:firstLine="0" w:firstLineChars="0"/>
                    <w:jc w:val="center"/>
                    <w:rPr>
                      <w:bCs/>
                      <w:sz w:val="21"/>
                      <w:szCs w:val="21"/>
                    </w:rPr>
                  </w:pPr>
                  <w:r>
                    <w:rPr>
                      <w:rFonts w:hint="eastAsia"/>
                      <w:bCs/>
                      <w:sz w:val="21"/>
                      <w:szCs w:val="21"/>
                    </w:rPr>
                    <w:t>来源</w:t>
                  </w:r>
                </w:p>
              </w:tc>
              <w:tc>
                <w:tcPr>
                  <w:tcW w:w="1209" w:type="dxa"/>
                  <w:vAlign w:val="center"/>
                </w:tcPr>
                <w:p>
                  <w:pPr>
                    <w:spacing w:line="240" w:lineRule="auto"/>
                    <w:ind w:firstLine="0" w:firstLineChars="0"/>
                    <w:jc w:val="center"/>
                    <w:rPr>
                      <w:bCs/>
                      <w:sz w:val="21"/>
                      <w:szCs w:val="21"/>
                    </w:rPr>
                  </w:pPr>
                  <w:r>
                    <w:rPr>
                      <w:rFonts w:hint="eastAsia"/>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Merge w:val="restart"/>
                  <w:vAlign w:val="center"/>
                </w:tcPr>
                <w:p>
                  <w:pPr>
                    <w:spacing w:line="240" w:lineRule="auto"/>
                    <w:ind w:firstLine="0" w:firstLineChars="0"/>
                    <w:jc w:val="center"/>
                    <w:rPr>
                      <w:sz w:val="21"/>
                      <w:szCs w:val="21"/>
                    </w:rPr>
                  </w:pPr>
                  <w:r>
                    <w:rPr>
                      <w:rFonts w:hint="eastAsia"/>
                      <w:sz w:val="21"/>
                      <w:szCs w:val="21"/>
                    </w:rPr>
                    <w:t>能源</w:t>
                  </w:r>
                </w:p>
              </w:tc>
              <w:tc>
                <w:tcPr>
                  <w:tcW w:w="2325" w:type="dxa"/>
                  <w:vAlign w:val="center"/>
                </w:tcPr>
                <w:p>
                  <w:pPr>
                    <w:spacing w:line="240" w:lineRule="auto"/>
                    <w:ind w:firstLine="0" w:firstLineChars="0"/>
                    <w:jc w:val="center"/>
                    <w:rPr>
                      <w:sz w:val="21"/>
                      <w:szCs w:val="21"/>
                    </w:rPr>
                  </w:pPr>
                  <w:r>
                    <w:rPr>
                      <w:rFonts w:hint="eastAsia"/>
                      <w:sz w:val="21"/>
                      <w:szCs w:val="21"/>
                      <w:lang w:val="en-US" w:eastAsia="zh-CN"/>
                    </w:rPr>
                    <w:t>电</w:t>
                  </w:r>
                </w:p>
              </w:tc>
              <w:tc>
                <w:tcPr>
                  <w:tcW w:w="990"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50400</w:t>
                  </w:r>
                </w:p>
              </w:tc>
              <w:tc>
                <w:tcPr>
                  <w:tcW w:w="990" w:type="dxa"/>
                  <w:vAlign w:val="center"/>
                </w:tcPr>
                <w:p>
                  <w:pPr>
                    <w:spacing w:line="240" w:lineRule="auto"/>
                    <w:ind w:firstLine="0" w:firstLineChars="0"/>
                    <w:jc w:val="center"/>
                    <w:rPr>
                      <w:sz w:val="21"/>
                      <w:szCs w:val="21"/>
                    </w:rPr>
                  </w:pPr>
                  <w:r>
                    <w:rPr>
                      <w:rFonts w:hint="eastAsia"/>
                      <w:sz w:val="21"/>
                      <w:szCs w:val="21"/>
                    </w:rPr>
                    <w:t>kWh</w:t>
                  </w:r>
                </w:p>
              </w:tc>
              <w:tc>
                <w:tcPr>
                  <w:tcW w:w="1627"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园区供电系统</w:t>
                  </w:r>
                </w:p>
              </w:tc>
              <w:tc>
                <w:tcPr>
                  <w:tcW w:w="1209"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Merge w:val="continue"/>
                  <w:vAlign w:val="center"/>
                </w:tcPr>
                <w:p>
                  <w:pPr>
                    <w:spacing w:line="240" w:lineRule="auto"/>
                    <w:ind w:firstLine="0" w:firstLineChars="0"/>
                    <w:jc w:val="center"/>
                    <w:rPr>
                      <w:rFonts w:hint="eastAsia"/>
                      <w:sz w:val="21"/>
                      <w:szCs w:val="21"/>
                    </w:rPr>
                  </w:pPr>
                </w:p>
              </w:tc>
              <w:tc>
                <w:tcPr>
                  <w:tcW w:w="2325"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一次水</w:t>
                  </w:r>
                </w:p>
              </w:tc>
              <w:tc>
                <w:tcPr>
                  <w:tcW w:w="990"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461.59</w:t>
                  </w:r>
                </w:p>
              </w:tc>
              <w:tc>
                <w:tcPr>
                  <w:tcW w:w="990" w:type="dxa"/>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t</w:t>
                  </w:r>
                </w:p>
              </w:tc>
              <w:tc>
                <w:tcPr>
                  <w:tcW w:w="1627"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市政自来水</w:t>
                  </w:r>
                </w:p>
              </w:tc>
              <w:tc>
                <w:tcPr>
                  <w:tcW w:w="1209" w:type="dxa"/>
                  <w:vAlign w:val="center"/>
                </w:tcPr>
                <w:p>
                  <w:pPr>
                    <w:spacing w:line="240" w:lineRule="auto"/>
                    <w:ind w:firstLine="0" w:firstLineChars="0"/>
                    <w:jc w:val="center"/>
                    <w:rPr>
                      <w:rFonts w:hint="eastAsia"/>
                      <w:sz w:val="21"/>
                      <w:szCs w:val="21"/>
                    </w:rPr>
                  </w:pPr>
                  <w:r>
                    <w:rPr>
                      <w:rFonts w:hint="eastAsia"/>
                      <w:sz w:val="21"/>
                      <w:szCs w:val="21"/>
                    </w:rPr>
                    <w:t>-</w:t>
                  </w:r>
                </w:p>
              </w:tc>
            </w:tr>
          </w:tbl>
          <w:p>
            <w:pPr>
              <w:numPr>
                <w:ilvl w:val="0"/>
                <w:numId w:val="2"/>
              </w:numPr>
              <w:spacing w:line="276" w:lineRule="auto"/>
              <w:ind w:left="0" w:leftChars="0" w:firstLine="0" w:firstLineChars="0"/>
              <w:rPr>
                <w:rFonts w:hint="eastAsia"/>
                <w:b/>
                <w:bCs/>
                <w:sz w:val="21"/>
                <w:szCs w:val="21"/>
                <w:lang w:val="en-US" w:eastAsia="zh-CN"/>
              </w:rPr>
            </w:pPr>
            <w:r>
              <w:rPr>
                <w:rFonts w:hint="eastAsia"/>
                <w:b/>
                <w:bCs/>
                <w:sz w:val="21"/>
                <w:szCs w:val="21"/>
                <w:lang w:val="en-US" w:eastAsia="zh-CN"/>
              </w:rPr>
              <w:t>项目公用工程</w:t>
            </w:r>
          </w:p>
          <w:p>
            <w:pPr>
              <w:numPr>
                <w:ilvl w:val="0"/>
                <w:numId w:val="0"/>
              </w:numPr>
              <w:spacing w:line="276" w:lineRule="auto"/>
              <w:ind w:leftChars="0" w:firstLine="420" w:firstLineChars="200"/>
              <w:rPr>
                <w:rFonts w:hint="eastAsia"/>
                <w:sz w:val="21"/>
                <w:szCs w:val="21"/>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rPr>
              <w:t>给水</w:t>
            </w:r>
          </w:p>
          <w:p>
            <w:pPr>
              <w:spacing w:line="276" w:lineRule="auto"/>
              <w:rPr>
                <w:rFonts w:hint="eastAsia"/>
                <w:sz w:val="21"/>
                <w:szCs w:val="21"/>
              </w:rPr>
            </w:pPr>
            <w:r>
              <w:rPr>
                <w:rFonts w:hint="eastAsia"/>
                <w:sz w:val="21"/>
                <w:szCs w:val="21"/>
              </w:rPr>
              <w:t>本项目建设地湖南海利常德农药化工有限公司供水水源有两路：</w:t>
            </w:r>
          </w:p>
          <w:p>
            <w:pPr>
              <w:spacing w:line="276" w:lineRule="auto"/>
              <w:rPr>
                <w:rFonts w:hint="eastAsia"/>
                <w:sz w:val="21"/>
                <w:szCs w:val="21"/>
              </w:rPr>
            </w:pPr>
            <w:r>
              <w:rPr>
                <w:rFonts w:hint="eastAsia"/>
                <w:sz w:val="21"/>
                <w:szCs w:val="21"/>
                <w:lang w:eastAsia="zh-CN"/>
              </w:rPr>
              <w:t>①</w:t>
            </w:r>
            <w:r>
              <w:rPr>
                <w:rFonts w:hint="eastAsia"/>
                <w:sz w:val="21"/>
                <w:szCs w:val="21"/>
              </w:rPr>
              <w:t>从沅江取水，一泵房备有两台550m</w:t>
            </w:r>
            <w:r>
              <w:rPr>
                <w:rFonts w:hint="eastAsia"/>
                <w:sz w:val="21"/>
                <w:szCs w:val="21"/>
                <w:vertAlign w:val="superscript"/>
              </w:rPr>
              <w:t>3</w:t>
            </w:r>
            <w:r>
              <w:rPr>
                <w:rFonts w:hint="eastAsia"/>
                <w:sz w:val="21"/>
                <w:szCs w:val="21"/>
              </w:rPr>
              <w:t>/h水泵（75KW管道泵），供水最大量600m3/h，二泵房备有一台200m</w:t>
            </w:r>
            <w:r>
              <w:rPr>
                <w:rFonts w:hint="eastAsia"/>
                <w:sz w:val="21"/>
                <w:szCs w:val="21"/>
                <w:vertAlign w:val="superscript"/>
              </w:rPr>
              <w:t>3</w:t>
            </w:r>
            <w:r>
              <w:rPr>
                <w:rFonts w:hint="eastAsia"/>
                <w:sz w:val="21"/>
                <w:szCs w:val="21"/>
              </w:rPr>
              <w:t>/h水泵和一台400m</w:t>
            </w:r>
            <w:r>
              <w:rPr>
                <w:rFonts w:hint="eastAsia"/>
                <w:sz w:val="21"/>
                <w:szCs w:val="21"/>
                <w:vertAlign w:val="superscript"/>
              </w:rPr>
              <w:t>3</w:t>
            </w:r>
            <w:r>
              <w:rPr>
                <w:rFonts w:hint="eastAsia"/>
                <w:sz w:val="21"/>
                <w:szCs w:val="21"/>
              </w:rPr>
              <w:t>/h水泵，供水最大量600m</w:t>
            </w:r>
            <w:r>
              <w:rPr>
                <w:rFonts w:hint="eastAsia"/>
                <w:sz w:val="21"/>
                <w:szCs w:val="21"/>
                <w:vertAlign w:val="superscript"/>
              </w:rPr>
              <w:t>3</w:t>
            </w:r>
            <w:r>
              <w:rPr>
                <w:rFonts w:hint="eastAsia"/>
                <w:sz w:val="21"/>
                <w:szCs w:val="21"/>
              </w:rPr>
              <w:t>/h，设有水净化设备，目前供水富余量约400m</w:t>
            </w:r>
            <w:r>
              <w:rPr>
                <w:rFonts w:hint="eastAsia"/>
                <w:sz w:val="21"/>
                <w:szCs w:val="21"/>
                <w:vertAlign w:val="superscript"/>
              </w:rPr>
              <w:t>3</w:t>
            </w:r>
            <w:r>
              <w:rPr>
                <w:rFonts w:hint="eastAsia"/>
                <w:sz w:val="21"/>
                <w:szCs w:val="21"/>
              </w:rPr>
              <w:t>/h。</w:t>
            </w:r>
          </w:p>
          <w:p>
            <w:pPr>
              <w:spacing w:line="276" w:lineRule="auto"/>
              <w:rPr>
                <w:rFonts w:hint="eastAsia"/>
                <w:sz w:val="21"/>
                <w:szCs w:val="21"/>
              </w:rPr>
            </w:pPr>
            <w:r>
              <w:rPr>
                <w:rFonts w:hint="eastAsia"/>
                <w:sz w:val="21"/>
                <w:szCs w:val="21"/>
                <w:lang w:eastAsia="zh-CN"/>
              </w:rPr>
              <w:t>②</w:t>
            </w:r>
            <w:r>
              <w:rPr>
                <w:rFonts w:hint="eastAsia"/>
                <w:sz w:val="21"/>
                <w:szCs w:val="21"/>
              </w:rPr>
              <w:t>另外厂区引入了一条DN100的城市自来水管道，主要作为公司的生活用水。</w:t>
            </w:r>
          </w:p>
          <w:p>
            <w:pPr>
              <w:spacing w:line="276" w:lineRule="auto"/>
              <w:rPr>
                <w:rFonts w:hint="eastAsia"/>
                <w:sz w:val="21"/>
                <w:szCs w:val="21"/>
              </w:rPr>
            </w:pPr>
            <w:r>
              <w:rPr>
                <w:rFonts w:hint="eastAsia"/>
                <w:sz w:val="21"/>
                <w:szCs w:val="21"/>
                <w:lang w:eastAsia="zh-CN"/>
              </w:rPr>
              <w:t>（</w:t>
            </w:r>
            <w:r>
              <w:rPr>
                <w:rFonts w:hint="eastAsia"/>
                <w:sz w:val="21"/>
                <w:szCs w:val="21"/>
              </w:rPr>
              <w:t>2）供电</w:t>
            </w:r>
          </w:p>
          <w:p>
            <w:pPr>
              <w:spacing w:line="276" w:lineRule="auto"/>
              <w:rPr>
                <w:rFonts w:hint="eastAsia"/>
                <w:sz w:val="21"/>
                <w:szCs w:val="21"/>
              </w:rPr>
            </w:pPr>
            <w:r>
              <w:rPr>
                <w:rFonts w:hint="eastAsia"/>
                <w:sz w:val="21"/>
                <w:szCs w:val="21"/>
              </w:rPr>
              <w:t>海利常德公司供电负荷为二级，双回路供电，第一回路为主电源，来自10kV的德化线；第二回路为10kV德和线，作为备用电源。另外厂内还有2台柴油发电机（其中1台250KW，1台500KW），作为各装置内二级负荷的应急电源。</w:t>
            </w:r>
          </w:p>
          <w:p>
            <w:pPr>
              <w:spacing w:line="276" w:lineRule="auto"/>
              <w:rPr>
                <w:rFonts w:hint="eastAsia"/>
                <w:sz w:val="21"/>
                <w:szCs w:val="21"/>
              </w:rPr>
            </w:pPr>
            <w:r>
              <w:rPr>
                <w:rFonts w:hint="eastAsia"/>
                <w:sz w:val="21"/>
                <w:szCs w:val="21"/>
                <w:lang w:eastAsia="zh-CN"/>
              </w:rPr>
              <w:t>（</w:t>
            </w:r>
            <w:r>
              <w:rPr>
                <w:rFonts w:hint="eastAsia"/>
                <w:sz w:val="21"/>
                <w:szCs w:val="21"/>
              </w:rPr>
              <w:t>3）消防</w:t>
            </w:r>
          </w:p>
          <w:p>
            <w:pPr>
              <w:spacing w:line="276" w:lineRule="auto"/>
              <w:rPr>
                <w:rFonts w:hint="eastAsia"/>
                <w:b/>
                <w:bCs/>
                <w:sz w:val="21"/>
                <w:szCs w:val="21"/>
                <w:lang w:val="en-US" w:eastAsia="zh-CN"/>
              </w:rPr>
            </w:pPr>
            <w:r>
              <w:rPr>
                <w:rFonts w:hint="eastAsia"/>
                <w:sz w:val="21"/>
                <w:szCs w:val="21"/>
              </w:rPr>
              <w:t>本项目所在</w:t>
            </w:r>
            <w:r>
              <w:rPr>
                <w:rFonts w:hint="eastAsia"/>
                <w:sz w:val="21"/>
                <w:szCs w:val="21"/>
                <w:lang w:val="en-US" w:eastAsia="zh-CN"/>
              </w:rPr>
              <w:t>地常德</w:t>
            </w:r>
            <w:r>
              <w:rPr>
                <w:rFonts w:hint="eastAsia"/>
                <w:sz w:val="21"/>
                <w:szCs w:val="21"/>
              </w:rPr>
              <w:t>经开区内有一个消防大队，城市消防离厂区不到10分钟车程，本项目消防主要可依托</w:t>
            </w:r>
            <w:r>
              <w:rPr>
                <w:rFonts w:hint="eastAsia"/>
                <w:sz w:val="21"/>
                <w:szCs w:val="21"/>
                <w:lang w:val="en-US" w:eastAsia="zh-CN"/>
              </w:rPr>
              <w:t>常德经开</w:t>
            </w:r>
            <w:r>
              <w:rPr>
                <w:rFonts w:hint="eastAsia"/>
                <w:sz w:val="21"/>
                <w:szCs w:val="21"/>
              </w:rPr>
              <w:t>区的消防力量。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b/>
                <w:bCs/>
                <w:sz w:val="21"/>
                <w:szCs w:val="21"/>
              </w:rPr>
            </w:pPr>
            <w:r>
              <w:rPr>
                <w:rFonts w:hint="eastAsia"/>
                <w:b/>
                <w:bCs/>
                <w:sz w:val="21"/>
                <w:szCs w:val="21"/>
                <w:lang w:val="en-US" w:eastAsia="zh-CN"/>
              </w:rPr>
              <w:t>7</w:t>
            </w:r>
            <w:r>
              <w:rPr>
                <w:rFonts w:hint="eastAsia"/>
                <w:b/>
                <w:bCs/>
                <w:sz w:val="21"/>
                <w:szCs w:val="21"/>
              </w:rPr>
              <w:t>、项目平面布置</w:t>
            </w:r>
          </w:p>
          <w:p>
            <w:pPr>
              <w:spacing w:line="276" w:lineRule="auto"/>
              <w:rPr>
                <w:rFonts w:hint="eastAsia"/>
                <w:sz w:val="21"/>
                <w:szCs w:val="21"/>
                <w:lang w:eastAsia="zh-CN"/>
              </w:rPr>
            </w:pPr>
            <w:r>
              <w:rPr>
                <w:rFonts w:hint="eastAsia"/>
                <w:sz w:val="21"/>
                <w:szCs w:val="21"/>
              </w:rPr>
              <w:t>本项目</w:t>
            </w:r>
            <w:r>
              <w:rPr>
                <w:rFonts w:hint="eastAsia"/>
                <w:sz w:val="21"/>
                <w:szCs w:val="21"/>
                <w:lang w:val="en-US" w:eastAsia="zh-CN"/>
              </w:rPr>
              <w:t>位于现有厂区的中北、东北部区域，位置图详见附图2。丙类仓库：在拆除现有</w:t>
            </w:r>
            <w:r>
              <w:rPr>
                <w:rFonts w:hint="eastAsia"/>
                <w:sz w:val="21"/>
                <w:szCs w:val="21"/>
                <w:lang w:eastAsia="zh-CN"/>
              </w:rPr>
              <w:t>罐区西边的</w:t>
            </w:r>
            <w:r>
              <w:rPr>
                <w:rFonts w:hint="eastAsia"/>
                <w:sz w:val="21"/>
                <w:szCs w:val="21"/>
                <w:lang w:val="en-US" w:eastAsia="zh-CN"/>
              </w:rPr>
              <w:t>1栋</w:t>
            </w:r>
            <w:r>
              <w:rPr>
                <w:rFonts w:hint="eastAsia"/>
                <w:sz w:val="21"/>
                <w:szCs w:val="21"/>
                <w:lang w:eastAsia="zh-CN"/>
              </w:rPr>
              <w:t>甲类</w:t>
            </w:r>
            <w:r>
              <w:rPr>
                <w:rFonts w:hint="eastAsia"/>
                <w:sz w:val="21"/>
                <w:szCs w:val="21"/>
                <w:lang w:val="en-US" w:eastAsia="zh-CN"/>
              </w:rPr>
              <w:t>原材料仓库基础上新建1栋1F的丙类仓库，该仓库东边为厂区甲苯等物料的储罐区，南面为厂区道路，西边为造气厂房，北面为厂区配电室、应急池、原料泵区。</w:t>
            </w:r>
          </w:p>
          <w:p>
            <w:pPr>
              <w:spacing w:line="276" w:lineRule="auto"/>
              <w:rPr>
                <w:rFonts w:hint="eastAsia"/>
                <w:sz w:val="21"/>
                <w:szCs w:val="21"/>
              </w:rPr>
            </w:pPr>
            <w:r>
              <w:rPr>
                <w:rFonts w:hint="eastAsia"/>
                <w:sz w:val="21"/>
                <w:szCs w:val="21"/>
                <w:lang w:val="en-US" w:eastAsia="zh-CN"/>
              </w:rPr>
              <w:t>本项目</w:t>
            </w:r>
            <w:r>
              <w:rPr>
                <w:rFonts w:hint="eastAsia"/>
                <w:sz w:val="21"/>
                <w:szCs w:val="21"/>
              </w:rPr>
              <w:t>为化学品集中储存区，丙类仓库的耐火等级为二级。仓库区所有路面均采用不发火路面，一般采用环氧树脂覆盖地面。</w:t>
            </w:r>
          </w:p>
          <w:p>
            <w:pPr>
              <w:spacing w:line="276" w:lineRule="auto"/>
              <w:ind w:firstLine="420" w:firstLineChars="200"/>
              <w:rPr>
                <w:rFonts w:hint="eastAsia"/>
                <w:sz w:val="21"/>
                <w:szCs w:val="21"/>
              </w:rPr>
            </w:pPr>
            <w:r>
              <w:rPr>
                <w:rFonts w:hint="eastAsia"/>
                <w:sz w:val="21"/>
                <w:szCs w:val="21"/>
                <w:lang w:val="en-US" w:eastAsia="zh-CN"/>
              </w:rPr>
              <w:t>本项目</w:t>
            </w:r>
            <w:r>
              <w:rPr>
                <w:rFonts w:hint="eastAsia"/>
                <w:sz w:val="21"/>
                <w:szCs w:val="21"/>
                <w:lang w:eastAsia="zh-CN"/>
              </w:rPr>
              <w:t>建筑物内按规范要求设置安全疏散通道。丙类仓库</w:t>
            </w:r>
            <w:r>
              <w:rPr>
                <w:rFonts w:hint="eastAsia"/>
                <w:sz w:val="21"/>
                <w:szCs w:val="21"/>
                <w:lang w:val="en-US" w:eastAsia="zh-CN"/>
              </w:rPr>
              <w:t>设置二个防火分区，</w:t>
            </w:r>
            <w:r>
              <w:rPr>
                <w:rFonts w:hint="eastAsia"/>
                <w:sz w:val="21"/>
                <w:szCs w:val="21"/>
                <w:lang w:eastAsia="zh-CN"/>
              </w:rPr>
              <w:t>每个防火分区至少设置两个安全出口，作为现场人员的安全出入口。仓库的安全出口分散布置。每个防火分区，其相邻2个安全出口最近边缘之间的水平距离不小于5.0m。仓库内每个防火分区通向疏散走道或室外的出口不少于2个。</w:t>
            </w:r>
          </w:p>
          <w:p>
            <w:pPr>
              <w:spacing w:line="276" w:lineRule="auto"/>
              <w:ind w:firstLine="0" w:firstLineChars="0"/>
              <w:rPr>
                <w:b/>
                <w:bCs/>
                <w:sz w:val="21"/>
                <w:szCs w:val="21"/>
              </w:rPr>
            </w:pPr>
            <w:r>
              <w:rPr>
                <w:rFonts w:hint="eastAsia"/>
                <w:b/>
                <w:bCs/>
                <w:sz w:val="21"/>
                <w:szCs w:val="21"/>
                <w:lang w:val="en-US" w:eastAsia="zh-CN"/>
              </w:rPr>
              <w:t>8</w:t>
            </w:r>
            <w:r>
              <w:rPr>
                <w:rFonts w:hint="eastAsia"/>
                <w:b/>
                <w:bCs/>
                <w:sz w:val="21"/>
                <w:szCs w:val="21"/>
              </w:rPr>
              <w:t>、劳动定员及工作制度</w:t>
            </w:r>
          </w:p>
          <w:p>
            <w:pPr>
              <w:spacing w:line="276" w:lineRule="auto"/>
              <w:ind w:firstLine="420"/>
              <w:rPr>
                <w:rFonts w:hint="eastAsia"/>
                <w:bCs/>
                <w:sz w:val="21"/>
                <w:szCs w:val="21"/>
              </w:rPr>
            </w:pPr>
            <w:r>
              <w:rPr>
                <w:rFonts w:hint="eastAsia"/>
                <w:bCs/>
                <w:sz w:val="21"/>
                <w:szCs w:val="21"/>
                <w:lang w:val="en-US" w:eastAsia="zh-CN"/>
              </w:rPr>
              <w:t>本</w:t>
            </w:r>
            <w:r>
              <w:rPr>
                <w:rFonts w:hint="eastAsia"/>
                <w:bCs/>
                <w:sz w:val="21"/>
                <w:szCs w:val="21"/>
                <w:lang w:eastAsia="zh-CN"/>
              </w:rPr>
              <w:t>企业现有</w:t>
            </w:r>
            <w:r>
              <w:rPr>
                <w:rFonts w:hint="eastAsia"/>
                <w:bCs/>
                <w:sz w:val="21"/>
                <w:szCs w:val="21"/>
              </w:rPr>
              <w:t>劳动定员</w:t>
            </w:r>
            <w:r>
              <w:rPr>
                <w:rFonts w:hint="eastAsia"/>
                <w:bCs/>
                <w:sz w:val="21"/>
                <w:szCs w:val="21"/>
                <w:lang w:val="en-US" w:eastAsia="zh-CN"/>
              </w:rPr>
              <w:t>672</w:t>
            </w:r>
            <w:r>
              <w:rPr>
                <w:rFonts w:hint="eastAsia"/>
                <w:bCs/>
                <w:sz w:val="21"/>
                <w:szCs w:val="21"/>
              </w:rPr>
              <w:t>人，</w:t>
            </w:r>
            <w:r>
              <w:rPr>
                <w:rFonts w:hint="eastAsia"/>
                <w:bCs/>
                <w:sz w:val="21"/>
                <w:szCs w:val="21"/>
                <w:lang w:eastAsia="zh-CN"/>
              </w:rPr>
              <w:t>本项目不新增员</w:t>
            </w:r>
            <w:r>
              <w:rPr>
                <w:rFonts w:hint="eastAsia"/>
                <w:bCs/>
                <w:sz w:val="21"/>
                <w:szCs w:val="21"/>
                <w:lang w:val="en-US" w:eastAsia="zh-CN"/>
              </w:rPr>
              <w:t>工</w:t>
            </w:r>
            <w:r>
              <w:rPr>
                <w:rFonts w:hint="eastAsia"/>
                <w:bCs/>
                <w:sz w:val="21"/>
                <w:szCs w:val="21"/>
                <w:lang w:eastAsia="zh-CN"/>
              </w:rPr>
              <w:t>，均</w:t>
            </w:r>
            <w:r>
              <w:rPr>
                <w:rFonts w:hint="eastAsia"/>
                <w:bCs/>
                <w:sz w:val="21"/>
                <w:szCs w:val="21"/>
                <w:lang w:val="en-US" w:eastAsia="zh-CN"/>
              </w:rPr>
              <w:t>从现有员工中调配。企业</w:t>
            </w:r>
            <w:r>
              <w:rPr>
                <w:rFonts w:hint="eastAsia"/>
                <w:bCs/>
                <w:sz w:val="21"/>
                <w:szCs w:val="21"/>
              </w:rPr>
              <w:t>年工作</w:t>
            </w:r>
            <w:r>
              <w:rPr>
                <w:rFonts w:hint="eastAsia"/>
                <w:bCs/>
                <w:sz w:val="21"/>
                <w:szCs w:val="21"/>
                <w:lang w:val="en-US" w:eastAsia="zh-CN"/>
              </w:rPr>
              <w:t>300天</w:t>
            </w:r>
            <w:r>
              <w:rPr>
                <w:rFonts w:hint="eastAsia"/>
                <w:bCs/>
                <w:sz w:val="21"/>
                <w:szCs w:val="21"/>
              </w:rPr>
              <w:t>，年工作时间2400h</w:t>
            </w:r>
            <w:r>
              <w:rPr>
                <w:rFonts w:hint="eastAsia"/>
                <w:bCs/>
                <w:sz w:val="21"/>
                <w:szCs w:val="21"/>
                <w:lang w:eastAsia="zh-CN"/>
              </w:rPr>
              <w:t>，生产车间工作人员</w:t>
            </w:r>
            <w:r>
              <w:rPr>
                <w:rFonts w:hint="eastAsia"/>
                <w:bCs/>
                <w:sz w:val="21"/>
                <w:szCs w:val="21"/>
              </w:rPr>
              <w:t>每日</w:t>
            </w:r>
            <w:r>
              <w:rPr>
                <w:rFonts w:hint="eastAsia"/>
                <w:bCs/>
                <w:sz w:val="21"/>
                <w:szCs w:val="21"/>
                <w:lang w:val="en-US" w:eastAsia="zh-CN"/>
              </w:rPr>
              <w:t>2</w:t>
            </w:r>
            <w:r>
              <w:rPr>
                <w:rFonts w:hint="eastAsia"/>
                <w:bCs/>
                <w:sz w:val="21"/>
                <w:szCs w:val="21"/>
              </w:rPr>
              <w:t>班，</w:t>
            </w:r>
            <w:r>
              <w:rPr>
                <w:rFonts w:hint="eastAsia"/>
                <w:bCs/>
                <w:sz w:val="21"/>
                <w:szCs w:val="21"/>
                <w:lang w:eastAsia="zh-CN"/>
              </w:rPr>
              <w:t>其他人员每日</w:t>
            </w:r>
            <w:r>
              <w:rPr>
                <w:rFonts w:hint="eastAsia"/>
                <w:bCs/>
                <w:sz w:val="21"/>
                <w:szCs w:val="21"/>
                <w:lang w:val="en-US" w:eastAsia="zh-CN"/>
              </w:rPr>
              <w:t>1班，</w:t>
            </w:r>
            <w:r>
              <w:rPr>
                <w:rFonts w:hint="eastAsia"/>
                <w:bCs/>
                <w:sz w:val="21"/>
                <w:szCs w:val="21"/>
              </w:rPr>
              <w:t>每班8h。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5" w:hRule="atLeast"/>
        </w:trPr>
        <w:tc>
          <w:tcPr>
            <w:tcW w:w="809" w:type="dxa"/>
            <w:vAlign w:val="center"/>
          </w:tcPr>
          <w:p>
            <w:pPr>
              <w:spacing w:line="240" w:lineRule="auto"/>
              <w:ind w:firstLine="0" w:firstLineChars="0"/>
              <w:jc w:val="center"/>
              <w:rPr>
                <w:rFonts w:cs="宋体"/>
                <w:sz w:val="21"/>
                <w:szCs w:val="21"/>
              </w:rPr>
            </w:pPr>
            <w:r>
              <w:rPr>
                <w:rFonts w:hint="eastAsia" w:cs="宋体"/>
                <w:sz w:val="21"/>
                <w:szCs w:val="21"/>
              </w:rPr>
              <w:t>工艺</w:t>
            </w:r>
          </w:p>
          <w:p>
            <w:pPr>
              <w:spacing w:line="240" w:lineRule="auto"/>
              <w:ind w:firstLine="0" w:firstLineChars="0"/>
              <w:jc w:val="center"/>
              <w:rPr>
                <w:rFonts w:cs="宋体"/>
                <w:sz w:val="21"/>
                <w:szCs w:val="21"/>
              </w:rPr>
            </w:pPr>
            <w:r>
              <w:rPr>
                <w:rFonts w:hint="eastAsia" w:cs="宋体"/>
                <w:sz w:val="21"/>
                <w:szCs w:val="21"/>
              </w:rPr>
              <w:t>流程</w:t>
            </w:r>
          </w:p>
          <w:p>
            <w:pPr>
              <w:spacing w:line="240" w:lineRule="auto"/>
              <w:ind w:firstLine="0" w:firstLineChars="0"/>
              <w:jc w:val="center"/>
              <w:rPr>
                <w:rFonts w:cs="宋体"/>
                <w:sz w:val="21"/>
                <w:szCs w:val="21"/>
              </w:rPr>
            </w:pPr>
            <w:r>
              <w:rPr>
                <w:rFonts w:hint="eastAsia" w:cs="宋体"/>
                <w:sz w:val="21"/>
                <w:szCs w:val="21"/>
              </w:rPr>
              <w:t>和产</w:t>
            </w:r>
          </w:p>
          <w:p>
            <w:pPr>
              <w:spacing w:line="240" w:lineRule="auto"/>
              <w:ind w:firstLine="0" w:firstLineChars="0"/>
              <w:jc w:val="center"/>
              <w:rPr>
                <w:rFonts w:cs="宋体"/>
                <w:sz w:val="21"/>
                <w:szCs w:val="21"/>
              </w:rPr>
            </w:pPr>
            <w:r>
              <w:rPr>
                <w:rFonts w:hint="eastAsia" w:cs="宋体"/>
                <w:sz w:val="21"/>
                <w:szCs w:val="21"/>
              </w:rPr>
              <w:t>排污</w:t>
            </w:r>
          </w:p>
          <w:p>
            <w:pPr>
              <w:spacing w:line="240" w:lineRule="auto"/>
              <w:ind w:firstLine="0" w:firstLineChars="0"/>
              <w:jc w:val="center"/>
              <w:rPr>
                <w:rFonts w:cs="宋体"/>
                <w:sz w:val="21"/>
                <w:szCs w:val="21"/>
              </w:rPr>
            </w:pPr>
            <w:r>
              <w:rPr>
                <w:rFonts w:hint="eastAsia" w:cs="宋体"/>
                <w:sz w:val="21"/>
                <w:szCs w:val="21"/>
              </w:rPr>
              <w:t>环节</w:t>
            </w:r>
          </w:p>
        </w:tc>
        <w:tc>
          <w:tcPr>
            <w:tcW w:w="8137" w:type="dxa"/>
          </w:tcPr>
          <w:p>
            <w:pPr>
              <w:spacing w:line="276" w:lineRule="auto"/>
              <w:ind w:firstLine="0" w:firstLineChars="0"/>
              <w:rPr>
                <w:rFonts w:hint="default" w:eastAsia="宋体"/>
                <w:b/>
                <w:bCs/>
                <w:sz w:val="21"/>
                <w:szCs w:val="21"/>
                <w:lang w:val="en-US" w:eastAsia="zh-CN"/>
              </w:rPr>
            </w:pPr>
            <w:r>
              <w:rPr>
                <w:rFonts w:hint="eastAsia"/>
                <w:b/>
                <w:bCs/>
                <w:sz w:val="21"/>
                <w:szCs w:val="21"/>
              </w:rPr>
              <w:t>1、</w:t>
            </w:r>
            <w:r>
              <w:rPr>
                <w:rFonts w:hint="eastAsia"/>
                <w:b/>
                <w:bCs/>
                <w:sz w:val="21"/>
                <w:szCs w:val="21"/>
                <w:lang w:val="en-US" w:eastAsia="zh-CN"/>
              </w:rPr>
              <w:t>施工期</w:t>
            </w:r>
            <w:r>
              <w:rPr>
                <w:rFonts w:hint="eastAsia"/>
                <w:b/>
                <w:bCs/>
                <w:sz w:val="21"/>
                <w:szCs w:val="21"/>
              </w:rPr>
              <w:t>工艺流程</w:t>
            </w:r>
            <w:r>
              <w:rPr>
                <w:rFonts w:hint="eastAsia"/>
                <w:b/>
                <w:bCs/>
                <w:sz w:val="21"/>
                <w:szCs w:val="21"/>
                <w:lang w:val="en-US" w:eastAsia="zh-CN"/>
              </w:rPr>
              <w:t>及产污环节</w:t>
            </w:r>
          </w:p>
          <w:p>
            <w:pPr>
              <w:spacing w:line="240" w:lineRule="auto"/>
              <w:ind w:left="0" w:leftChars="0" w:firstLine="0" w:firstLineChars="0"/>
              <w:rPr>
                <w:rFonts w:hint="eastAsia" w:eastAsia="宋体"/>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lang w:val="en-US" w:eastAsia="zh-CN"/>
              </w:rPr>
              <w:t>施工期</w:t>
            </w:r>
            <w:r>
              <w:rPr>
                <w:rFonts w:hint="eastAsia"/>
                <w:sz w:val="21"/>
                <w:szCs w:val="21"/>
              </w:rPr>
              <w:t>工艺流程</w:t>
            </w:r>
            <w:r>
              <w:rPr>
                <w:rFonts w:hint="eastAsia"/>
                <w:sz w:val="21"/>
                <w:szCs w:val="21"/>
                <w:lang w:eastAsia="zh-CN"/>
              </w:rPr>
              <w:t>图如下所示。</w:t>
            </w:r>
          </w:p>
          <w:p>
            <w:pPr>
              <w:spacing w:line="240" w:lineRule="auto"/>
              <w:ind w:firstLine="0" w:firstLineChars="0"/>
              <w:jc w:val="center"/>
              <w:rPr>
                <w:sz w:val="21"/>
                <w:szCs w:val="21"/>
              </w:rPr>
            </w:pPr>
            <w:r>
              <w:rPr>
                <w:bCs/>
              </w:rPr>
              <mc:AlternateContent>
                <mc:Choice Requires="wpc">
                  <w:drawing>
                    <wp:inline distT="0" distB="0" distL="114300" distR="114300">
                      <wp:extent cx="5079365" cy="2312670"/>
                      <wp:effectExtent l="0" t="5080" r="0" b="0"/>
                      <wp:docPr id="23" name="画布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1"/>
                              <wps:cNvSpPr/>
                              <wps:spPr>
                                <a:xfrm>
                                  <a:off x="1485948" y="1944948"/>
                                  <a:ext cx="1997765" cy="284595"/>
                                </a:xfrm>
                                <a:prstGeom prst="rect">
                                  <a:avLst/>
                                </a:prstGeom>
                                <a:solidFill>
                                  <a:srgbClr val="FFFFFF"/>
                                </a:solidFill>
                                <a:ln>
                                  <a:noFill/>
                                </a:ln>
                              </wps:spPr>
                              <wps:txbx>
                                <w:txbxContent>
                                  <w:p>
                                    <w:pPr>
                                      <w:spacing w:line="240" w:lineRule="auto"/>
                                      <w:ind w:firstLine="0" w:firstLineChars="0"/>
                                      <w:jc w:val="center"/>
                                      <w:rPr>
                                        <w:sz w:val="21"/>
                                        <w:szCs w:val="21"/>
                                      </w:rPr>
                                    </w:pPr>
                                    <w:r>
                                      <w:rPr>
                                        <w:rFonts w:hint="eastAsia"/>
                                        <w:sz w:val="21"/>
                                        <w:szCs w:val="21"/>
                                        <w:lang w:val="en-US" w:eastAsia="zh-CN"/>
                                      </w:rPr>
                                      <w:t>建筑垃圾</w:t>
                                    </w:r>
                                    <w:r>
                                      <w:rPr>
                                        <w:rFonts w:hint="eastAsia"/>
                                        <w:sz w:val="21"/>
                                        <w:szCs w:val="21"/>
                                      </w:rPr>
                                      <w:t>、生活垃圾、生活污水</w:t>
                                    </w:r>
                                  </w:p>
                                </w:txbxContent>
                              </wps:txbx>
                              <wps:bodyPr upright="1"/>
                            </wps:wsp>
                            <wps:wsp>
                              <wps:cNvPr id="4" name="矩形 4"/>
                              <wps:cNvSpPr/>
                              <wps:spPr>
                                <a:xfrm>
                                  <a:off x="657221" y="165755"/>
                                  <a:ext cx="468015" cy="297299"/>
                                </a:xfrm>
                                <a:prstGeom prst="rect">
                                  <a:avLst/>
                                </a:prstGeom>
                                <a:solidFill>
                                  <a:srgbClr val="FFFFFF"/>
                                </a:solidFill>
                                <a:ln>
                                  <a:noFill/>
                                </a:ln>
                              </wps:spPr>
                              <wps:txbx>
                                <w:txbxContent>
                                  <w:p>
                                    <w:pPr>
                                      <w:spacing w:line="240" w:lineRule="auto"/>
                                      <w:ind w:firstLine="0" w:firstLineChars="0"/>
                                      <w:jc w:val="center"/>
                                      <w:rPr>
                                        <w:sz w:val="21"/>
                                        <w:szCs w:val="21"/>
                                      </w:rPr>
                                    </w:pPr>
                                    <w:r>
                                      <w:rPr>
                                        <w:rFonts w:hint="eastAsia"/>
                                        <w:sz w:val="21"/>
                                        <w:szCs w:val="21"/>
                                      </w:rPr>
                                      <w:t>噪声</w:t>
                                    </w:r>
                                  </w:p>
                                </w:txbxContent>
                              </wps:txbx>
                              <wps:bodyPr upright="1"/>
                            </wps:wsp>
                            <wps:wsp>
                              <wps:cNvPr id="5" name="矩形 5"/>
                              <wps:cNvSpPr/>
                              <wps:spPr>
                                <a:xfrm>
                                  <a:off x="3321050" y="124460"/>
                                  <a:ext cx="1007110" cy="297180"/>
                                </a:xfrm>
                                <a:prstGeom prst="rect">
                                  <a:avLst/>
                                </a:prstGeom>
                                <a:solidFill>
                                  <a:srgbClr val="FFFFFF"/>
                                </a:solidFill>
                                <a:ln>
                                  <a:noFill/>
                                </a:ln>
                              </wps:spPr>
                              <wps:txbx>
                                <w:txbxContent>
                                  <w:p>
                                    <w:pPr>
                                      <w:spacing w:line="240" w:lineRule="auto"/>
                                      <w:ind w:firstLine="0" w:firstLineChars="0"/>
                                      <w:jc w:val="center"/>
                                      <w:rPr>
                                        <w:rFonts w:hint="default" w:eastAsia="宋体"/>
                                        <w:sz w:val="21"/>
                                        <w:szCs w:val="21"/>
                                        <w:lang w:val="en-US" w:eastAsia="zh-CN"/>
                                      </w:rPr>
                                    </w:pPr>
                                    <w:r>
                                      <w:rPr>
                                        <w:rFonts w:hint="eastAsia"/>
                                        <w:sz w:val="21"/>
                                        <w:szCs w:val="21"/>
                                      </w:rPr>
                                      <w:t>扬尘</w:t>
                                    </w:r>
                                  </w:p>
                                </w:txbxContent>
                              </wps:txbx>
                              <wps:bodyPr upright="1"/>
                            </wps:wsp>
                            <wps:wsp>
                              <wps:cNvPr id="6" name="矩形 6"/>
                              <wps:cNvSpPr/>
                              <wps:spPr>
                                <a:xfrm>
                                  <a:off x="457215" y="1194198"/>
                                  <a:ext cx="756225" cy="2971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eastAsia="宋体"/>
                                        <w:sz w:val="21"/>
                                        <w:szCs w:val="21"/>
                                        <w:lang w:val="en-US" w:eastAsia="zh-CN"/>
                                      </w:rPr>
                                    </w:pPr>
                                    <w:r>
                                      <w:rPr>
                                        <w:rFonts w:hint="eastAsia"/>
                                        <w:sz w:val="21"/>
                                        <w:szCs w:val="21"/>
                                      </w:rPr>
                                      <w:t>土</w:t>
                                    </w:r>
                                    <w:r>
                                      <w:rPr>
                                        <w:rFonts w:hint="eastAsia"/>
                                        <w:sz w:val="21"/>
                                        <w:szCs w:val="21"/>
                                        <w:lang w:val="en-US" w:eastAsia="zh-CN"/>
                                      </w:rPr>
                                      <w:t>方工程</w:t>
                                    </w:r>
                                  </w:p>
                                </w:txbxContent>
                              </wps:txbx>
                              <wps:bodyPr upright="1"/>
                            </wps:wsp>
                            <wps:wsp>
                              <wps:cNvPr id="7" name="矩形 7"/>
                              <wps:cNvSpPr/>
                              <wps:spPr>
                                <a:xfrm>
                                  <a:off x="2743200" y="1194435"/>
                                  <a:ext cx="867410"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厂房装修</w:t>
                                    </w:r>
                                  </w:p>
                                </w:txbxContent>
                              </wps:txbx>
                              <wps:bodyPr upright="1"/>
                            </wps:wsp>
                            <wps:wsp>
                              <wps:cNvPr id="8" name="矩形 8"/>
                              <wps:cNvSpPr/>
                              <wps:spPr>
                                <a:xfrm>
                                  <a:off x="1600252" y="1194198"/>
                                  <a:ext cx="756925" cy="2971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厂房</w:t>
                                    </w:r>
                                    <w:r>
                                      <w:rPr>
                                        <w:rFonts w:hint="eastAsia"/>
                                        <w:sz w:val="21"/>
                                        <w:szCs w:val="21"/>
                                      </w:rPr>
                                      <w:t>建</w:t>
                                    </w:r>
                                    <w:r>
                                      <w:rPr>
                                        <w:rFonts w:hint="eastAsia"/>
                                        <w:sz w:val="21"/>
                                        <w:szCs w:val="21"/>
                                        <w:lang w:val="en-US" w:eastAsia="zh-CN"/>
                                      </w:rPr>
                                      <w:t>设</w:t>
                                    </w:r>
                                  </w:p>
                                </w:txbxContent>
                              </wps:txbx>
                              <wps:bodyPr upright="1"/>
                            </wps:wsp>
                            <wps:wsp>
                              <wps:cNvPr id="9" name="矩形 9"/>
                              <wps:cNvSpPr/>
                              <wps:spPr>
                                <a:xfrm>
                                  <a:off x="1285842" y="0"/>
                                  <a:ext cx="1371645" cy="2971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建筑材料堆放、运输</w:t>
                                    </w:r>
                                  </w:p>
                                </w:txbxContent>
                              </wps:txbx>
                              <wps:bodyPr upright="1"/>
                            </wps:wsp>
                            <wps:wsp>
                              <wps:cNvPr id="10" name="直接连接符 10"/>
                              <wps:cNvCnPr/>
                              <wps:spPr>
                                <a:xfrm>
                                  <a:off x="1238240" y="1344648"/>
                                  <a:ext cx="342911" cy="700"/>
                                </a:xfrm>
                                <a:prstGeom prst="line">
                                  <a:avLst/>
                                </a:prstGeom>
                                <a:ln w="9525" cap="flat" cmpd="sng">
                                  <a:solidFill>
                                    <a:srgbClr val="000000"/>
                                  </a:solidFill>
                                  <a:prstDash val="solid"/>
                                  <a:headEnd type="none" w="med" len="med"/>
                                  <a:tailEnd type="triangle" w="med" len="med"/>
                                </a:ln>
                              </wps:spPr>
                              <wps:bodyPr upright="1"/>
                            </wps:wsp>
                            <wps:wsp>
                              <wps:cNvPr id="11" name="直接连接符 11"/>
                              <wps:cNvCnPr/>
                              <wps:spPr>
                                <a:xfrm>
                                  <a:off x="2381277" y="1340846"/>
                                  <a:ext cx="342911" cy="700"/>
                                </a:xfrm>
                                <a:prstGeom prst="line">
                                  <a:avLst/>
                                </a:prstGeom>
                                <a:ln w="9525" cap="flat" cmpd="sng">
                                  <a:solidFill>
                                    <a:srgbClr val="000000"/>
                                  </a:solidFill>
                                  <a:prstDash val="solid"/>
                                  <a:headEnd type="none" w="med" len="med"/>
                                  <a:tailEnd type="triangle" w="med" len="med"/>
                                </a:ln>
                              </wps:spPr>
                              <wps:bodyPr upright="1"/>
                            </wps:wsp>
                            <wps:wsp>
                              <wps:cNvPr id="12" name="直接连接符 12"/>
                              <wps:cNvCnPr/>
                              <wps:spPr>
                                <a:xfrm>
                                  <a:off x="914430" y="1491397"/>
                                  <a:ext cx="1168438" cy="496765"/>
                                </a:xfrm>
                                <a:prstGeom prst="line">
                                  <a:avLst/>
                                </a:prstGeom>
                                <a:ln w="9525" cap="flat" cmpd="sng">
                                  <a:solidFill>
                                    <a:srgbClr val="000000"/>
                                  </a:solidFill>
                                  <a:prstDash val="dash"/>
                                  <a:headEnd type="none" w="med" len="med"/>
                                  <a:tailEnd type="stealth" w="med" len="lg"/>
                                </a:ln>
                              </wps:spPr>
                              <wps:bodyPr upright="1"/>
                            </wps:wsp>
                            <wps:wsp>
                              <wps:cNvPr id="13" name="直接连接符 13"/>
                              <wps:cNvCnPr/>
                              <wps:spPr>
                                <a:xfrm flipH="1">
                                  <a:off x="2590884" y="1491397"/>
                                  <a:ext cx="495316" cy="496765"/>
                                </a:xfrm>
                                <a:prstGeom prst="line">
                                  <a:avLst/>
                                </a:prstGeom>
                                <a:ln w="9525" cap="flat" cmpd="sng">
                                  <a:solidFill>
                                    <a:srgbClr val="000000"/>
                                  </a:solidFill>
                                  <a:prstDash val="dash"/>
                                  <a:headEnd type="none" w="med" len="med"/>
                                  <a:tailEnd type="stealth" w="med" len="lg"/>
                                </a:ln>
                              </wps:spPr>
                              <wps:bodyPr upright="1"/>
                            </wps:wsp>
                            <wps:wsp>
                              <wps:cNvPr id="14" name="直接连接符 14"/>
                              <wps:cNvCnPr/>
                              <wps:spPr>
                                <a:xfrm>
                                  <a:off x="1943163" y="1491397"/>
                                  <a:ext cx="414013" cy="496765"/>
                                </a:xfrm>
                                <a:prstGeom prst="line">
                                  <a:avLst/>
                                </a:prstGeom>
                                <a:ln w="9525" cap="flat" cmpd="sng">
                                  <a:solidFill>
                                    <a:srgbClr val="000000"/>
                                  </a:solidFill>
                                  <a:prstDash val="dash"/>
                                  <a:headEnd type="none" w="med" len="med"/>
                                  <a:tailEnd type="stealth" w="med" len="lg"/>
                                </a:ln>
                              </wps:spPr>
                              <wps:bodyPr upright="1"/>
                            </wps:wsp>
                            <wps:wsp>
                              <wps:cNvPr id="15" name="直接连接符 15"/>
                              <wps:cNvCnPr/>
                              <wps:spPr>
                                <a:xfrm flipV="1">
                                  <a:off x="754024" y="396232"/>
                                  <a:ext cx="46101" cy="797265"/>
                                </a:xfrm>
                                <a:prstGeom prst="line">
                                  <a:avLst/>
                                </a:prstGeom>
                                <a:ln w="9525" cap="flat" cmpd="sng">
                                  <a:solidFill>
                                    <a:srgbClr val="000000"/>
                                  </a:solidFill>
                                  <a:prstDash val="dash"/>
                                  <a:headEnd type="none" w="med" len="med"/>
                                  <a:tailEnd type="stealth" w="med" len="lg"/>
                                </a:ln>
                              </wps:spPr>
                              <wps:bodyPr upright="1"/>
                            </wps:wsp>
                            <wps:wsp>
                              <wps:cNvPr id="16" name="直接连接符 16"/>
                              <wps:cNvCnPr/>
                              <wps:spPr>
                                <a:xfrm flipH="1" flipV="1">
                                  <a:off x="914430" y="396132"/>
                                  <a:ext cx="825327" cy="796665"/>
                                </a:xfrm>
                                <a:prstGeom prst="line">
                                  <a:avLst/>
                                </a:prstGeom>
                                <a:ln w="9525" cap="flat" cmpd="sng">
                                  <a:solidFill>
                                    <a:srgbClr val="000000"/>
                                  </a:solidFill>
                                  <a:prstDash val="dash"/>
                                  <a:headEnd type="none" w="med" len="med"/>
                                  <a:tailEnd type="stealth" w="med" len="lg"/>
                                </a:ln>
                              </wps:spPr>
                              <wps:bodyPr upright="1"/>
                            </wps:wsp>
                            <wps:wsp>
                              <wps:cNvPr id="17" name="直接连接符 17"/>
                              <wps:cNvCnPr/>
                              <wps:spPr>
                                <a:xfrm flipH="1" flipV="1">
                                  <a:off x="1028733" y="396232"/>
                                  <a:ext cx="1928263" cy="797666"/>
                                </a:xfrm>
                                <a:prstGeom prst="line">
                                  <a:avLst/>
                                </a:prstGeom>
                                <a:ln w="9525" cap="flat" cmpd="sng">
                                  <a:solidFill>
                                    <a:srgbClr val="000000"/>
                                  </a:solidFill>
                                  <a:prstDash val="dash"/>
                                  <a:headEnd type="none" w="med" len="med"/>
                                  <a:tailEnd type="stealth" w="med" len="lg"/>
                                </a:ln>
                              </wps:spPr>
                              <wps:bodyPr upright="1"/>
                            </wps:wsp>
                            <wps:wsp>
                              <wps:cNvPr id="18" name="直接连接符 18"/>
                              <wps:cNvCnPr/>
                              <wps:spPr>
                                <a:xfrm>
                                  <a:off x="1943163" y="297199"/>
                                  <a:ext cx="0" cy="896699"/>
                                </a:xfrm>
                                <a:prstGeom prst="line">
                                  <a:avLst/>
                                </a:prstGeom>
                                <a:ln w="9525" cap="flat" cmpd="sng">
                                  <a:solidFill>
                                    <a:srgbClr val="000000"/>
                                  </a:solidFill>
                                  <a:prstDash val="solid"/>
                                  <a:headEnd type="none" w="med" len="med"/>
                                  <a:tailEnd type="triangle" w="med" len="med"/>
                                </a:ln>
                              </wps:spPr>
                              <wps:bodyPr upright="1"/>
                            </wps:wsp>
                            <wps:wsp>
                              <wps:cNvPr id="19" name="直接连接符 19"/>
                              <wps:cNvCnPr/>
                              <wps:spPr>
                                <a:xfrm flipV="1">
                                  <a:off x="3283007" y="396232"/>
                                  <a:ext cx="489016" cy="796765"/>
                                </a:xfrm>
                                <a:prstGeom prst="line">
                                  <a:avLst/>
                                </a:prstGeom>
                                <a:ln w="9525" cap="flat" cmpd="sng">
                                  <a:solidFill>
                                    <a:srgbClr val="000000"/>
                                  </a:solidFill>
                                  <a:prstDash val="dash"/>
                                  <a:headEnd type="none" w="med" len="med"/>
                                  <a:tailEnd type="stealth" w="med" len="lg"/>
                                </a:ln>
                              </wps:spPr>
                              <wps:bodyPr upright="1"/>
                            </wps:wsp>
                            <wps:wsp>
                              <wps:cNvPr id="20" name="直接连接符 20"/>
                              <wps:cNvCnPr/>
                              <wps:spPr>
                                <a:xfrm flipV="1">
                                  <a:off x="2226672" y="396232"/>
                                  <a:ext cx="1431046" cy="796965"/>
                                </a:xfrm>
                                <a:prstGeom prst="line">
                                  <a:avLst/>
                                </a:prstGeom>
                                <a:ln w="9525" cap="flat" cmpd="sng">
                                  <a:solidFill>
                                    <a:srgbClr val="000000"/>
                                  </a:solidFill>
                                  <a:prstDash val="dash"/>
                                  <a:headEnd type="none" w="med" len="med"/>
                                  <a:tailEnd type="stealth" w="med" len="lg"/>
                                </a:ln>
                              </wps:spPr>
                              <wps:bodyPr upright="1"/>
                            </wps:wsp>
                            <wps:wsp>
                              <wps:cNvPr id="21" name="直接连接符 21"/>
                              <wps:cNvCnPr/>
                              <wps:spPr>
                                <a:xfrm flipV="1">
                                  <a:off x="1028733" y="396232"/>
                                  <a:ext cx="2514682" cy="797466"/>
                                </a:xfrm>
                                <a:prstGeom prst="line">
                                  <a:avLst/>
                                </a:prstGeom>
                                <a:ln w="9525" cap="flat" cmpd="sng">
                                  <a:solidFill>
                                    <a:srgbClr val="000000"/>
                                  </a:solidFill>
                                  <a:prstDash val="dash"/>
                                  <a:headEnd type="none" w="med" len="med"/>
                                  <a:tailEnd type="stealth" w="med" len="lg"/>
                                </a:ln>
                              </wps:spPr>
                              <wps:bodyPr upright="1"/>
                            </wps:wsp>
                            <wps:wsp>
                              <wps:cNvPr id="22" name="直接连接符 22"/>
                              <wps:cNvCnPr/>
                              <wps:spPr>
                                <a:xfrm>
                                  <a:off x="2667087" y="127642"/>
                                  <a:ext cx="876328" cy="169556"/>
                                </a:xfrm>
                                <a:prstGeom prst="line">
                                  <a:avLst/>
                                </a:prstGeom>
                                <a:ln w="9525" cap="flat" cmpd="sng">
                                  <a:solidFill>
                                    <a:srgbClr val="000000"/>
                                  </a:solidFill>
                                  <a:prstDash val="dash"/>
                                  <a:headEnd type="none" w="med" len="med"/>
                                  <a:tailEnd type="stealth" w="med" len="lg"/>
                                </a:ln>
                              </wps:spPr>
                              <wps:bodyPr upright="1"/>
                            </wps:wsp>
                            <wps:wsp>
                              <wps:cNvPr id="24" name="矩形 24"/>
                              <wps:cNvSpPr/>
                              <wps:spPr>
                                <a:xfrm>
                                  <a:off x="3942080" y="1188085"/>
                                  <a:ext cx="883285"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eastAsia="宋体"/>
                                        <w:sz w:val="21"/>
                                        <w:szCs w:val="21"/>
                                        <w:lang w:val="en-US" w:eastAsia="zh-CN"/>
                                      </w:rPr>
                                    </w:pPr>
                                    <w:r>
                                      <w:rPr>
                                        <w:rFonts w:hint="eastAsia"/>
                                        <w:sz w:val="21"/>
                                        <w:szCs w:val="21"/>
                                      </w:rPr>
                                      <w:t>设备安装</w:t>
                                    </w:r>
                                  </w:p>
                                </w:txbxContent>
                              </wps:txbx>
                              <wps:bodyPr upright="1"/>
                            </wps:wsp>
                            <wps:wsp>
                              <wps:cNvPr id="25" name="直接连接符 25"/>
                              <wps:cNvCnPr/>
                              <wps:spPr>
                                <a:xfrm>
                                  <a:off x="3624580" y="1346835"/>
                                  <a:ext cx="342900" cy="635"/>
                                </a:xfrm>
                                <a:prstGeom prst="line">
                                  <a:avLst/>
                                </a:prstGeom>
                                <a:ln w="9525" cap="flat" cmpd="sng">
                                  <a:solidFill>
                                    <a:srgbClr val="000000"/>
                                  </a:solidFill>
                                  <a:prstDash val="solid"/>
                                  <a:headEnd type="none" w="med" len="med"/>
                                  <a:tailEnd type="triangle" w="med" len="med"/>
                                </a:ln>
                              </wps:spPr>
                              <wps:bodyPr upright="1"/>
                            </wps:wsp>
                            <wps:wsp>
                              <wps:cNvPr id="26" name="矩形 26"/>
                              <wps:cNvSpPr/>
                              <wps:spPr>
                                <a:xfrm>
                                  <a:off x="4091940" y="505460"/>
                                  <a:ext cx="540385" cy="297180"/>
                                </a:xfrm>
                                <a:prstGeom prst="rect">
                                  <a:avLst/>
                                </a:prstGeom>
                                <a:solidFill>
                                  <a:srgbClr val="FFFFFF"/>
                                </a:solidFill>
                                <a:ln>
                                  <a:noFill/>
                                </a:ln>
                              </wps:spPr>
                              <wps:txbx>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VOCs</w:t>
                                    </w:r>
                                  </w:p>
                                </w:txbxContent>
                              </wps:txbx>
                              <wps:bodyPr upright="1"/>
                            </wps:wsp>
                            <wps:wsp>
                              <wps:cNvPr id="27" name="直接连接符 27"/>
                              <wps:cNvCnPr/>
                              <wps:spPr>
                                <a:xfrm flipV="1">
                                  <a:off x="3599180" y="640080"/>
                                  <a:ext cx="537845" cy="542290"/>
                                </a:xfrm>
                                <a:prstGeom prst="line">
                                  <a:avLst/>
                                </a:prstGeom>
                                <a:ln w="9525" cap="flat" cmpd="sng">
                                  <a:solidFill>
                                    <a:srgbClr val="000000"/>
                                  </a:solidFill>
                                  <a:prstDash val="dash"/>
                                  <a:headEnd type="none" w="med" len="med"/>
                                  <a:tailEnd type="stealth" w="med" len="lg"/>
                                </a:ln>
                              </wps:spPr>
                              <wps:bodyPr upright="1"/>
                            </wps:wsp>
                            <wps:wsp>
                              <wps:cNvPr id="28" name="直接连接符 28"/>
                              <wps:cNvCnPr/>
                              <wps:spPr>
                                <a:xfrm flipH="1">
                                  <a:off x="3099435" y="1489710"/>
                                  <a:ext cx="1028065" cy="525780"/>
                                </a:xfrm>
                                <a:prstGeom prst="line">
                                  <a:avLst/>
                                </a:prstGeom>
                                <a:ln w="9525" cap="flat" cmpd="sng">
                                  <a:solidFill>
                                    <a:srgbClr val="000000"/>
                                  </a:solidFill>
                                  <a:prstDash val="dash"/>
                                  <a:headEnd type="none" w="med" len="med"/>
                                  <a:tailEnd type="stealth" w="med" len="lg"/>
                                </a:ln>
                              </wps:spPr>
                              <wps:bodyPr upright="1"/>
                            </wps:wsp>
                            <wps:wsp>
                              <wps:cNvPr id="30" name="直接连接符 30"/>
                              <wps:cNvCnPr>
                                <a:stCxn id="24" idx="0"/>
                              </wps:cNvCnPr>
                              <wps:spPr>
                                <a:xfrm flipH="1" flipV="1">
                                  <a:off x="1029335" y="259080"/>
                                  <a:ext cx="3354705" cy="929005"/>
                                </a:xfrm>
                                <a:prstGeom prst="line">
                                  <a:avLst/>
                                </a:prstGeom>
                                <a:ln w="9525" cap="flat" cmpd="sng">
                                  <a:solidFill>
                                    <a:srgbClr val="000000"/>
                                  </a:solidFill>
                                  <a:prstDash val="dash"/>
                                  <a:headEnd type="none" w="med" len="med"/>
                                  <a:tailEnd type="stealth" w="med" len="lg"/>
                                </a:ln>
                              </wps:spPr>
                              <wps:bodyPr upright="1"/>
                            </wps:wsp>
                          </wpc:wpc>
                        </a:graphicData>
                      </a:graphic>
                    </wp:inline>
                  </w:drawing>
                </mc:Choice>
                <mc:Fallback>
                  <w:pict>
                    <v:group id="_x0000_s1026" o:spid="_x0000_s1026" o:spt="203" style="height:182.1pt;width:399.95pt;" coordsize="5079365,2312670" editas="canvas" o:gfxdata="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">
                      <o:lock v:ext="edit" aspectratio="f"/>
                      <v:shape id="_x0000_s1026" o:spid="_x0000_s1026" style="position:absolute;left:0;top:0;height:2312670;width:5079365;" filled="f" stroked="f" coordsize="21600,21600" o:gfxdata="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">
                        <v:fill on="f" focussize="0,0"/>
                        <v:stroke on="f"/>
                        <v:imagedata o:title=""/>
                        <o:lock v:ext="edit" aspectratio="t"/>
                      </v:shape>
                      <v:rect id="_x0000_s1026" o:spid="_x0000_s1026" o:spt="1" style="position:absolute;left:1485948;top:1944948;height:284595;width:1997765;" fillcolor="#FFFFFF" filled="t" stroked="f" coordsize="21600,21600" o:gfxdata="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aHqK1QAAAAUBAAAPAAAAAAAAAAEAIAAAACIAAABkcnMvZG93bnJldi54bWxQ&#10;SwECFAAUAAAACACHTuJAsr6GIMEBAAB2AwAADgAAAAAAAAABACAAAAAkAQAAZHJzL2Uyb0RvYy54&#10;bWxQSwUGAAAAAAYABgBZAQAAVwUAAAAA&#10;">
                        <v:fill on="t" focussize="0,0"/>
                        <v:stroke on="f"/>
                        <v:imagedata o:title=""/>
                        <o:lock v:ext="edit" aspectratio="f"/>
                        <v:textbox>
                          <w:txbxContent>
                            <w:p>
                              <w:pPr>
                                <w:spacing w:line="240" w:lineRule="auto"/>
                                <w:ind w:firstLine="0" w:firstLineChars="0"/>
                                <w:jc w:val="center"/>
                                <w:rPr>
                                  <w:sz w:val="21"/>
                                  <w:szCs w:val="21"/>
                                </w:rPr>
                              </w:pPr>
                              <w:r>
                                <w:rPr>
                                  <w:rFonts w:hint="eastAsia"/>
                                  <w:sz w:val="21"/>
                                  <w:szCs w:val="21"/>
                                  <w:lang w:val="en-US" w:eastAsia="zh-CN"/>
                                </w:rPr>
                                <w:t>建筑垃圾</w:t>
                              </w:r>
                              <w:r>
                                <w:rPr>
                                  <w:rFonts w:hint="eastAsia"/>
                                  <w:sz w:val="21"/>
                                  <w:szCs w:val="21"/>
                                </w:rPr>
                                <w:t>、生活垃圾、生活污水</w:t>
                              </w:r>
                            </w:p>
                          </w:txbxContent>
                        </v:textbox>
                      </v:rect>
                      <v:rect id="_x0000_s1026" o:spid="_x0000_s1026" o:spt="1" style="position:absolute;left:657221;top:165755;height:297299;width:468015;" fillcolor="#FFFFFF" filled="t" stroked="f" coordsize="21600,21600" o:gfxdata="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aHqK1QAAAAUBAAAPAAAAAAAAAAEAIAAAACIAAABkcnMvZG93bnJldi54bWxQ&#10;SwECFAAUAAAACACHTuJAdhN9fcEBAABzAwAADgAAAAAAAAABACAAAAAkAQAAZHJzL2Uyb0RvYy54&#10;bWxQSwUGAAAAAAYABgBZAQAAVwUAAAAA&#10;">
                        <v:fill on="t" focussize="0,0"/>
                        <v:stroke on="f"/>
                        <v:imagedata o:title=""/>
                        <o:lock v:ext="edit" aspectratio="f"/>
                        <v:textbox>
                          <w:txbxContent>
                            <w:p>
                              <w:pPr>
                                <w:spacing w:line="240" w:lineRule="auto"/>
                                <w:ind w:firstLine="0" w:firstLineChars="0"/>
                                <w:jc w:val="center"/>
                                <w:rPr>
                                  <w:sz w:val="21"/>
                                  <w:szCs w:val="21"/>
                                </w:rPr>
                              </w:pPr>
                              <w:r>
                                <w:rPr>
                                  <w:rFonts w:hint="eastAsia"/>
                                  <w:sz w:val="21"/>
                                  <w:szCs w:val="21"/>
                                </w:rPr>
                                <w:t>噪声</w:t>
                              </w:r>
                            </w:p>
                          </w:txbxContent>
                        </v:textbox>
                      </v:rect>
                      <v:rect id="_x0000_s1026" o:spid="_x0000_s1026" o:spt="1" style="position:absolute;left:3321050;top:124460;height:297180;width:1007110;" fillcolor="#FFFFFF" filled="t" stroked="f" coordsize="21600,21600" o:gfxdata="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xaHqK1QAAAAUBAAAPAAAAAAAAAAEAIAAAACIAAABkcnMvZG93bnJldi54&#10;bWxQSwECFAAUAAAACACHTuJArk/8DsQBAAB1AwAADgAAAAAAAAABACAAAAAkAQAAZHJzL2Uyb0Rv&#10;Yy54bWxQSwUGAAAAAAYABgBZAQAAWgUAAAAA&#10;">
                        <v:fill on="t" focussize="0,0"/>
                        <v:stroke on="f"/>
                        <v:imagedata o:title=""/>
                        <o:lock v:ext="edit" aspectratio="f"/>
                        <v:textbox>
                          <w:txbxContent>
                            <w:p>
                              <w:pPr>
                                <w:spacing w:line="240" w:lineRule="auto"/>
                                <w:ind w:firstLine="0" w:firstLineChars="0"/>
                                <w:jc w:val="center"/>
                                <w:rPr>
                                  <w:rFonts w:hint="default" w:eastAsia="宋体"/>
                                  <w:sz w:val="21"/>
                                  <w:szCs w:val="21"/>
                                  <w:lang w:val="en-US" w:eastAsia="zh-CN"/>
                                </w:rPr>
                              </w:pPr>
                              <w:r>
                                <w:rPr>
                                  <w:rFonts w:hint="eastAsia"/>
                                  <w:sz w:val="21"/>
                                  <w:szCs w:val="21"/>
                                </w:rPr>
                                <w:t>扬尘</w:t>
                              </w:r>
                            </w:p>
                          </w:txbxContent>
                        </v:textbox>
                      </v:rect>
                      <v:rect id="_x0000_s1026" o:spid="_x0000_s1026" o:spt="1" style="position:absolute;left:457215;top:1194198;height:297199;width:756225;" fillcolor="#FFFFFF" filled="t" stroked="t" coordsize="21600,21600" o:gfxdata="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uRtdTVAAAABQEAAA8AAAAAAAAAAQAgAAAAIgAA&#10;AGRycy9kb3ducmV2LnhtbFBLAQIUABQAAAAIAIdO4kBKGqd6CwIAADMEAAAOAAAAAAAAAAEAIAAA&#10;ACQBAABkcnMvZTJvRG9jLnhtbFBLBQYAAAAABgAGAFkBAAChBQAAAAA=&#10;">
                        <v:fill on="t" focussize="0,0"/>
                        <v:stroke color="#000000" joinstyle="miter"/>
                        <v:imagedata o:title=""/>
                        <o:lock v:ext="edit" aspectratio="f"/>
                        <v:textbox>
                          <w:txbxContent>
                            <w:p>
                              <w:pPr>
                                <w:spacing w:line="240" w:lineRule="auto"/>
                                <w:ind w:firstLine="0" w:firstLineChars="0"/>
                                <w:jc w:val="center"/>
                                <w:rPr>
                                  <w:rFonts w:hint="default" w:eastAsia="宋体"/>
                                  <w:sz w:val="21"/>
                                  <w:szCs w:val="21"/>
                                  <w:lang w:val="en-US" w:eastAsia="zh-CN"/>
                                </w:rPr>
                              </w:pPr>
                              <w:r>
                                <w:rPr>
                                  <w:rFonts w:hint="eastAsia"/>
                                  <w:sz w:val="21"/>
                                  <w:szCs w:val="21"/>
                                </w:rPr>
                                <w:t>土</w:t>
                              </w:r>
                              <w:r>
                                <w:rPr>
                                  <w:rFonts w:hint="eastAsia"/>
                                  <w:sz w:val="21"/>
                                  <w:szCs w:val="21"/>
                                  <w:lang w:val="en-US" w:eastAsia="zh-CN"/>
                                </w:rPr>
                                <w:t>方工程</w:t>
                              </w:r>
                            </w:p>
                          </w:txbxContent>
                        </v:textbox>
                      </v:rect>
                      <v:rect id="_x0000_s1026" o:spid="_x0000_s1026" o:spt="1" style="position:absolute;left:2743200;top:1194435;height:295910;width:867410;" fillcolor="#FFFFFF" filled="t" stroked="t" coordsize="21600,21600" o:gfxdata="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5G11NUAAAAFAQAADwAAAAAAAAABACAAAAAi&#10;AAAAZHJzL2Rvd25yZXYueG1sUEsBAhQAFAAAAAgAh07iQOzYJGUNAgAANAQAAA4AAAAAAAAAAQAg&#10;AAAAJAEAAGRycy9lMm9Eb2MueG1sUEsFBgAAAAAGAAYAWQEAAKMFAAAAAA==&#10;">
                        <v:fill on="t" focussize="0,0"/>
                        <v:stroke color="#000000" joinstyle="miter"/>
                        <v:imagedata o:title=""/>
                        <o:lock v:ext="edit" aspectratio="f"/>
                        <v:textbox>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厂房装修</w:t>
                              </w:r>
                            </w:p>
                          </w:txbxContent>
                        </v:textbox>
                      </v:rect>
                      <v:rect id="_x0000_s1026" o:spid="_x0000_s1026" o:spt="1" style="position:absolute;left:1600252;top:1194198;height:297199;width:756925;" fillcolor="#FFFFFF" filled="t" stroked="t" coordsize="21600,21600" o:gfxdata="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5G11NUAAAAFAQAADwAAAAAAAAABACAAAAAiAAAA&#10;ZHJzL2Rvd25yZXYueG1sUEsBAhQAFAAAAAgAh07iQEDmJ4AKAgAANAQAAA4AAAAAAAAAAQAgAAAA&#10;JAEAAGRycy9lMm9Eb2MueG1sUEsFBgAAAAAGAAYAWQEAAKAFAAAAAA==&#10;">
                        <v:fill on="t" focussize="0,0"/>
                        <v:stroke color="#000000" joinstyle="miter"/>
                        <v:imagedata o:title=""/>
                        <o:lock v:ext="edit" aspectratio="f"/>
                        <v:textbox>
                          <w:txbxContent>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厂房</w:t>
                              </w:r>
                              <w:r>
                                <w:rPr>
                                  <w:rFonts w:hint="eastAsia"/>
                                  <w:sz w:val="21"/>
                                  <w:szCs w:val="21"/>
                                </w:rPr>
                                <w:t>建</w:t>
                              </w:r>
                              <w:r>
                                <w:rPr>
                                  <w:rFonts w:hint="eastAsia"/>
                                  <w:sz w:val="21"/>
                                  <w:szCs w:val="21"/>
                                  <w:lang w:val="en-US" w:eastAsia="zh-CN"/>
                                </w:rPr>
                                <w:t>设</w:t>
                              </w:r>
                            </w:p>
                          </w:txbxContent>
                        </v:textbox>
                      </v:rect>
                      <v:rect id="_x0000_s1026" o:spid="_x0000_s1026" o:spt="1" style="position:absolute;left:1285842;top:0;height:297199;width:1371645;" fillcolor="#FFFFFF" filled="t" stroked="t" coordsize="21600,21600" o:gfxdata="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7kbXU1QAAAAUBAAAPAAAAAAAAAAEAIAAAACIAAABk&#10;cnMvZG93bnJldi54bWxQSwECFAAUAAAACACHTuJAUP03bwkCAAAvBAAADgAAAAAAAAABACAAAAAk&#10;AQAAZHJzL2Uyb0RvYy54bWxQSwUGAAAAAAYABgBZAQAAnwU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建筑材料堆放、运输</w:t>
                              </w:r>
                            </w:p>
                          </w:txbxContent>
                        </v:textbox>
                      </v:rect>
                      <v:line id="_x0000_s1026" o:spid="_x0000_s1026" o:spt="20" style="position:absolute;left:1238240;top:1344648;height:700;width:342911;" filled="f" stroked="t" coordsize="21600,21600" o:gfxdata="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4EyHtgAAAAFAQAADwAAAAAAAAABACAA&#10;AAAiAAAAZHJzL2Rvd25yZXYueG1sUEsBAhQAFAAAAAgAh07iQM4osK8NAgAA9wMAAA4AAAAAAAAA&#10;AQAgAAAAJwEAAGRycy9lMm9Eb2MueG1sUEsFBgAAAAAGAAYAWQEAAKYFAAAAAA==&#10;">
                        <v:fill on="f" focussize="0,0"/>
                        <v:stroke color="#000000" joinstyle="round" endarrow="block"/>
                        <v:imagedata o:title=""/>
                        <o:lock v:ext="edit" aspectratio="f"/>
                      </v:line>
                      <v:line id="_x0000_s1026" o:spid="_x0000_s1026" o:spt="20" style="position:absolute;left:2381277;top:1340846;height:700;width:342911;" filled="f" stroked="t" coordsize="21600,21600" o:gfxdata="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4EyHtgAAAAFAQAADwAAAAAAAAABACAA&#10;AAAiAAAAZHJzL2Rvd25yZXYueG1sUEsBAhQAFAAAAAgAh07iQDWktZINAgAA9wMAAA4AAAAAAAAA&#10;AQAgAAAAJwEAAGRycy9lMm9Eb2MueG1sUEsFBgAAAAAGAAYAWQEAAKYFAAAAAA==&#10;">
                        <v:fill on="f" focussize="0,0"/>
                        <v:stroke color="#000000" joinstyle="round" endarrow="block"/>
                        <v:imagedata o:title=""/>
                        <o:lock v:ext="edit" aspectratio="f"/>
                      </v:line>
                      <v:line id="_x0000_s1026" o:spid="_x0000_s1026" o:spt="20" style="position:absolute;left:914430;top:1491397;height:496765;width:1168438;" filled="f" stroked="t" coordsize="21600,21600" o:gfxdata="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jcJjtQAAAAFAQAADwAAAAAAAAABACAAAAAi&#10;AAAAZHJzL2Rvd25yZXYueG1sUEsBAhQAFAAAAAgAh07iQNA4iB0OAgAA9wMAAA4AAAAAAAAAAQAg&#10;AAAAIwEAAGRycy9lMm9Eb2MueG1sUEsFBgAAAAAGAAYAWQEAAKMFAAAAAA==&#10;">
                        <v:fill on="f" focussize="0,0"/>
                        <v:stroke color="#000000" joinstyle="round" dashstyle="dash" endarrow="classic" endarrowlength="long"/>
                        <v:imagedata o:title=""/>
                        <o:lock v:ext="edit" aspectratio="f"/>
                      </v:line>
                      <v:line id="_x0000_s1026" o:spid="_x0000_s1026" o:spt="20" style="position:absolute;left:2590884;top:1491397;flip:x;height:496765;width:495316;" filled="f" stroked="t" coordsize="21600,21600" o:gfxdata="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kxan1AAAAAUBAAAPAAAAAAAA&#10;AAEAIAAAACIAAABkcnMvZG93bnJldi54bWxQSwECFAAUAAAACACHTuJA3oH6HBYCAAABBAAADgAA&#10;AAAAAAABACAAAAAjAQAAZHJzL2Uyb0RvYy54bWxQSwUGAAAAAAYABgBZAQAAqwUAAAAA&#10;">
                        <v:fill on="f" focussize="0,0"/>
                        <v:stroke color="#000000" joinstyle="round" dashstyle="dash" endarrow="classic" endarrowlength="long"/>
                        <v:imagedata o:title=""/>
                        <o:lock v:ext="edit" aspectratio="f"/>
                      </v:line>
                      <v:line id="_x0000_s1026" o:spid="_x0000_s1026" o:spt="20" style="position:absolute;left:1943163;top:1491397;height:496765;width:414013;" filled="f" stroked="t" coordsize="21600,21600" o:gfxdata="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wmO1AAAAAUBAAAPAAAAAAAAAAEAIAAAACIA&#10;AABkcnMvZG93bnJldi54bWxQSwECFAAUAAAACACHTuJA85cQYA0CAAD3AwAADgAAAAAAAAABACAA&#10;AAAjAQAAZHJzL2Uyb0RvYy54bWxQSwUGAAAAAAYABgBZAQAAogUAAAAA&#10;">
                        <v:fill on="f" focussize="0,0"/>
                        <v:stroke color="#000000" joinstyle="round" dashstyle="dash" endarrow="classic" endarrowlength="long"/>
                        <v:imagedata o:title=""/>
                        <o:lock v:ext="edit" aspectratio="f"/>
                      </v:line>
                      <v:line id="_x0000_s1026" o:spid="_x0000_s1026" o:spt="20" style="position:absolute;left:754024;top:396232;flip:y;height:797265;width:46101;" filled="f" stroked="t" coordsize="21600,21600" o:gfxdata="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pMWp9QAAAAFAQAADwAAAAAA&#10;AAABACAAAAAiAAAAZHJzL2Rvd25yZXYueG1sUEsBAhQAFAAAAAgAh07iQKi6keQXAgAA/gMAAA4A&#10;AAAAAAAAAQAgAAAAIwEAAGRycy9lMm9Eb2MueG1sUEsFBgAAAAAGAAYAWQEAAKwFAAAAAA==&#10;">
                        <v:fill on="f" focussize="0,0"/>
                        <v:stroke color="#000000" joinstyle="round" dashstyle="dash" endarrow="classic" endarrowlength="long"/>
                        <v:imagedata o:title=""/>
                        <o:lock v:ext="edit" aspectratio="f"/>
                      </v:line>
                      <v:line id="_x0000_s1026" o:spid="_x0000_s1026" o:spt="20" style="position:absolute;left:914430;top:396132;flip:x y;height:796665;width:825327;" filled="f" stroked="t" coordsize="21600,21600" o:gfxdata="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I1hB1gAAAAUBAAAP&#10;AAAAAAAAAAEAIAAAACIAAABkcnMvZG93bnJldi54bWxQSwECFAAUAAAACACHTuJAQiX8jxoCAAAJ&#10;BAAADgAAAAAAAAABACAAAAAlAQAAZHJzL2Uyb0RvYy54bWxQSwUGAAAAAAYABgBZAQAAsQUAAAAA&#10;">
                        <v:fill on="f" focussize="0,0"/>
                        <v:stroke color="#000000" joinstyle="round" dashstyle="dash" endarrow="classic" endarrowlength="long"/>
                        <v:imagedata o:title=""/>
                        <o:lock v:ext="edit" aspectratio="f"/>
                      </v:line>
                      <v:line id="_x0000_s1026" o:spid="_x0000_s1026" o:spt="20" style="position:absolute;left:1028733;top:396232;flip:x y;height:797666;width:1928263;" filled="f" stroked="t" coordsize="21600,21600" o:gfxdata="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I1hB1gAAAAUBAAAP&#10;AAAAAAAAAAEAIAAAACIAAABkcnMvZG93bnJldi54bWxQSwECFAAUAAAACACHTuJAlNPh3BoCAAAL&#10;BAAADgAAAAAAAAABACAAAAAlAQAAZHJzL2Uyb0RvYy54bWxQSwUGAAAAAAYABgBZAQAAsQUAAAAA&#10;">
                        <v:fill on="f" focussize="0,0"/>
                        <v:stroke color="#000000" joinstyle="round" dashstyle="dash" endarrow="classic" endarrowlength="long"/>
                        <v:imagedata o:title=""/>
                        <o:lock v:ext="edit" aspectratio="f"/>
                      </v:line>
                      <v:line id="_x0000_s1026" o:spid="_x0000_s1026" o:spt="20" style="position:absolute;left:1943163;top:297199;height:896699;width:0;" filled="f" stroked="t" coordsize="21600,21600" o:gfxdata="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gTIe2AAAAAUBAAAPAAAAAAAAAAEAIAAAACIA&#10;AABkcnMvZG93bnJldi54bWxQSwECFAAUAAAACACHTuJANpQrZQkCAAD0AwAADgAAAAAAAAABACAA&#10;AAAnAQAAZHJzL2Uyb0RvYy54bWxQSwUGAAAAAAYABgBZAQAAogUAAAAA&#10;">
                        <v:fill on="f" focussize="0,0"/>
                        <v:stroke color="#000000" joinstyle="round" endarrow="block"/>
                        <v:imagedata o:title=""/>
                        <o:lock v:ext="edit" aspectratio="f"/>
                      </v:line>
                      <v:line id="_x0000_s1026" o:spid="_x0000_s1026" o:spt="20" style="position:absolute;left:3283007;top:396232;flip:y;height:796765;width:489016;" filled="f" stroked="t" coordsize="21600,21600" o:gfxdata="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qTFqfUAAAABQEAAA8AAAAAAAAA&#10;AQAgAAAAIgAAAGRycy9kb3ducmV2LnhtbFBLAQIUABQAAAAIAIdO4kBwtcc3FQIAAAAEAAAOAAAA&#10;AAAAAAEAIAAAACMBAABkcnMvZTJvRG9jLnhtbFBLBQYAAAAABgAGAFkBAACqBQAAAAA=&#10;">
                        <v:fill on="f" focussize="0,0"/>
                        <v:stroke color="#000000" joinstyle="round" dashstyle="dash" endarrow="classic" endarrowlength="long"/>
                        <v:imagedata o:title=""/>
                        <o:lock v:ext="edit" aspectratio="f"/>
                      </v:line>
                      <v:line id="_x0000_s1026" o:spid="_x0000_s1026" o:spt="20" style="position:absolute;left:2226672;top:396232;flip:y;height:796965;width:1431046;" filled="f" stroked="t" coordsize="21600,21600" o:gfxdata="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pMWp9QAAAAFAQAADwAAAAAA&#10;AAABACAAAAAiAAAAZHJzL2Rvd25yZXYueG1sUEsBAhQAFAAAAAgAh07iQAFOhFUXAgAAAQQAAA4A&#10;AAAAAAAAAQAgAAAAIwEAAGRycy9lMm9Eb2MueG1sUEsFBgAAAAAGAAYAWQEAAKwFAAAAAA==&#10;">
                        <v:fill on="f" focussize="0,0"/>
                        <v:stroke color="#000000" joinstyle="round" dashstyle="dash" endarrow="classic" endarrowlength="long"/>
                        <v:imagedata o:title=""/>
                        <o:lock v:ext="edit" aspectratio="f"/>
                      </v:line>
                      <v:line id="_x0000_s1026" o:spid="_x0000_s1026" o:spt="20" style="position:absolute;left:1028733;top:396232;flip:y;height:797466;width:2514682;" filled="f" stroked="t" coordsize="21600,21600" o:gfxdata="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pMWp9QAAAAFAQAADwAAAAAA&#10;AAABACAAAAAiAAAAZHJzL2Rvd25yZXYueG1sUEsBAhQAFAAAAAgAh07iQEhD1xUXAgAAAQQAAA4A&#10;AAAAAAAAAQAgAAAAIwEAAGRycy9lMm9Eb2MueG1sUEsFBgAAAAAGAAYAWQEAAKwFAAAAAA==&#10;">
                        <v:fill on="f" focussize="0,0"/>
                        <v:stroke color="#000000" joinstyle="round" dashstyle="dash" endarrow="classic" endarrowlength="long"/>
                        <v:imagedata o:title=""/>
                        <o:lock v:ext="edit" aspectratio="f"/>
                      </v:line>
                      <v:line id="_x0000_s1026" o:spid="_x0000_s1026" o:spt="20" style="position:absolute;left:2667087;top:127642;height:169556;width:876328;" filled="f" stroked="t" coordsize="21600,21600" o:gfxdata="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wmO1AAAAAUBAAAPAAAAAAAAAAEAIAAAACIA&#10;AABkcnMvZG93bnJldi54bWxQSwECFAAUAAAACACHTuJAmxJ+LA0CAAD2AwAADgAAAAAAAAABACAA&#10;AAAjAQAAZHJzL2Uyb0RvYy54bWxQSwUGAAAAAAYABgBZAQAAogUAAAAA&#10;">
                        <v:fill on="f" focussize="0,0"/>
                        <v:stroke color="#000000" joinstyle="round" dashstyle="dash" endarrow="classic" endarrowlength="long"/>
                        <v:imagedata o:title=""/>
                        <o:lock v:ext="edit" aspectratio="f"/>
                      </v:line>
                      <v:rect id="_x0000_s1026" o:spid="_x0000_s1026" o:spt="1" style="position:absolute;left:3942080;top:1188085;height:295910;width:883285;" fillcolor="#FFFFFF" filled="t" stroked="t" coordsize="21600,21600" o:gfxdata="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7kbXU1QAAAAUBAAAPAAAAAAAAAAEAIAAA&#10;ACIAAABkcnMvZG93bnJldi54bWxQSwECFAAUAAAACACHTuJAYsU1jA8CAAA2BAAADgAAAAAAAAAB&#10;ACAAAAAkAQAAZHJzL2Uyb0RvYy54bWxQSwUGAAAAAAYABgBZAQAApQUAAAAA&#10;">
                        <v:fill on="t" focussize="0,0"/>
                        <v:stroke color="#000000" joinstyle="miter"/>
                        <v:imagedata o:title=""/>
                        <o:lock v:ext="edit" aspectratio="f"/>
                        <v:textbox>
                          <w:txbxContent>
                            <w:p>
                              <w:pPr>
                                <w:spacing w:line="240" w:lineRule="auto"/>
                                <w:ind w:firstLine="0" w:firstLineChars="0"/>
                                <w:jc w:val="center"/>
                                <w:rPr>
                                  <w:rFonts w:hint="default" w:eastAsia="宋体"/>
                                  <w:sz w:val="21"/>
                                  <w:szCs w:val="21"/>
                                  <w:lang w:val="en-US" w:eastAsia="zh-CN"/>
                                </w:rPr>
                              </w:pPr>
                              <w:r>
                                <w:rPr>
                                  <w:rFonts w:hint="eastAsia"/>
                                  <w:sz w:val="21"/>
                                  <w:szCs w:val="21"/>
                                </w:rPr>
                                <w:t>设备安装</w:t>
                              </w:r>
                            </w:p>
                          </w:txbxContent>
                        </v:textbox>
                      </v:rect>
                      <v:line id="_x0000_s1026" o:spid="_x0000_s1026" o:spt="20" style="position:absolute;left:3624580;top:1346835;height:635;width:342900;" filled="f" stroked="t" coordsize="21600,21600" o:gfxdata="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4EyHtgAAAAFAQAADwAAAAAAAAABACAAAAAi&#10;AAAAZHJzL2Rvd25yZXYueG1sUEsBAhQAFAAAAAgAh07iQL7CgxYKAgAA9wMAAA4AAAAAAAAAAQAg&#10;AAAAJwEAAGRycy9lMm9Eb2MueG1sUEsFBgAAAAAGAAYAWQEAAKMFAAAAAA==&#10;">
                        <v:fill on="f" focussize="0,0"/>
                        <v:stroke color="#000000" joinstyle="round" endarrow="block"/>
                        <v:imagedata o:title=""/>
                        <o:lock v:ext="edit" aspectratio="f"/>
                      </v:line>
                      <v:rect id="_x0000_s1026" o:spid="_x0000_s1026" o:spt="1" style="position:absolute;left:4091940;top:505460;height:297180;width:540385;" fillcolor="#FFFFFF" filled="t" stroked="f" coordsize="21600,21600" o:gfxdata="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FoeorVAAAABQEAAA8AAAAAAAAAAQAgAAAAIgAAAGRycy9kb3ducmV2Lnht&#10;bFBLAQIUABQAAAAIAIdO4kCVfFo6wwEAAHYDAAAOAAAAAAAAAAEAIAAAACQBAABkcnMvZTJvRG9j&#10;LnhtbFBLBQYAAAAABgAGAFkBAABZBQAAAAA=&#10;">
                        <v:fill on="t" focussize="0,0"/>
                        <v:stroke on="f"/>
                        <v:imagedata o:title=""/>
                        <o:lock v:ext="edit" aspectratio="f"/>
                        <v:textbox>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VOCs</w:t>
                              </w:r>
                            </w:p>
                          </w:txbxContent>
                        </v:textbox>
                      </v:rect>
                      <v:line id="_x0000_s1026" o:spid="_x0000_s1026" o:spt="20" style="position:absolute;left:3599180;top:640080;flip:y;height:542290;width:537845;" filled="f" stroked="t" coordsize="21600,21600" o:gfxdata="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pMWp9QAAAAFAQAADwAAAAAA&#10;AAABACAAAAAiAAAAZHJzL2Rvd25yZXYueG1sUEsBAhQAFAAAAAgAh07iQNlhZqYXAgAAAAQAAA4A&#10;AAAAAAAAAQAgAAAAIwEAAGRycy9lMm9Eb2MueG1sUEsFBgAAAAAGAAYAWQEAAKwFAAAAAA==&#10;">
                        <v:fill on="f" focussize="0,0"/>
                        <v:stroke color="#000000" joinstyle="round" dashstyle="dash" endarrow="classic" endarrowlength="long"/>
                        <v:imagedata o:title=""/>
                        <o:lock v:ext="edit" aspectratio="f"/>
                      </v:line>
                      <v:line id="_x0000_s1026" o:spid="_x0000_s1026" o:spt="20" style="position:absolute;left:3099435;top:1489710;flip:x;height:525780;width:1028065;" filled="f" stroked="t" coordsize="21600,21600" o:gfxdata="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qTFqfUAAAABQEAAA8AAAAA&#10;AAAAAQAgAAAAIgAAAGRycy9kb3ducmV2LnhtbFBLAQIUABQAAAAIAIdO4kAWYulgGAIAAAIEAAAO&#10;AAAAAAAAAAEAIAAAACMBAABkcnMvZTJvRG9jLnhtbFBLBQYAAAAABgAGAFkBAACtBQAAAAA=&#10;">
                        <v:fill on="f" focussize="0,0"/>
                        <v:stroke color="#000000" joinstyle="round" dashstyle="dash" endarrow="classic" endarrowlength="long"/>
                        <v:imagedata o:title=""/>
                        <o:lock v:ext="edit" aspectratio="f"/>
                      </v:line>
                      <v:line id="_x0000_s1026" o:spid="_x0000_s1026" o:spt="20" style="position:absolute;left:1029335;top:259080;flip:x y;height:929005;width:3354705;" filled="f" stroked="t" coordsize="21600,21600" o:gfxdata="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wj&#10;WEHWAAAABQEAAA8AAAAAAAAAAQAgAAAAIgAAAGRycy9kb3ducmV2LnhtbFBLAQIUABQAAAAIAIdO&#10;4kBbR4thJQIAADIEAAAOAAAAAAAAAAEAIAAAACUBAABkcnMvZTJvRG9jLnhtbFBLBQYAAAAABgAG&#10;AFkBAAC8BQAAAAA=&#10;">
                        <v:fill on="f" focussize="0,0"/>
                        <v:stroke color="#000000" joinstyle="round" dashstyle="dash" endarrow="classic" endarrowlength="long"/>
                        <v:imagedata o:title=""/>
                        <o:lock v:ext="edit" aspectratio="f"/>
                      </v:line>
                      <w10:wrap type="none"/>
                      <w10:anchorlock/>
                    </v:group>
                  </w:pict>
                </mc:Fallback>
              </mc:AlternateContent>
            </w:r>
          </w:p>
          <w:p>
            <w:pPr>
              <w:spacing w:line="276" w:lineRule="auto"/>
              <w:ind w:firstLine="0" w:firstLineChars="0"/>
              <w:jc w:val="center"/>
              <w:rPr>
                <w:rFonts w:hint="eastAsia" w:eastAsia="宋体"/>
                <w:b/>
                <w:bCs/>
                <w:sz w:val="21"/>
                <w:szCs w:val="21"/>
                <w:lang w:val="en-US" w:eastAsia="zh-CN"/>
              </w:rPr>
            </w:pPr>
            <w:r>
              <w:rPr>
                <w:rFonts w:hint="eastAsia"/>
                <w:b/>
                <w:bCs/>
                <w:sz w:val="21"/>
                <w:szCs w:val="21"/>
              </w:rPr>
              <w:t>图2-</w:t>
            </w:r>
            <w:r>
              <w:rPr>
                <w:rFonts w:hint="eastAsia"/>
                <w:b/>
                <w:bCs/>
                <w:sz w:val="21"/>
                <w:szCs w:val="21"/>
                <w:lang w:val="en-US" w:eastAsia="zh-CN"/>
              </w:rPr>
              <w:t>1</w:t>
            </w:r>
            <w:r>
              <w:rPr>
                <w:rFonts w:hint="eastAsia"/>
                <w:b/>
                <w:bCs/>
                <w:sz w:val="21"/>
                <w:szCs w:val="21"/>
              </w:rPr>
              <w:t xml:space="preserve"> </w:t>
            </w:r>
            <w:r>
              <w:rPr>
                <w:rFonts w:hint="eastAsia"/>
                <w:b/>
                <w:bCs/>
                <w:sz w:val="21"/>
                <w:szCs w:val="21"/>
                <w:lang w:val="en-US" w:eastAsia="zh-CN"/>
              </w:rPr>
              <w:t>施工期</w:t>
            </w:r>
            <w:r>
              <w:rPr>
                <w:rFonts w:hint="eastAsia"/>
                <w:b/>
                <w:bCs/>
                <w:sz w:val="21"/>
                <w:szCs w:val="21"/>
              </w:rPr>
              <w:t>工艺流程</w:t>
            </w:r>
            <w:r>
              <w:rPr>
                <w:rFonts w:hint="eastAsia"/>
                <w:b/>
                <w:bCs/>
                <w:sz w:val="21"/>
                <w:szCs w:val="21"/>
                <w:lang w:eastAsia="zh-CN"/>
              </w:rPr>
              <w:t>及产污环节图</w:t>
            </w:r>
          </w:p>
          <w:p>
            <w:pPr>
              <w:numPr>
                <w:ilvl w:val="0"/>
                <w:numId w:val="3"/>
              </w:numPr>
              <w:spacing w:line="276" w:lineRule="auto"/>
              <w:ind w:left="0" w:leftChars="0" w:firstLine="0" w:firstLineChars="0"/>
              <w:jc w:val="both"/>
              <w:rPr>
                <w:rFonts w:hint="eastAsia"/>
                <w:sz w:val="21"/>
                <w:szCs w:val="21"/>
                <w:lang w:val="en-US" w:eastAsia="zh-CN"/>
              </w:rPr>
            </w:pPr>
            <w:r>
              <w:rPr>
                <w:rFonts w:hint="eastAsia"/>
                <w:sz w:val="21"/>
                <w:szCs w:val="21"/>
                <w:lang w:val="en-US" w:eastAsia="zh-CN"/>
              </w:rPr>
              <w:t>施工期工艺流程简述</w:t>
            </w:r>
          </w:p>
          <w:p>
            <w:pPr>
              <w:numPr>
                <w:ilvl w:val="0"/>
                <w:numId w:val="0"/>
              </w:numPr>
              <w:spacing w:line="276" w:lineRule="auto"/>
              <w:ind w:leftChars="0"/>
              <w:jc w:val="both"/>
              <w:rPr>
                <w:rFonts w:hint="default"/>
                <w:sz w:val="21"/>
                <w:szCs w:val="21"/>
                <w:lang w:val="en-US" w:eastAsia="zh-CN"/>
              </w:rPr>
            </w:pPr>
            <w:r>
              <w:rPr>
                <w:rFonts w:hint="eastAsia"/>
                <w:sz w:val="21"/>
                <w:szCs w:val="21"/>
                <w:lang w:val="en-US" w:eastAsia="zh-CN"/>
              </w:rPr>
              <w:t xml:space="preserve">    土地清理、平整，土方开挖、基础施工等产生噪声、扬尘、建筑垃圾等；仓库厂房的建设产施工废水、建筑垃圾、施工噪声、扬尘；厂房装修工序，厂房地面、墙面等进行防渗防腐等处理产生噪声、固体废物以及粉尘、挥发性有机物等废气污染；厂房设备安装产生噪声、少量粉尘、固体废物等，施工人员产生生活垃圾及生活污水。</w:t>
            </w:r>
          </w:p>
          <w:p>
            <w:pPr>
              <w:spacing w:line="276" w:lineRule="auto"/>
              <w:ind w:firstLine="0" w:firstLineChars="0"/>
              <w:jc w:val="left"/>
              <w:rPr>
                <w:rFonts w:hint="default" w:eastAsia="宋体"/>
                <w:b/>
                <w:bCs/>
                <w:sz w:val="21"/>
                <w:szCs w:val="21"/>
                <w:lang w:val="en-US" w:eastAsia="zh-CN"/>
              </w:rPr>
            </w:pPr>
            <w:r>
              <w:rPr>
                <w:rFonts w:hint="eastAsia"/>
                <w:b/>
                <w:bCs/>
                <w:sz w:val="21"/>
                <w:szCs w:val="21"/>
              </w:rPr>
              <w:t>2、</w:t>
            </w:r>
            <w:r>
              <w:rPr>
                <w:rFonts w:hint="eastAsia"/>
                <w:b/>
                <w:bCs/>
                <w:sz w:val="21"/>
                <w:szCs w:val="21"/>
                <w:lang w:val="en-US" w:eastAsia="zh-CN"/>
              </w:rPr>
              <w:t>营运期</w:t>
            </w:r>
            <w:r>
              <w:rPr>
                <w:rFonts w:hint="eastAsia"/>
                <w:b/>
                <w:bCs/>
                <w:sz w:val="21"/>
                <w:szCs w:val="21"/>
              </w:rPr>
              <w:t>工艺流程</w:t>
            </w:r>
            <w:r>
              <w:rPr>
                <w:rFonts w:hint="eastAsia"/>
                <w:b/>
                <w:bCs/>
                <w:sz w:val="21"/>
                <w:szCs w:val="21"/>
                <w:lang w:val="en-US" w:eastAsia="zh-CN"/>
              </w:rPr>
              <w:t>及产污环节</w:t>
            </w:r>
          </w:p>
          <w:p>
            <w:pPr>
              <w:numPr>
                <w:ilvl w:val="0"/>
                <w:numId w:val="0"/>
              </w:numPr>
              <w:spacing w:line="276" w:lineRule="auto"/>
              <w:rPr>
                <w:rFonts w:hint="default"/>
                <w:sz w:val="21"/>
                <w:szCs w:val="21"/>
                <w:lang w:val="en-US" w:eastAsia="zh-CN"/>
              </w:rPr>
            </w:pPr>
            <w:r>
              <w:rPr>
                <w:rFonts w:hint="eastAsia"/>
                <w:b w:val="0"/>
                <w:bCs/>
                <w:sz w:val="21"/>
                <w:szCs w:val="21"/>
                <w:lang w:eastAsia="zh-CN"/>
              </w:rPr>
              <w:t>（</w:t>
            </w:r>
            <w:r>
              <w:rPr>
                <w:rFonts w:hint="eastAsia"/>
                <w:b w:val="0"/>
                <w:bCs/>
                <w:sz w:val="21"/>
                <w:szCs w:val="21"/>
                <w:lang w:val="en-US" w:eastAsia="zh-CN"/>
              </w:rPr>
              <w:t>1</w:t>
            </w:r>
            <w:r>
              <w:rPr>
                <w:rFonts w:hint="eastAsia"/>
                <w:b w:val="0"/>
                <w:bCs/>
                <w:sz w:val="21"/>
                <w:szCs w:val="21"/>
                <w:lang w:eastAsia="zh-CN"/>
              </w:rPr>
              <w:t>）</w:t>
            </w:r>
            <w:r>
              <w:rPr>
                <w:rFonts w:hint="eastAsia"/>
                <w:b w:val="0"/>
                <w:bCs/>
                <w:sz w:val="21"/>
                <w:szCs w:val="21"/>
              </w:rPr>
              <w:t>本项目营运期主要工艺流程及产污环节</w:t>
            </w:r>
            <w:r>
              <w:rPr>
                <w:rFonts w:hint="eastAsia"/>
                <w:b w:val="0"/>
                <w:bCs/>
                <w:sz w:val="21"/>
                <w:szCs w:val="21"/>
                <w:lang w:val="en-US" w:eastAsia="zh-CN"/>
              </w:rPr>
              <w:t>图</w:t>
            </w:r>
            <w:r>
              <w:rPr>
                <w:rFonts w:hint="eastAsia"/>
                <w:b w:val="0"/>
                <w:bCs/>
                <w:sz w:val="21"/>
                <w:szCs w:val="21"/>
              </w:rPr>
              <w:t>如下</w:t>
            </w:r>
            <w:r>
              <w:rPr>
                <w:rFonts w:hint="eastAsia"/>
                <w:sz w:val="21"/>
                <w:szCs w:val="21"/>
                <w:lang w:eastAsia="zh-CN"/>
              </w:rPr>
              <w:t>。</w:t>
            </w:r>
          </w:p>
          <w:p>
            <w:pPr>
              <w:spacing w:line="276" w:lineRule="auto"/>
              <w:ind w:firstLine="0" w:firstLineChars="0"/>
              <w:rPr>
                <w:rFonts w:hint="eastAsia"/>
                <w:b/>
                <w:bCs/>
                <w:sz w:val="21"/>
                <w:szCs w:val="21"/>
              </w:rPr>
            </w:pPr>
            <w:r>
              <w:rPr>
                <w:bCs/>
              </w:rPr>
              <mc:AlternateContent>
                <mc:Choice Requires="wpc">
                  <w:drawing>
                    <wp:inline distT="0" distB="0" distL="114300" distR="114300">
                      <wp:extent cx="5079365" cy="3637280"/>
                      <wp:effectExtent l="0" t="0" r="0" b="0"/>
                      <wp:docPr id="32" name="画布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矩形 4"/>
                              <wps:cNvSpPr/>
                              <wps:spPr>
                                <a:xfrm>
                                  <a:off x="3467735" y="2380615"/>
                                  <a:ext cx="1355725" cy="464820"/>
                                </a:xfrm>
                                <a:prstGeom prst="rect">
                                  <a:avLst/>
                                </a:prstGeom>
                                <a:solidFill>
                                  <a:srgbClr val="FFFFFF"/>
                                </a:solidFill>
                                <a:ln>
                                  <a:noFill/>
                                </a:ln>
                              </wps:spPr>
                              <wps:txbx>
                                <w:txbxContent>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风机</w:t>
                                    </w:r>
                                    <w:r>
                                      <w:rPr>
                                        <w:rFonts w:hint="eastAsia"/>
                                        <w:sz w:val="21"/>
                                        <w:szCs w:val="21"/>
                                      </w:rPr>
                                      <w:t>噪声</w:t>
                                    </w:r>
                                    <w:r>
                                      <w:rPr>
                                        <w:rFonts w:hint="eastAsia"/>
                                        <w:sz w:val="21"/>
                                        <w:szCs w:val="21"/>
                                        <w:lang w:val="en-US" w:eastAsia="zh-CN"/>
                                      </w:rPr>
                                      <w:t>N2</w:t>
                                    </w:r>
                                  </w:p>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极少量挥发气体G1</w:t>
                                    </w:r>
                                  </w:p>
                                </w:txbxContent>
                              </wps:txbx>
                              <wps:bodyPr upright="1"/>
                            </wps:wsp>
                            <wps:wsp>
                              <wps:cNvPr id="36" name="矩形 6"/>
                              <wps:cNvSpPr/>
                              <wps:spPr>
                                <a:xfrm>
                                  <a:off x="434975" y="336550"/>
                                  <a:ext cx="1032510" cy="345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厂外汽车来料</w:t>
                                    </w:r>
                                  </w:p>
                                </w:txbxContent>
                              </wps:txbx>
                              <wps:bodyPr upright="1"/>
                            </wps:wsp>
                            <wps:wsp>
                              <wps:cNvPr id="37" name="矩形 7"/>
                              <wps:cNvSpPr/>
                              <wps:spPr>
                                <a:xfrm>
                                  <a:off x="2204085" y="1090295"/>
                                  <a:ext cx="677545"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标识</w:t>
                                    </w:r>
                                  </w:p>
                                </w:txbxContent>
                              </wps:txbx>
                              <wps:bodyPr upright="1"/>
                            </wps:wsp>
                            <wps:wsp>
                              <wps:cNvPr id="38" name="矩形 8"/>
                              <wps:cNvSpPr/>
                              <wps:spPr>
                                <a:xfrm>
                                  <a:off x="1155065" y="1043940"/>
                                  <a:ext cx="75692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计 量</w:t>
                                    </w:r>
                                  </w:p>
                                </w:txbxContent>
                              </wps:txbx>
                              <wps:bodyPr upright="1"/>
                            </wps:wsp>
                            <wps:wsp>
                              <wps:cNvPr id="39" name="矩形 9"/>
                              <wps:cNvSpPr/>
                              <wps:spPr>
                                <a:xfrm>
                                  <a:off x="2072005" y="2540000"/>
                                  <a:ext cx="96139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物料储存</w:t>
                                    </w:r>
                                  </w:p>
                                </w:txbxContent>
                              </wps:txbx>
                              <wps:bodyPr upright="1"/>
                            </wps:wsp>
                            <wps:wsp>
                              <wps:cNvPr id="40" name="直接连接符 10"/>
                              <wps:cNvCnPr/>
                              <wps:spPr>
                                <a:xfrm>
                                  <a:off x="1302385" y="678180"/>
                                  <a:ext cx="3175" cy="359410"/>
                                </a:xfrm>
                                <a:prstGeom prst="line">
                                  <a:avLst/>
                                </a:prstGeom>
                                <a:ln w="9525" cap="flat" cmpd="sng">
                                  <a:solidFill>
                                    <a:srgbClr val="000000"/>
                                  </a:solidFill>
                                  <a:prstDash val="solid"/>
                                  <a:headEnd type="none" w="med" len="med"/>
                                  <a:tailEnd type="triangle" w="med" len="med"/>
                                </a:ln>
                              </wps:spPr>
                              <wps:bodyPr upright="1"/>
                            </wps:wsp>
                            <wps:wsp>
                              <wps:cNvPr id="41" name="直接连接符 11"/>
                              <wps:cNvCnPr/>
                              <wps:spPr>
                                <a:xfrm>
                                  <a:off x="1912620" y="1222375"/>
                                  <a:ext cx="342900" cy="635"/>
                                </a:xfrm>
                                <a:prstGeom prst="line">
                                  <a:avLst/>
                                </a:prstGeom>
                                <a:ln w="9525" cap="flat" cmpd="sng">
                                  <a:solidFill>
                                    <a:srgbClr val="000000"/>
                                  </a:solidFill>
                                  <a:prstDash val="solid"/>
                                  <a:headEnd type="none" w="med" len="med"/>
                                  <a:tailEnd type="triangle" w="med" len="med"/>
                                </a:ln>
                              </wps:spPr>
                              <wps:bodyPr upright="1"/>
                            </wps:wsp>
                            <wps:wsp>
                              <wps:cNvPr id="48" name="直接连接符 18"/>
                              <wps:cNvCnPr/>
                              <wps:spPr>
                                <a:xfrm>
                                  <a:off x="2546350" y="1416685"/>
                                  <a:ext cx="5715" cy="356870"/>
                                </a:xfrm>
                                <a:prstGeom prst="line">
                                  <a:avLst/>
                                </a:prstGeom>
                                <a:ln w="9525" cap="flat" cmpd="sng">
                                  <a:solidFill>
                                    <a:srgbClr val="000000"/>
                                  </a:solidFill>
                                  <a:prstDash val="solid"/>
                                  <a:headEnd type="none" w="med" len="med"/>
                                  <a:tailEnd type="triangle" w="med" len="med"/>
                                </a:ln>
                              </wps:spPr>
                              <wps:bodyPr upright="1"/>
                            </wps:wsp>
                            <wps:wsp>
                              <wps:cNvPr id="53" name="矩形 24"/>
                              <wps:cNvSpPr/>
                              <wps:spPr>
                                <a:xfrm>
                                  <a:off x="2108200" y="1807845"/>
                                  <a:ext cx="994410" cy="335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防爆叉车入库</w:t>
                                    </w:r>
                                  </w:p>
                                </w:txbxContent>
                              </wps:txbx>
                              <wps:bodyPr upright="1"/>
                            </wps:wsp>
                            <wps:wsp>
                              <wps:cNvPr id="54" name="直接连接符 25"/>
                              <wps:cNvCnPr/>
                              <wps:spPr>
                                <a:xfrm>
                                  <a:off x="2529205" y="2861945"/>
                                  <a:ext cx="6350" cy="350520"/>
                                </a:xfrm>
                                <a:prstGeom prst="line">
                                  <a:avLst/>
                                </a:prstGeom>
                                <a:ln w="9525" cap="flat" cmpd="sng">
                                  <a:solidFill>
                                    <a:srgbClr val="000000"/>
                                  </a:solidFill>
                                  <a:prstDash val="solid"/>
                                  <a:headEnd type="none" w="med" len="med"/>
                                  <a:tailEnd type="triangle" w="med" len="med"/>
                                </a:ln>
                              </wps:spPr>
                              <wps:bodyPr upright="1"/>
                            </wps:wsp>
                            <wps:wsp>
                              <wps:cNvPr id="55" name="矩形 26"/>
                              <wps:cNvSpPr/>
                              <wps:spPr>
                                <a:xfrm>
                                  <a:off x="3369945" y="1799590"/>
                                  <a:ext cx="714375" cy="297180"/>
                                </a:xfrm>
                                <a:prstGeom prst="rect">
                                  <a:avLst/>
                                </a:prstGeom>
                                <a:solidFill>
                                  <a:srgbClr val="FFFFFF"/>
                                </a:solidFill>
                                <a:ln>
                                  <a:noFill/>
                                </a:ln>
                              </wps:spPr>
                              <wps:txbx>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噪声N1</w:t>
                                    </w:r>
                                  </w:p>
                                </w:txbxContent>
                              </wps:txbx>
                              <wps:bodyPr upright="1"/>
                            </wps:wsp>
                            <wps:wsp>
                              <wps:cNvPr id="56" name="直接连接符 27"/>
                              <wps:cNvCnPr>
                                <a:stCxn id="53" idx="3"/>
                              </wps:cNvCnPr>
                              <wps:spPr>
                                <a:xfrm flipV="1">
                                  <a:off x="3102610" y="1968500"/>
                                  <a:ext cx="386080" cy="6985"/>
                                </a:xfrm>
                                <a:prstGeom prst="line">
                                  <a:avLst/>
                                </a:prstGeom>
                                <a:ln w="9525" cap="flat" cmpd="sng">
                                  <a:solidFill>
                                    <a:srgbClr val="000000"/>
                                  </a:solidFill>
                                  <a:prstDash val="dash"/>
                                  <a:headEnd type="none" w="med" len="med"/>
                                  <a:tailEnd type="stealth" w="med" len="lg"/>
                                </a:ln>
                              </wps:spPr>
                              <wps:bodyPr upright="1"/>
                            </wps:wsp>
                            <wps:wsp>
                              <wps:cNvPr id="59" name="矩形 6"/>
                              <wps:cNvSpPr/>
                              <wps:spPr>
                                <a:xfrm>
                                  <a:off x="1647825" y="346075"/>
                                  <a:ext cx="1032510" cy="345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车间产品来料</w:t>
                                    </w:r>
                                  </w:p>
                                </w:txbxContent>
                              </wps:txbx>
                              <wps:bodyPr upright="1"/>
                            </wps:wsp>
                            <wps:wsp>
                              <wps:cNvPr id="60" name="直接连接符 11"/>
                              <wps:cNvCnPr/>
                              <wps:spPr>
                                <a:xfrm flipH="1">
                                  <a:off x="1718310" y="710565"/>
                                  <a:ext cx="1905" cy="318770"/>
                                </a:xfrm>
                                <a:prstGeom prst="line">
                                  <a:avLst/>
                                </a:prstGeom>
                                <a:ln w="9525" cap="flat" cmpd="sng">
                                  <a:solidFill>
                                    <a:srgbClr val="000000"/>
                                  </a:solidFill>
                                  <a:prstDash val="solid"/>
                                  <a:headEnd type="none" w="med" len="med"/>
                                  <a:tailEnd type="triangle" w="med" len="med"/>
                                </a:ln>
                              </wps:spPr>
                              <wps:bodyPr upright="1"/>
                            </wps:wsp>
                            <wps:wsp>
                              <wps:cNvPr id="61" name="直接连接符 18"/>
                              <wps:cNvCnPr/>
                              <wps:spPr>
                                <a:xfrm>
                                  <a:off x="2536825" y="2148205"/>
                                  <a:ext cx="5715" cy="356870"/>
                                </a:xfrm>
                                <a:prstGeom prst="line">
                                  <a:avLst/>
                                </a:prstGeom>
                                <a:ln w="9525" cap="flat" cmpd="sng">
                                  <a:solidFill>
                                    <a:srgbClr val="000000"/>
                                  </a:solidFill>
                                  <a:prstDash val="solid"/>
                                  <a:headEnd type="none" w="med" len="med"/>
                                  <a:tailEnd type="triangle" w="med" len="med"/>
                                </a:ln>
                              </wps:spPr>
                              <wps:bodyPr upright="1"/>
                            </wps:wsp>
                            <wps:wsp>
                              <wps:cNvPr id="62" name="直接连接符 27"/>
                              <wps:cNvCnPr/>
                              <wps:spPr>
                                <a:xfrm flipV="1">
                                  <a:off x="3069590" y="2616200"/>
                                  <a:ext cx="386080" cy="6985"/>
                                </a:xfrm>
                                <a:prstGeom prst="line">
                                  <a:avLst/>
                                </a:prstGeom>
                                <a:ln w="9525" cap="flat" cmpd="sng">
                                  <a:solidFill>
                                    <a:srgbClr val="000000"/>
                                  </a:solidFill>
                                  <a:prstDash val="dash"/>
                                  <a:headEnd type="none" w="med" len="med"/>
                                  <a:tailEnd type="stealth" w="med" len="lg"/>
                                </a:ln>
                              </wps:spPr>
                              <wps:bodyPr upright="1"/>
                            </wps:wsp>
                            <wps:wsp>
                              <wps:cNvPr id="63" name="矩形 24"/>
                              <wps:cNvSpPr/>
                              <wps:spPr>
                                <a:xfrm>
                                  <a:off x="2060575" y="3211830"/>
                                  <a:ext cx="994410" cy="335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防爆叉车出库</w:t>
                                    </w:r>
                                  </w:p>
                                </w:txbxContent>
                              </wps:txbx>
                              <wps:bodyPr upright="1"/>
                            </wps:wsp>
                            <wps:wsp>
                              <wps:cNvPr id="64" name="直接连接符 27"/>
                              <wps:cNvCnPr/>
                              <wps:spPr>
                                <a:xfrm flipV="1">
                                  <a:off x="3061335" y="3378835"/>
                                  <a:ext cx="386080" cy="6985"/>
                                </a:xfrm>
                                <a:prstGeom prst="line">
                                  <a:avLst/>
                                </a:prstGeom>
                                <a:ln w="9525" cap="flat" cmpd="sng">
                                  <a:solidFill>
                                    <a:srgbClr val="000000"/>
                                  </a:solidFill>
                                  <a:prstDash val="dash"/>
                                  <a:headEnd type="none" w="med" len="med"/>
                                  <a:tailEnd type="stealth" w="med" len="lg"/>
                                </a:ln>
                              </wps:spPr>
                              <wps:bodyPr upright="1"/>
                            </wps:wsp>
                            <wps:wsp>
                              <wps:cNvPr id="65" name="矩形 26"/>
                              <wps:cNvSpPr/>
                              <wps:spPr>
                                <a:xfrm>
                                  <a:off x="3434080" y="3243580"/>
                                  <a:ext cx="715010" cy="297180"/>
                                </a:xfrm>
                                <a:prstGeom prst="rect">
                                  <a:avLst/>
                                </a:prstGeom>
                                <a:solidFill>
                                  <a:srgbClr val="FFFFFF"/>
                                </a:solidFill>
                                <a:ln>
                                  <a:noFill/>
                                </a:ln>
                              </wps:spPr>
                              <wps:txbx>
                                <w:txbxContent>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噪声</w:t>
                                    </w:r>
                                  </w:p>
                                </w:txbxContent>
                              </wps:txbx>
                              <wps:bodyPr upright="1"/>
                            </wps:wsp>
                          </wpc:wpc>
                        </a:graphicData>
                      </a:graphic>
                    </wp:inline>
                  </w:drawing>
                </mc:Choice>
                <mc:Fallback>
                  <w:pict>
                    <v:group id="_x0000_s1026" o:spid="_x0000_s1026" o:spt="203" style="height:286.4pt;width:399.95pt;" coordsize="5079365,3637280" editas="canvas" o:gfxdata="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">
                      <o:lock v:ext="edit" aspectratio="f"/>
                      <v:shape id="_x0000_s1026" o:spid="_x0000_s1026" style="position:absolute;left:0;top:0;height:3637280;width:5079365;" filled="f" stroked="f" coordsize="21600,21600" o:gfxdata="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BBrrIV1wAA&#10;AAUBAAAPAAAAAAAAAAEAIAAAACIAAABkcnMvZG93bnJldi54bWxQSwECFAAUAAAACACHTuJAvOL/&#10;jnYFAADmKgAADgAAAAAAAAABACAAAAAmAQAAZHJzL2Uyb0RvYy54bWxQSwUGAAAAAAYABgBZAQAA&#10;DgkAAAAA&#10;">
                        <v:fill on="f" focussize="0,0"/>
                        <v:stroke on="f"/>
                        <v:imagedata o:title=""/>
                        <o:lock v:ext="edit" aspectratio="t"/>
                      </v:shape>
                      <v:rect id="矩形 4" o:spid="_x0000_s1026" o:spt="1" style="position:absolute;left:3467735;top:2380615;height:464820;width:1355725;" fillcolor="#FFFFFF" filled="t" stroked="f" coordsize="21600,21600" o:gfxdata="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N2ee1QAAAAUBAAAPAAAAAAAAAAEAIAAAACIAAABkcnMvZG93bnJldi54&#10;bWxQSwECFAAUAAAACACHTuJAvewvFsQBAAB3AwAADgAAAAAAAAABACAAAAAkAQAAZHJzL2Uyb0Rv&#10;Yy54bWxQSwUGAAAAAAYABgBZAQAAWgUAAAAA&#10;">
                        <v:fill on="t" focussize="0,0"/>
                        <v:stroke on="f"/>
                        <v:imagedata o:title=""/>
                        <o:lock v:ext="edit" aspectratio="f"/>
                        <v:textbox>
                          <w:txbxContent>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风机</w:t>
                              </w:r>
                              <w:r>
                                <w:rPr>
                                  <w:rFonts w:hint="eastAsia"/>
                                  <w:sz w:val="21"/>
                                  <w:szCs w:val="21"/>
                                </w:rPr>
                                <w:t>噪声</w:t>
                              </w:r>
                              <w:r>
                                <w:rPr>
                                  <w:rFonts w:hint="eastAsia"/>
                                  <w:sz w:val="21"/>
                                  <w:szCs w:val="21"/>
                                  <w:lang w:val="en-US" w:eastAsia="zh-CN"/>
                                </w:rPr>
                                <w:t>N2</w:t>
                              </w:r>
                            </w:p>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极少量挥发气体G1</w:t>
                              </w:r>
                            </w:p>
                          </w:txbxContent>
                        </v:textbox>
                      </v:rect>
                      <v:rect id="矩形 6" o:spid="_x0000_s1026" o:spt="1" style="position:absolute;left:434975;top:336550;height:345440;width:1032510;" fillcolor="#FFFFFF" filled="t" stroked="t" coordsize="21600,21600" o:gfxdata="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M6owNUAAAAFAQAADwAAAAAAAAABACAAAAAi&#10;AAAAZHJzL2Rvd25yZXYueG1sUEsBAhQAFAAAAAgAh07iQH/b5L8NAgAANAQAAA4AAAAAAAAAAQAg&#10;AAAAJAEAAGRycy9lMm9Eb2MueG1sUEsFBgAAAAAGAAYAWQEAAKMFAAAAAA==&#10;">
                        <v:fill on="t" focussize="0,0"/>
                        <v:stroke color="#000000" joinstyle="miter"/>
                        <v:imagedata o:title=""/>
                        <o:lock v:ext="edit" aspectratio="f"/>
                        <v:textbo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厂外汽车来料</w:t>
                              </w:r>
                            </w:p>
                          </w:txbxContent>
                        </v:textbox>
                      </v:rect>
                      <v:rect id="矩形 7" o:spid="_x0000_s1026" o:spt="1" style="position:absolute;left:2204085;top:1090295;height:320675;width:677545;" fillcolor="#FFFFFF" filled="t" stroked="t" coordsize="21600,21600" o:gfxdata="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M6owNUAAAAFAQAADwAAAAAAAAABACAA&#10;AAAiAAAAZHJzL2Rvd25yZXYueG1sUEsBAhQAFAAAAAgAh07iQL3ozl8QAgAANQQAAA4AAAAAAAAA&#10;AQAgAAAAJAEAAGRycy9lMm9Eb2MueG1sUEsFBgAAAAAGAAYAWQEAAKYFAAAAAA==&#10;">
                        <v:fill on="t" focussize="0,0"/>
                        <v:stroke color="#000000" joinstyle="miter"/>
                        <v:imagedata o:title=""/>
                        <o:lock v:ext="edit" aspectratio="f"/>
                        <v:textbo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标识</w:t>
                              </w:r>
                            </w:p>
                          </w:txbxContent>
                        </v:textbox>
                      </v:rect>
                      <v:rect id="矩形 8" o:spid="_x0000_s1026" o:spt="1" style="position:absolute;left:1155065;top:1043940;height:342900;width:756920;" fillcolor="#FFFFFF" filled="t" stroked="t" coordsize="21600,21600" o:gfxdata="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EzqjA1QAAAAUBAAAPAAAAAAAAAAEAIAAA&#10;ACIAAABkcnMvZG93bnJldi54bWxQSwECFAAUAAAACACHTuJAPnaEuQ8CAAA1BAAADgAAAAAAAAAB&#10;ACAAAAAkAQAAZHJzL2Uyb0RvYy54bWxQSwUGAAAAAAYABgBZAQAApQUAAAAA&#10;">
                        <v:fill on="t" focussize="0,0"/>
                        <v:stroke color="#000000" joinstyle="miter"/>
                        <v:imagedata o:title=""/>
                        <o:lock v:ext="edit" aspectratio="f"/>
                        <v:textbo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计 量</w:t>
                              </w:r>
                            </w:p>
                          </w:txbxContent>
                        </v:textbox>
                      </v:rect>
                      <v:rect id="矩形 9" o:spid="_x0000_s1026" o:spt="1" style="position:absolute;left:2072005;top:2540000;height:297180;width:961390;" fillcolor="#FFFFFF" filled="t" stroked="t" coordsize="21600,21600" o:gfxdata="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M6owNUAAAAFAQAADwAAAAAAAAABACAAAAAi&#10;AAAAZHJzL2Rvd25yZXYueG1sUEsBAhQAFAAAAAgAh07iQGUpcWINAgAANQQAAA4AAAAAAAAAAQAg&#10;AAAAJAEAAGRycy9lMm9Eb2MueG1sUEsFBgAAAAAGAAYAWQEAAKMFAAAAAA==&#10;">
                        <v:fill on="t" focussize="0,0"/>
                        <v:stroke color="#000000" joinstyle="miter"/>
                        <v:imagedata o:title=""/>
                        <o:lock v:ext="edit" aspectratio="f"/>
                        <v:textbox>
                          <w:txbxContent>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物料储存</w:t>
                              </w:r>
                            </w:p>
                          </w:txbxContent>
                        </v:textbox>
                      </v:rect>
                      <v:line id="直接连接符 10" o:spid="_x0000_s1026" o:spt="20" style="position:absolute;left:1302385;top:678180;height:359410;width:3175;" filled="f" stroked="t" coordsize="21600,21600" o:gfxdata="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N4vCtcAAAAFAQAADwAAAAAAAAABACAAAAAi&#10;AAAAZHJzL2Rvd25yZXYueG1sUEsBAhQAFAAAAAgAh07iQMAQboQLAgAA9wMAAA4AAAAAAAAAAQAg&#10;AAAAJgEAAGRycy9lMm9Eb2MueG1sUEsFBgAAAAAGAAYAWQEAAKMFAAAAAA==&#10;">
                        <v:fill on="f" focussize="0,0"/>
                        <v:stroke color="#000000" joinstyle="round" endarrow="block"/>
                        <v:imagedata o:title=""/>
                        <o:lock v:ext="edit" aspectratio="f"/>
                      </v:line>
                      <v:line id="直接连接符 11" o:spid="_x0000_s1026" o:spt="20" style="position:absolute;left:1912620;top:1222375;height:635;width:342900;" filled="f" stroked="t" coordsize="21600,21600" o:gfxdata="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zeLwrXAAAABQEAAA8AAAAAAAAAAQAgAAAA&#10;IgAAAGRycy9kb3ducmV2LnhtbFBLAQIUABQAAAAIAIdO4kBqKjUmDAIAAPcDAAAOAAAAAAAAAAEA&#10;IAAAACYBAABkcnMvZTJvRG9jLnhtbFBLBQYAAAAABgAGAFkBAACkBQAAAAA=&#10;">
                        <v:fill on="f" focussize="0,0"/>
                        <v:stroke color="#000000" joinstyle="round" endarrow="block"/>
                        <v:imagedata o:title=""/>
                        <o:lock v:ext="edit" aspectratio="f"/>
                      </v:line>
                      <v:line id="直接连接符 18" o:spid="_x0000_s1026" o:spt="20" style="position:absolute;left:2546350;top:1416685;height:356870;width:5715;" filled="f" stroked="t" coordsize="21600,21600" o:gfxdata="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zeLwrXAAAABQEAAA8AAAAAAAAAAQAg&#10;AAAAIgAAAGRycy9kb3ducmV2LnhtbFBLAQIUABQAAAAIAIdO4kC64xOTDwIAAPgDAAAOAAAAAAAA&#10;AAEAIAAAACYBAABkcnMvZTJvRG9jLnhtbFBLBQYAAAAABgAGAFkBAACnBQAAAAA=&#10;">
                        <v:fill on="f" focussize="0,0"/>
                        <v:stroke color="#000000" joinstyle="round" endarrow="block"/>
                        <v:imagedata o:title=""/>
                        <o:lock v:ext="edit" aspectratio="f"/>
                      </v:line>
                      <v:rect id="矩形 24" o:spid="_x0000_s1026" o:spt="1" style="position:absolute;left:2108200;top:1807845;height:335280;width:994410;" fillcolor="#FFFFFF" filled="t" stroked="t" coordsize="21600,21600" o:gfxdata="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M6owNUAAAAFAQAADwAAAAAAAAABACAA&#10;AAAiAAAAZHJzL2Rvd25yZXYueG1sUEsBAhQAFAAAAAgAh07iQCljHGUQAgAANgQAAA4AAAAAAAAA&#10;AQAgAAAAJAEAAGRycy9lMm9Eb2MueG1sUEsFBgAAAAAGAAYAWQEAAKYFAAAAAA==&#10;">
                        <v:fill on="t" focussize="0,0"/>
                        <v:stroke color="#000000" joinstyle="miter"/>
                        <v:imagedata o:title=""/>
                        <o:lock v:ext="edit" aspectratio="f"/>
                        <v:textbo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防爆叉车入库</w:t>
                              </w:r>
                            </w:p>
                          </w:txbxContent>
                        </v:textbox>
                      </v:rect>
                      <v:line id="直接连接符 25" o:spid="_x0000_s1026" o:spt="20" style="position:absolute;left:2529205;top:2861945;height:350520;width:6350;" filled="f" stroked="t" coordsize="21600,21600" o:gfxdata="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3i8K1wAAAAUBAAAPAAAAAAAAAAEAIAAA&#10;ACIAAABkcnMvZG93bnJldi54bWxQSwECFAAUAAAACACHTuJAKpPh5g0CAAD4AwAADgAAAAAAAAAB&#10;ACAAAAAmAQAAZHJzL2Uyb0RvYy54bWxQSwUGAAAAAAYABgBZAQAApQUAAAAA&#10;">
                        <v:fill on="f" focussize="0,0"/>
                        <v:stroke color="#000000" joinstyle="round" endarrow="block"/>
                        <v:imagedata o:title=""/>
                        <o:lock v:ext="edit" aspectratio="f"/>
                      </v:line>
                      <v:rect id="矩形 26" o:spid="_x0000_s1026" o:spt="1" style="position:absolute;left:3369945;top:1799590;height:297180;width:714375;" fillcolor="#FFFFFF" filled="t" stroked="f" coordsize="21600,21600" o:gfxdata="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43Z57VAAAABQEAAA8AAAAAAAAAAQAgAAAAIgAAAGRycy9kb3ducmV2&#10;LnhtbFBLAQIUABQAAAAIAIdO4kDDqGEbxgEAAHcDAAAOAAAAAAAAAAEAIAAAACQBAABkcnMvZTJv&#10;RG9jLnhtbFBLBQYAAAAABgAGAFkBAABcBQAAAAA=&#10;">
                        <v:fill on="t" focussize="0,0"/>
                        <v:stroke on="f"/>
                        <v:imagedata o:title=""/>
                        <o:lock v:ext="edit" aspectratio="f"/>
                        <v:textbox>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噪声N1</w:t>
                              </w:r>
                            </w:p>
                          </w:txbxContent>
                        </v:textbox>
                      </v:rect>
                      <v:line id="直接连接符 27" o:spid="_x0000_s1026" o:spt="20" style="position:absolute;left:3102610;top:1968500;flip:y;height:6985;width:386080;" filled="f" stroked="t" coordsize="21600,21600" o:gfxdata="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XMC7PUAAAA&#10;BQEAAA8AAAAAAAAAAQAgAAAAIgAAAGRycy9kb3ducmV2LnhtbFBLAQIUABQAAAAIAIdO4kAAZsYW&#10;IQIAACYEAAAOAAAAAAAAAAEAIAAAACMBAABkcnMvZTJvRG9jLnhtbFBLBQYAAAAABgAGAFkBAAC2&#10;BQAAAAA=&#10;">
                        <v:fill on="f" focussize="0,0"/>
                        <v:stroke color="#000000" joinstyle="round" dashstyle="dash" endarrow="classic" endarrowlength="long"/>
                        <v:imagedata o:title=""/>
                        <o:lock v:ext="edit" aspectratio="f"/>
                      </v:line>
                      <v:rect id="矩形 6" o:spid="_x0000_s1026" o:spt="1" style="position:absolute;left:1647825;top:346075;height:345440;width:1032510;" fillcolor="#FFFFFF" filled="t" stroked="t" coordsize="21600,21600" o:gfxdata="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TOqMDVAAAABQEAAA8AAAAAAAAAAQAgAAAA&#10;IgAAAGRycy9kb3ducmV2LnhtbFBLAQIUABQAAAAIAIdO4kAnYnCbDgIAADUEAAAOAAAAAAAAAAEA&#10;IAAAACQBAABkcnMvZTJvRG9jLnhtbFBLBQYAAAAABgAGAFkBAACkBQAAAAA=&#10;">
                        <v:fill on="t" focussize="0,0"/>
                        <v:stroke color="#000000" joinstyle="miter"/>
                        <v:imagedata o:title=""/>
                        <o:lock v:ext="edit" aspectratio="f"/>
                        <v:textbo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车间产品来料</w:t>
                              </w:r>
                            </w:p>
                          </w:txbxContent>
                        </v:textbox>
                      </v:rect>
                      <v:line id="直接连接符 11" o:spid="_x0000_s1026" o:spt="20" style="position:absolute;left:1718310;top:710565;flip:x;height:318770;width:1905;" filled="f" stroked="t" coordsize="21600,21600" o:gfxdata="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La6WdcAAAAFAQAADwAAAAAA&#10;AAABACAAAAAiAAAAZHJzL2Rvd25yZXYueG1sUEsBAhQAFAAAAAgAh07iQC6mhL4UAgAAAQQAAA4A&#10;AAAAAAAAAQAgAAAAJgEAAGRycy9lMm9Eb2MueG1sUEsFBgAAAAAGAAYAWQEAAKwFAAAAAA==&#10;">
                        <v:fill on="f" focussize="0,0"/>
                        <v:stroke color="#000000" joinstyle="round" endarrow="block"/>
                        <v:imagedata o:title=""/>
                        <o:lock v:ext="edit" aspectratio="f"/>
                      </v:line>
                      <v:line id="直接连接符 18" o:spid="_x0000_s1026" o:spt="20" style="position:absolute;left:2536825;top:2148205;height:356870;width:5715;" filled="f" stroked="t" coordsize="21600,21600" o:gfxdata="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N4vCtcAAAAFAQAADwAAAAAAAAABACAA&#10;AAAiAAAAZHJzL2Rvd25yZXYueG1sUEsBAhQAFAAAAAgAh07iQHcl7GEOAgAA+AMAAA4AAAAAAAAA&#10;AQAgAAAAJgEAAGRycy9lMm9Eb2MueG1sUEsFBgAAAAAGAAYAWQEAAKYFAAAAAA==&#10;">
                        <v:fill on="f" focussize="0,0"/>
                        <v:stroke color="#000000" joinstyle="round" endarrow="block"/>
                        <v:imagedata o:title=""/>
                        <o:lock v:ext="edit" aspectratio="f"/>
                      </v:line>
                      <v:line id="直接连接符 27" o:spid="_x0000_s1026" o:spt="20" style="position:absolute;left:3069590;top:2616200;flip:y;height:6985;width:386080;" filled="f" stroked="t" coordsize="21600,21600" o:gfxdata="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VzAuz1AAAAAUBAAAPAAAAAAAAAAEA&#10;IAAAACIAAABkcnMvZG93bnJldi54bWxQSwECFAAUAAAACACHTuJAzI9DDhMCAAD/AwAADgAAAAAA&#10;AAABACAAAAAjAQAAZHJzL2Uyb0RvYy54bWxQSwUGAAAAAAYABgBZAQAAqAUAAAAA&#10;">
                        <v:fill on="f" focussize="0,0"/>
                        <v:stroke color="#000000" joinstyle="round" dashstyle="dash" endarrow="classic" endarrowlength="long"/>
                        <v:imagedata o:title=""/>
                        <o:lock v:ext="edit" aspectratio="f"/>
                      </v:line>
                      <v:rect id="矩形 24" o:spid="_x0000_s1026" o:spt="1" style="position:absolute;left:2060575;top:3211830;height:335280;width:994410;" fillcolor="#FFFFFF" filled="t" stroked="t" coordsize="21600,21600" o:gfxdata="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EzqjA1QAAAAUBAAAPAAAAAAAAAAEAIAAA&#10;ACIAAABkcnMvZG93bnJldi54bWxQSwECFAAUAAAACACHTuJAoWYszg8CAAA2BAAADgAAAAAAAAAB&#10;ACAAAAAkAQAAZHJzL2Uyb0RvYy54bWxQSwUGAAAAAAYABgBZAQAApQUAAAAA&#10;">
                        <v:fill on="t" focussize="0,0"/>
                        <v:stroke color="#000000" joinstyle="miter"/>
                        <v:imagedata o:title=""/>
                        <o:lock v:ext="edit" aspectratio="f"/>
                        <v:textbox>
                          <w:txbxContent>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防爆叉车出库</w:t>
                              </w:r>
                            </w:p>
                          </w:txbxContent>
                        </v:textbox>
                      </v:rect>
                      <v:line id="直接连接符 27" o:spid="_x0000_s1026" o:spt="20" style="position:absolute;left:3061335;top:3378835;flip:y;height:6985;width:386080;" filled="f" stroked="t" coordsize="21600,21600" o:gfxdata="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XMC7PUAAAABQEAAA8AAAAAAAAA&#10;AQAgAAAAIgAAAGRycy9kb3ducmV2LnhtbFBLAQIUABQAAAAIAIdO4kBfmIhFFQIAAP8DAAAOAAAA&#10;AAAAAAEAIAAAACMBAABkcnMvZTJvRG9jLnhtbFBLBQYAAAAABgAGAFkBAACqBQAAAAA=&#10;">
                        <v:fill on="f" focussize="0,0"/>
                        <v:stroke color="#000000" joinstyle="round" dashstyle="dash" endarrow="classic" endarrowlength="long"/>
                        <v:imagedata o:title=""/>
                        <o:lock v:ext="edit" aspectratio="f"/>
                      </v:line>
                      <v:rect id="矩形 26" o:spid="_x0000_s1026" o:spt="1" style="position:absolute;left:3434080;top:3243580;height:297180;width:715010;" fillcolor="#FFFFFF" filled="t" stroked="f" coordsize="21600,21600" o:gfxdata="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jdnntUAAAAFAQAADwAAAAAAAAABACAAAAAiAAAAZHJzL2Rvd25yZXYu&#10;eG1sUEsBAhQAFAAAAAgAh07iQLBX8sXFAQAAdwMAAA4AAAAAAAAAAQAgAAAAJAEAAGRycy9lMm9E&#10;b2MueG1sUEsFBgAAAAAGAAYAWQEAAFsFAAAAAA==&#10;">
                        <v:fill on="t" focussize="0,0"/>
                        <v:stroke on="f"/>
                        <v:imagedata o:title=""/>
                        <o:lock v:ext="edit" aspectratio="f"/>
                        <v:textbox>
                          <w:txbxContent>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噪声</w:t>
                              </w:r>
                            </w:p>
                          </w:txbxContent>
                        </v:textbox>
                      </v:rect>
                      <w10:wrap type="none"/>
                      <w10:anchorlock/>
                    </v:group>
                  </w:pict>
                </mc:Fallback>
              </mc:AlternateContent>
            </w:r>
          </w:p>
          <w:p>
            <w:pPr>
              <w:spacing w:line="276" w:lineRule="auto"/>
              <w:ind w:left="0" w:leftChars="0" w:firstLine="0" w:firstLineChars="0"/>
              <w:jc w:val="center"/>
              <w:rPr>
                <w:rFonts w:hint="eastAsia"/>
                <w:b w:val="0"/>
                <w:bCs w:val="0"/>
                <w:sz w:val="21"/>
                <w:szCs w:val="21"/>
                <w:lang w:val="en-US" w:eastAsia="zh-CN"/>
              </w:rPr>
            </w:pPr>
            <w:r>
              <w:rPr>
                <w:rFonts w:hint="eastAsia"/>
                <w:b/>
                <w:bCs/>
                <w:sz w:val="21"/>
                <w:szCs w:val="21"/>
              </w:rPr>
              <w:t>图2-</w:t>
            </w:r>
            <w:r>
              <w:rPr>
                <w:rFonts w:hint="eastAsia"/>
                <w:b/>
                <w:bCs/>
                <w:sz w:val="21"/>
                <w:szCs w:val="21"/>
                <w:lang w:val="en-US" w:eastAsia="zh-CN"/>
              </w:rPr>
              <w:t>2</w:t>
            </w:r>
            <w:r>
              <w:rPr>
                <w:rFonts w:hint="eastAsia"/>
                <w:b/>
                <w:bCs/>
                <w:sz w:val="21"/>
                <w:szCs w:val="21"/>
              </w:rPr>
              <w:t xml:space="preserve"> </w:t>
            </w:r>
            <w:r>
              <w:rPr>
                <w:rFonts w:hint="eastAsia"/>
                <w:b/>
                <w:bCs/>
                <w:sz w:val="21"/>
                <w:szCs w:val="21"/>
                <w:lang w:eastAsia="zh-CN"/>
              </w:rPr>
              <w:t>营运</w:t>
            </w:r>
            <w:r>
              <w:rPr>
                <w:rFonts w:hint="eastAsia"/>
                <w:b/>
                <w:bCs/>
                <w:sz w:val="21"/>
                <w:szCs w:val="21"/>
                <w:lang w:val="en-US" w:eastAsia="zh-CN"/>
              </w:rPr>
              <w:t>期</w:t>
            </w:r>
            <w:r>
              <w:rPr>
                <w:rFonts w:hint="eastAsia"/>
                <w:b/>
                <w:bCs/>
                <w:sz w:val="21"/>
                <w:szCs w:val="21"/>
              </w:rPr>
              <w:t>工艺流程</w:t>
            </w:r>
            <w:r>
              <w:rPr>
                <w:rFonts w:hint="eastAsia"/>
                <w:b/>
                <w:bCs/>
                <w:sz w:val="21"/>
                <w:szCs w:val="21"/>
                <w:lang w:eastAsia="zh-CN"/>
              </w:rPr>
              <w:t>及产污环节图</w:t>
            </w:r>
          </w:p>
          <w:p>
            <w:pPr>
              <w:spacing w:line="276" w:lineRule="auto"/>
              <w:ind w:left="0" w:leftChars="0" w:firstLine="0" w:firstLineChars="0"/>
              <w:rPr>
                <w:rFonts w:hint="eastAsia"/>
                <w:b w:val="0"/>
                <w:bCs w:val="0"/>
                <w:sz w:val="21"/>
                <w:szCs w:val="21"/>
                <w:lang w:val="en-US" w:eastAsia="zh-CN"/>
              </w:rPr>
            </w:pPr>
            <w:r>
              <w:rPr>
                <w:rFonts w:hint="eastAsia"/>
                <w:b w:val="0"/>
                <w:bCs w:val="0"/>
                <w:sz w:val="21"/>
                <w:szCs w:val="21"/>
                <w:lang w:val="en-US" w:eastAsia="zh-CN"/>
              </w:rPr>
              <w:t>（2）营运期工艺流程简述：</w:t>
            </w:r>
          </w:p>
          <w:p>
            <w:pPr>
              <w:spacing w:line="276" w:lineRule="auto"/>
              <w:ind w:left="0" w:leftChars="0" w:firstLine="420" w:firstLineChars="200"/>
              <w:rPr>
                <w:rFonts w:hint="eastAsia"/>
                <w:b w:val="0"/>
                <w:bCs w:val="0"/>
                <w:sz w:val="21"/>
                <w:szCs w:val="21"/>
                <w:lang w:val="en-US" w:eastAsia="zh-CN"/>
              </w:rPr>
            </w:pPr>
            <w:r>
              <w:rPr>
                <w:rFonts w:hint="eastAsia"/>
                <w:b w:val="0"/>
                <w:bCs w:val="0"/>
                <w:sz w:val="21"/>
                <w:szCs w:val="21"/>
                <w:lang w:val="en-US" w:eastAsia="zh-CN"/>
              </w:rPr>
              <w:t>1）入库：</w:t>
            </w:r>
          </w:p>
          <w:p>
            <w:pPr>
              <w:spacing w:line="276" w:lineRule="auto"/>
              <w:ind w:left="0" w:leftChars="0" w:firstLine="420" w:firstLineChars="200"/>
              <w:rPr>
                <w:rFonts w:hint="eastAsia"/>
                <w:b w:val="0"/>
                <w:bCs w:val="0"/>
                <w:sz w:val="21"/>
                <w:szCs w:val="21"/>
                <w:lang w:val="en-US" w:eastAsia="zh-CN"/>
              </w:rPr>
            </w:pPr>
            <w:r>
              <w:rPr>
                <w:rFonts w:hint="eastAsia"/>
                <w:b w:val="0"/>
                <w:bCs w:val="0"/>
                <w:sz w:val="21"/>
                <w:szCs w:val="21"/>
                <w:lang w:val="en-US" w:eastAsia="zh-CN"/>
              </w:rPr>
              <w:t>汽车运来的各种桶装化学品原材料，经计量、标识后分类送入各类化学品储存仓库，然后用防爆电动叉车或手动搬运车卸货送入仓库内货架或托盘上储存。车间生产的产品在厂内其他包装岗位进行调配、计量和包装、标识。包装成需要的规格后，用防爆电动叉车或手动搬运车卸货送入仓库内货架储存。防爆电动叉车运行产生机械噪声N1。</w:t>
            </w:r>
          </w:p>
          <w:p>
            <w:pPr>
              <w:spacing w:line="276" w:lineRule="auto"/>
              <w:ind w:left="0" w:leftChars="0" w:firstLine="420" w:firstLineChars="200"/>
              <w:rPr>
                <w:rFonts w:hint="default"/>
                <w:b w:val="0"/>
                <w:bCs w:val="0"/>
                <w:sz w:val="21"/>
                <w:szCs w:val="21"/>
                <w:lang w:val="en-US" w:eastAsia="zh-CN"/>
              </w:rPr>
            </w:pPr>
            <w:r>
              <w:rPr>
                <w:rFonts w:hint="eastAsia"/>
                <w:b w:val="0"/>
                <w:bCs w:val="0"/>
                <w:sz w:val="21"/>
                <w:szCs w:val="21"/>
                <w:lang w:val="en-US" w:eastAsia="zh-CN"/>
              </w:rPr>
              <w:t>2）储存：仓库均设有防爆式风机系统，以保证仓库内温度、换气量控制在相关现行规范要求的范围内，确保化学品的储存安全。风机运行过程中产生噪声N2，此外，储存的丙类液体物料均采用密闭包装桶储存，一般状态下基本无废气挥发，储存容器老化、破损等事故状况下，可能会产生极少量物料的挥发气体（G1）。</w:t>
            </w:r>
          </w:p>
          <w:p>
            <w:pPr>
              <w:spacing w:line="276" w:lineRule="auto"/>
              <w:ind w:left="0" w:leftChars="0" w:firstLine="420" w:firstLineChars="200"/>
              <w:rPr>
                <w:rFonts w:hint="eastAsia"/>
                <w:b w:val="0"/>
                <w:bCs w:val="0"/>
                <w:sz w:val="21"/>
                <w:szCs w:val="21"/>
                <w:lang w:val="en-US" w:eastAsia="zh-CN"/>
              </w:rPr>
            </w:pPr>
            <w:r>
              <w:rPr>
                <w:rFonts w:hint="eastAsia"/>
                <w:b w:val="0"/>
                <w:bCs w:val="0"/>
                <w:sz w:val="21"/>
                <w:szCs w:val="21"/>
                <w:lang w:val="en-US" w:eastAsia="zh-CN"/>
              </w:rPr>
              <w:t>仓库内地面均坡向一角，事故状态下，泄漏物料采用移动式真空收集罐进行收集。仓库内设有排液槽，地面设置成斜坡，使泄漏液体能自流收集到排液槽内。</w:t>
            </w:r>
          </w:p>
          <w:p>
            <w:pPr>
              <w:spacing w:line="276" w:lineRule="auto"/>
              <w:ind w:left="0" w:leftChars="0" w:firstLine="420" w:firstLineChars="200"/>
              <w:rPr>
                <w:rFonts w:hint="default" w:eastAsia="宋体"/>
                <w:b w:val="0"/>
                <w:bCs w:val="0"/>
                <w:sz w:val="21"/>
                <w:szCs w:val="21"/>
                <w:lang w:val="en-US" w:eastAsia="zh-CN"/>
              </w:rPr>
            </w:pPr>
            <w:r>
              <w:rPr>
                <w:rFonts w:hint="eastAsia"/>
                <w:b w:val="0"/>
                <w:bCs w:val="0"/>
                <w:sz w:val="21"/>
                <w:szCs w:val="21"/>
                <w:lang w:val="en-US" w:eastAsia="zh-CN"/>
              </w:rPr>
              <w:t>3）出库：各种桶装化学品出库时，用防爆叉车或手动搬运车从货架上取货，计量后装车，然后出库。防爆电动叉车运行产生机械噪声N1。</w:t>
            </w:r>
          </w:p>
          <w:p>
            <w:pPr>
              <w:spacing w:line="276" w:lineRule="auto"/>
              <w:ind w:firstLine="0" w:firstLineChars="0"/>
              <w:rPr>
                <w:b w:val="0"/>
                <w:bCs w:val="0"/>
                <w:sz w:val="21"/>
                <w:szCs w:val="21"/>
              </w:rPr>
            </w:pPr>
            <w:r>
              <w:rPr>
                <w:rFonts w:hint="eastAsia"/>
                <w:b w:val="0"/>
                <w:bCs w:val="0"/>
                <w:sz w:val="21"/>
                <w:szCs w:val="21"/>
                <w:lang w:eastAsia="zh-CN"/>
              </w:rPr>
              <w:t>（</w:t>
            </w:r>
            <w:r>
              <w:rPr>
                <w:rFonts w:hint="eastAsia"/>
                <w:b w:val="0"/>
                <w:bCs w:val="0"/>
                <w:sz w:val="21"/>
                <w:szCs w:val="21"/>
                <w:lang w:val="en-US" w:eastAsia="zh-CN"/>
              </w:rPr>
              <w:t>3</w:t>
            </w:r>
            <w:r>
              <w:rPr>
                <w:rFonts w:hint="eastAsia"/>
                <w:b w:val="0"/>
                <w:bCs w:val="0"/>
                <w:sz w:val="21"/>
                <w:szCs w:val="21"/>
                <w:lang w:eastAsia="zh-CN"/>
              </w:rPr>
              <w:t>）</w:t>
            </w:r>
            <w:r>
              <w:rPr>
                <w:rFonts w:hint="eastAsia"/>
                <w:b w:val="0"/>
                <w:bCs w:val="0"/>
                <w:sz w:val="21"/>
                <w:szCs w:val="21"/>
              </w:rPr>
              <w:t>产污工序分析</w:t>
            </w:r>
          </w:p>
          <w:p>
            <w:pPr>
              <w:spacing w:line="240" w:lineRule="auto"/>
              <w:ind w:firstLine="0" w:firstLineChars="0"/>
              <w:jc w:val="center"/>
              <w:rPr>
                <w:b/>
                <w:bCs/>
                <w:sz w:val="21"/>
                <w:szCs w:val="21"/>
              </w:rPr>
            </w:pPr>
            <w:r>
              <w:rPr>
                <w:rFonts w:hint="eastAsia"/>
                <w:b/>
                <w:bCs/>
                <w:sz w:val="21"/>
                <w:szCs w:val="21"/>
              </w:rPr>
              <w:t>表2-</w:t>
            </w:r>
            <w:r>
              <w:rPr>
                <w:rFonts w:hint="eastAsia"/>
                <w:b/>
                <w:bCs/>
                <w:sz w:val="21"/>
                <w:szCs w:val="21"/>
                <w:lang w:val="en-US" w:eastAsia="zh-CN"/>
              </w:rPr>
              <w:t>6</w:t>
            </w:r>
            <w:r>
              <w:rPr>
                <w:rFonts w:hint="eastAsia"/>
                <w:b/>
                <w:bCs/>
                <w:sz w:val="21"/>
                <w:szCs w:val="21"/>
              </w:rPr>
              <w:t xml:space="preserve">  项目污染物产生情况一览表</w:t>
            </w:r>
          </w:p>
          <w:tbl>
            <w:tblPr>
              <w:tblStyle w:val="17"/>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551"/>
              <w:gridCol w:w="851"/>
              <w:gridCol w:w="3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spacing w:line="240" w:lineRule="auto"/>
                    <w:ind w:firstLine="0" w:firstLineChars="0"/>
                    <w:jc w:val="center"/>
                    <w:rPr>
                      <w:sz w:val="21"/>
                      <w:szCs w:val="21"/>
                    </w:rPr>
                  </w:pPr>
                  <w:r>
                    <w:rPr>
                      <w:rFonts w:hint="eastAsia"/>
                      <w:sz w:val="21"/>
                      <w:szCs w:val="21"/>
                    </w:rPr>
                    <w:t>类别</w:t>
                  </w:r>
                </w:p>
              </w:tc>
              <w:tc>
                <w:tcPr>
                  <w:tcW w:w="2551" w:type="dxa"/>
                  <w:vAlign w:val="center"/>
                </w:tcPr>
                <w:p>
                  <w:pPr>
                    <w:spacing w:line="240" w:lineRule="auto"/>
                    <w:ind w:firstLine="0" w:firstLineChars="0"/>
                    <w:jc w:val="center"/>
                    <w:rPr>
                      <w:sz w:val="21"/>
                      <w:szCs w:val="21"/>
                    </w:rPr>
                  </w:pPr>
                  <w:r>
                    <w:rPr>
                      <w:rFonts w:hint="eastAsia"/>
                      <w:sz w:val="21"/>
                      <w:szCs w:val="21"/>
                    </w:rPr>
                    <w:t>产生工序</w:t>
                  </w:r>
                </w:p>
              </w:tc>
              <w:tc>
                <w:tcPr>
                  <w:tcW w:w="851" w:type="dxa"/>
                  <w:vAlign w:val="center"/>
                </w:tcPr>
                <w:p>
                  <w:pPr>
                    <w:spacing w:line="240" w:lineRule="auto"/>
                    <w:ind w:firstLine="0" w:firstLineChars="0"/>
                    <w:jc w:val="center"/>
                    <w:rPr>
                      <w:sz w:val="21"/>
                      <w:szCs w:val="21"/>
                    </w:rPr>
                  </w:pPr>
                  <w:r>
                    <w:rPr>
                      <w:rFonts w:hint="eastAsia"/>
                      <w:sz w:val="21"/>
                      <w:szCs w:val="21"/>
                    </w:rPr>
                    <w:t>编号</w:t>
                  </w:r>
                </w:p>
              </w:tc>
              <w:tc>
                <w:tcPr>
                  <w:tcW w:w="3762" w:type="dxa"/>
                  <w:vAlign w:val="center"/>
                </w:tcPr>
                <w:p>
                  <w:pPr>
                    <w:spacing w:line="240" w:lineRule="auto"/>
                    <w:ind w:firstLine="0" w:firstLineChars="0"/>
                    <w:jc w:val="center"/>
                    <w:rPr>
                      <w:sz w:val="21"/>
                      <w:szCs w:val="21"/>
                    </w:rPr>
                  </w:pPr>
                  <w:r>
                    <w:rPr>
                      <w:rFonts w:hint="eastAsia"/>
                      <w:sz w:val="21"/>
                      <w:szCs w:val="21"/>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46" w:type="dxa"/>
                  <w:vAlign w:val="center"/>
                </w:tcPr>
                <w:p>
                  <w:pPr>
                    <w:spacing w:line="240" w:lineRule="auto"/>
                    <w:ind w:firstLine="0" w:firstLineChars="0"/>
                    <w:jc w:val="center"/>
                    <w:rPr>
                      <w:sz w:val="21"/>
                      <w:szCs w:val="21"/>
                    </w:rPr>
                  </w:pPr>
                  <w:r>
                    <w:rPr>
                      <w:rFonts w:hint="eastAsia"/>
                      <w:sz w:val="21"/>
                      <w:szCs w:val="21"/>
                    </w:rPr>
                    <w:t>废气</w:t>
                  </w:r>
                </w:p>
              </w:tc>
              <w:tc>
                <w:tcPr>
                  <w:tcW w:w="2551" w:type="dxa"/>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物料密闭储存挥发</w:t>
                  </w:r>
                </w:p>
              </w:tc>
              <w:tc>
                <w:tcPr>
                  <w:tcW w:w="851" w:type="dxa"/>
                  <w:vAlign w:val="center"/>
                </w:tcPr>
                <w:p>
                  <w:pPr>
                    <w:spacing w:line="240" w:lineRule="auto"/>
                    <w:ind w:firstLine="0" w:firstLineChars="0"/>
                    <w:jc w:val="center"/>
                    <w:rPr>
                      <w:sz w:val="21"/>
                      <w:szCs w:val="21"/>
                    </w:rPr>
                  </w:pPr>
                  <w:r>
                    <w:rPr>
                      <w:rFonts w:hint="eastAsia"/>
                      <w:sz w:val="21"/>
                      <w:szCs w:val="21"/>
                    </w:rPr>
                    <w:t>G1</w:t>
                  </w:r>
                </w:p>
              </w:tc>
              <w:tc>
                <w:tcPr>
                  <w:tcW w:w="3762"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Merge w:val="restart"/>
                  <w:vAlign w:val="center"/>
                </w:tcPr>
                <w:p>
                  <w:pPr>
                    <w:spacing w:line="240" w:lineRule="auto"/>
                    <w:ind w:firstLine="0" w:firstLineChars="0"/>
                    <w:jc w:val="center"/>
                    <w:rPr>
                      <w:sz w:val="21"/>
                      <w:szCs w:val="21"/>
                    </w:rPr>
                  </w:pPr>
                  <w:r>
                    <w:rPr>
                      <w:rFonts w:hint="eastAsia"/>
                      <w:sz w:val="21"/>
                      <w:szCs w:val="21"/>
                    </w:rPr>
                    <w:t>噪声</w:t>
                  </w:r>
                </w:p>
              </w:tc>
              <w:tc>
                <w:tcPr>
                  <w:tcW w:w="2551"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防爆风机运行</w:t>
                  </w:r>
                </w:p>
              </w:tc>
              <w:tc>
                <w:tcPr>
                  <w:tcW w:w="851"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N2</w:t>
                  </w:r>
                </w:p>
              </w:tc>
              <w:tc>
                <w:tcPr>
                  <w:tcW w:w="3762" w:type="dxa"/>
                  <w:vAlign w:val="center"/>
                </w:tcPr>
                <w:p>
                  <w:pPr>
                    <w:spacing w:line="240" w:lineRule="auto"/>
                    <w:ind w:firstLine="0" w:firstLineChars="0"/>
                    <w:jc w:val="center"/>
                    <w:rPr>
                      <w:rFonts w:hint="default"/>
                      <w:sz w:val="21"/>
                      <w:szCs w:val="21"/>
                      <w:lang w:val="en-US"/>
                    </w:rPr>
                  </w:pPr>
                  <w:r>
                    <w:rPr>
                      <w:rFonts w:hint="eastAsia"/>
                      <w:sz w:val="21"/>
                      <w:szCs w:val="21"/>
                      <w:lang w:val="en-US" w:eastAsia="zh-CN"/>
                    </w:rPr>
                    <w:t>风机噪声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Merge w:val="continue"/>
                  <w:vAlign w:val="center"/>
                </w:tcPr>
                <w:p>
                  <w:pPr>
                    <w:spacing w:line="240" w:lineRule="auto"/>
                    <w:ind w:firstLine="0" w:firstLineChars="0"/>
                    <w:jc w:val="center"/>
                    <w:rPr>
                      <w:sz w:val="21"/>
                      <w:szCs w:val="21"/>
                    </w:rPr>
                  </w:pPr>
                </w:p>
              </w:tc>
              <w:tc>
                <w:tcPr>
                  <w:tcW w:w="2551" w:type="dxa"/>
                  <w:vAlign w:val="center"/>
                </w:tcPr>
                <w:p>
                  <w:pPr>
                    <w:spacing w:line="240" w:lineRule="auto"/>
                    <w:ind w:firstLine="0" w:firstLineChars="0"/>
                    <w:jc w:val="center"/>
                    <w:rPr>
                      <w:sz w:val="21"/>
                      <w:szCs w:val="21"/>
                    </w:rPr>
                  </w:pPr>
                  <w:r>
                    <w:rPr>
                      <w:rFonts w:hint="eastAsia"/>
                      <w:sz w:val="21"/>
                      <w:szCs w:val="21"/>
                      <w:lang w:val="en-US" w:eastAsia="zh-CN"/>
                    </w:rPr>
                    <w:t>防爆</w:t>
                  </w:r>
                  <w:r>
                    <w:rPr>
                      <w:rFonts w:hint="eastAsia"/>
                      <w:b w:val="0"/>
                      <w:bCs w:val="0"/>
                      <w:sz w:val="21"/>
                      <w:szCs w:val="21"/>
                      <w:lang w:val="en-US" w:eastAsia="zh-CN"/>
                    </w:rPr>
                    <w:t>叉车</w:t>
                  </w:r>
                  <w:r>
                    <w:rPr>
                      <w:rFonts w:hint="eastAsia"/>
                      <w:sz w:val="21"/>
                      <w:szCs w:val="21"/>
                    </w:rPr>
                    <w:t>运行</w:t>
                  </w:r>
                </w:p>
              </w:tc>
              <w:tc>
                <w:tcPr>
                  <w:tcW w:w="851"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rPr>
                    <w:t>N</w:t>
                  </w:r>
                  <w:r>
                    <w:rPr>
                      <w:rFonts w:hint="eastAsia"/>
                      <w:sz w:val="21"/>
                      <w:szCs w:val="21"/>
                      <w:lang w:val="en-US" w:eastAsia="zh-CN"/>
                    </w:rPr>
                    <w:t>1</w:t>
                  </w:r>
                </w:p>
              </w:tc>
              <w:tc>
                <w:tcPr>
                  <w:tcW w:w="3762" w:type="dxa"/>
                  <w:vAlign w:val="center"/>
                </w:tcPr>
                <w:p>
                  <w:pPr>
                    <w:spacing w:line="240" w:lineRule="auto"/>
                    <w:ind w:firstLine="0" w:firstLineChars="0"/>
                    <w:jc w:val="center"/>
                    <w:rPr>
                      <w:sz w:val="21"/>
                      <w:szCs w:val="21"/>
                    </w:rPr>
                  </w:pPr>
                  <w:r>
                    <w:rPr>
                      <w:rFonts w:hint="eastAsia"/>
                      <w:sz w:val="21"/>
                      <w:szCs w:val="21"/>
                      <w:lang w:eastAsia="zh-CN"/>
                    </w:rPr>
                    <w:t>设备</w:t>
                  </w:r>
                  <w:r>
                    <w:rPr>
                      <w:rFonts w:hint="eastAsia"/>
                      <w:sz w:val="21"/>
                      <w:szCs w:val="21"/>
                    </w:rPr>
                    <w:t>噪声</w:t>
                  </w:r>
                </w:p>
              </w:tc>
            </w:tr>
          </w:tbl>
          <w:p>
            <w:pPr>
              <w:spacing w:line="240" w:lineRule="auto"/>
              <w:ind w:firstLine="0" w:firstLineChars="0"/>
              <w:jc w:val="both"/>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9" w:type="dxa"/>
            <w:vAlign w:val="center"/>
          </w:tcPr>
          <w:p>
            <w:pPr>
              <w:spacing w:line="240" w:lineRule="auto"/>
              <w:ind w:firstLine="0" w:firstLineChars="0"/>
              <w:jc w:val="center"/>
              <w:rPr>
                <w:rFonts w:hint="eastAsia" w:cs="宋体"/>
                <w:bCs/>
                <w:sz w:val="21"/>
                <w:szCs w:val="21"/>
              </w:rPr>
            </w:pPr>
          </w:p>
          <w:p>
            <w:pPr>
              <w:spacing w:line="240" w:lineRule="auto"/>
              <w:ind w:firstLine="0" w:firstLineChars="0"/>
              <w:jc w:val="center"/>
              <w:rPr>
                <w:rFonts w:hint="eastAsia" w:cs="宋体"/>
                <w:bCs/>
                <w:sz w:val="21"/>
                <w:szCs w:val="21"/>
              </w:rPr>
            </w:pPr>
          </w:p>
          <w:p>
            <w:pPr>
              <w:spacing w:line="240" w:lineRule="auto"/>
              <w:ind w:firstLine="0" w:firstLineChars="0"/>
              <w:jc w:val="center"/>
              <w:rPr>
                <w:rFonts w:cs="宋体"/>
                <w:bCs/>
                <w:sz w:val="21"/>
                <w:szCs w:val="21"/>
              </w:rPr>
            </w:pPr>
            <w:r>
              <w:rPr>
                <w:rFonts w:hint="eastAsia" w:cs="宋体"/>
                <w:bCs/>
                <w:sz w:val="21"/>
                <w:szCs w:val="21"/>
              </w:rPr>
              <w:t>与项</w:t>
            </w:r>
          </w:p>
          <w:p>
            <w:pPr>
              <w:spacing w:line="240" w:lineRule="auto"/>
              <w:ind w:firstLine="0" w:firstLineChars="0"/>
              <w:jc w:val="center"/>
              <w:rPr>
                <w:rFonts w:cs="宋体"/>
                <w:bCs/>
                <w:sz w:val="21"/>
                <w:szCs w:val="21"/>
              </w:rPr>
            </w:pPr>
            <w:r>
              <w:rPr>
                <w:rFonts w:hint="eastAsia" w:cs="宋体"/>
                <w:bCs/>
                <w:sz w:val="21"/>
                <w:szCs w:val="21"/>
              </w:rPr>
              <w:t>目有</w:t>
            </w:r>
          </w:p>
          <w:p>
            <w:pPr>
              <w:spacing w:line="240" w:lineRule="auto"/>
              <w:ind w:firstLine="0" w:firstLineChars="0"/>
              <w:jc w:val="center"/>
              <w:rPr>
                <w:rFonts w:cs="宋体"/>
                <w:bCs/>
                <w:sz w:val="21"/>
                <w:szCs w:val="21"/>
              </w:rPr>
            </w:pPr>
            <w:r>
              <w:rPr>
                <w:rFonts w:hint="eastAsia" w:cs="宋体"/>
                <w:bCs/>
                <w:sz w:val="21"/>
                <w:szCs w:val="21"/>
              </w:rPr>
              <w:t>关的</w:t>
            </w:r>
          </w:p>
          <w:p>
            <w:pPr>
              <w:spacing w:line="240" w:lineRule="auto"/>
              <w:ind w:firstLine="0" w:firstLineChars="0"/>
              <w:jc w:val="center"/>
              <w:rPr>
                <w:rFonts w:cs="宋体"/>
                <w:bCs/>
                <w:sz w:val="21"/>
                <w:szCs w:val="21"/>
              </w:rPr>
            </w:pPr>
            <w:r>
              <w:rPr>
                <w:rFonts w:hint="eastAsia" w:cs="宋体"/>
                <w:bCs/>
                <w:sz w:val="21"/>
                <w:szCs w:val="21"/>
              </w:rPr>
              <w:t>原有</w:t>
            </w:r>
          </w:p>
          <w:p>
            <w:pPr>
              <w:spacing w:line="240" w:lineRule="auto"/>
              <w:ind w:firstLine="0" w:firstLineChars="0"/>
              <w:jc w:val="center"/>
              <w:rPr>
                <w:rFonts w:cs="宋体"/>
                <w:bCs/>
                <w:sz w:val="21"/>
                <w:szCs w:val="21"/>
              </w:rPr>
            </w:pPr>
            <w:r>
              <w:rPr>
                <w:rFonts w:hint="eastAsia" w:cs="宋体"/>
                <w:bCs/>
                <w:sz w:val="21"/>
                <w:szCs w:val="21"/>
              </w:rPr>
              <w:t>环境</w:t>
            </w:r>
          </w:p>
          <w:p>
            <w:pPr>
              <w:spacing w:line="240" w:lineRule="auto"/>
              <w:ind w:firstLine="0" w:firstLineChars="0"/>
              <w:jc w:val="center"/>
              <w:rPr>
                <w:rFonts w:cs="宋体"/>
                <w:bCs/>
                <w:sz w:val="21"/>
                <w:szCs w:val="21"/>
              </w:rPr>
            </w:pPr>
            <w:r>
              <w:rPr>
                <w:rFonts w:hint="eastAsia" w:cs="宋体"/>
                <w:bCs/>
                <w:sz w:val="21"/>
                <w:szCs w:val="21"/>
              </w:rPr>
              <w:t>污染</w:t>
            </w:r>
          </w:p>
          <w:p>
            <w:pPr>
              <w:spacing w:line="240" w:lineRule="auto"/>
              <w:ind w:firstLine="0" w:firstLineChars="0"/>
              <w:jc w:val="center"/>
              <w:rPr>
                <w:sz w:val="21"/>
                <w:szCs w:val="21"/>
              </w:rPr>
            </w:pPr>
            <w:r>
              <w:rPr>
                <w:rFonts w:hint="eastAsia" w:cs="宋体"/>
                <w:bCs/>
                <w:sz w:val="21"/>
                <w:szCs w:val="21"/>
              </w:rPr>
              <w:t>问题</w:t>
            </w:r>
          </w:p>
        </w:tc>
        <w:tc>
          <w:tcPr>
            <w:tcW w:w="8137" w:type="dxa"/>
          </w:tcPr>
          <w:p>
            <w:pPr>
              <w:spacing w:line="276" w:lineRule="auto"/>
              <w:ind w:firstLine="420"/>
              <w:rPr>
                <w:rFonts w:hint="eastAsia"/>
                <w:b/>
                <w:bCs/>
                <w:sz w:val="21"/>
                <w:szCs w:val="21"/>
                <w:lang w:val="en-US" w:eastAsia="zh-CN"/>
              </w:rPr>
            </w:pPr>
          </w:p>
          <w:p>
            <w:pPr>
              <w:spacing w:line="276" w:lineRule="auto"/>
              <w:ind w:firstLine="420"/>
              <w:rPr>
                <w:rFonts w:hint="eastAsia" w:eastAsia="宋体"/>
                <w:b/>
                <w:bCs/>
                <w:sz w:val="21"/>
                <w:szCs w:val="21"/>
                <w:lang w:val="en-US" w:eastAsia="zh-CN"/>
              </w:rPr>
            </w:pPr>
            <w:r>
              <w:rPr>
                <w:rFonts w:hint="eastAsia"/>
                <w:b/>
                <w:bCs/>
                <w:sz w:val="21"/>
                <w:szCs w:val="21"/>
                <w:lang w:val="en-US" w:eastAsia="zh-CN"/>
              </w:rPr>
              <w:t>1、原有项目环评、验收及排污许可执行情况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rPr>
            </w:pPr>
            <w:r>
              <w:rPr>
                <w:rFonts w:hint="eastAsia" w:ascii="Times New Roman" w:hAnsi="Times New Roman" w:eastAsia="宋体" w:cs="Times New Roman"/>
                <w:kern w:val="2"/>
                <w:sz w:val="21"/>
                <w:szCs w:val="21"/>
                <w:lang w:val="en-US" w:eastAsia="zh-CN" w:bidi="ar-SA"/>
              </w:rPr>
              <w:t>湖南海利常德农药化工有限公司</w:t>
            </w:r>
            <w:r>
              <w:rPr>
                <w:rFonts w:hint="eastAsia" w:cs="Times New Roman"/>
                <w:kern w:val="2"/>
                <w:sz w:val="21"/>
                <w:szCs w:val="21"/>
                <w:lang w:val="en-US" w:eastAsia="zh-CN" w:bidi="ar-SA"/>
              </w:rPr>
              <w:t>创建于1998年10月，其</w:t>
            </w:r>
            <w:r>
              <w:rPr>
                <w:rFonts w:hint="eastAsia" w:ascii="Times New Roman" w:hAnsi="Times New Roman" w:eastAsia="宋体" w:cs="Times New Roman"/>
                <w:kern w:val="2"/>
                <w:sz w:val="21"/>
                <w:szCs w:val="21"/>
                <w:lang w:val="en-US" w:eastAsia="zh-CN" w:bidi="ar-SA"/>
              </w:rPr>
              <w:t>前身为1958年建厂的常德市化工厂</w:t>
            </w:r>
            <w:r>
              <w:rPr>
                <w:rFonts w:hint="eastAsia" w:cs="Times New Roman"/>
                <w:kern w:val="2"/>
                <w:sz w:val="21"/>
                <w:szCs w:val="21"/>
                <w:lang w:val="en-US" w:eastAsia="zh-CN" w:bidi="ar-SA"/>
              </w:rPr>
              <w:t>，</w:t>
            </w:r>
            <w:r>
              <w:rPr>
                <w:rFonts w:hint="eastAsia"/>
                <w:sz w:val="21"/>
                <w:szCs w:val="21"/>
                <w:lang w:eastAsia="zh-CN"/>
              </w:rPr>
              <w:t>主要从事农药和精细化学品的研发、生产和贸易，现有氨基甲酸酯类低毒农药、光气化产品和其他精细化工产品三大系列六十多个品种，主要产品的设计产能为：甲基嘧啶磷</w:t>
            </w:r>
            <w:r>
              <w:rPr>
                <w:rFonts w:hint="eastAsia"/>
                <w:sz w:val="21"/>
                <w:szCs w:val="21"/>
                <w:lang w:val="en-US" w:eastAsia="zh-CN"/>
              </w:rPr>
              <w:t>1000t/a、残杀威1000t/a、仲丁威5000t/a、异丙威3000t/a、好安威2500t/a、丙硫克百威1500t/a、丁硫克百威1500t/a、抗蚜威300t/a、硫双灭多威4000t/a、邻羟基苯甲腈1000t/a、邻异丙氧基酚</w:t>
            </w:r>
            <w:r>
              <w:rPr>
                <w:rFonts w:hint="eastAsia"/>
                <w:sz w:val="21"/>
                <w:szCs w:val="21"/>
              </w:rPr>
              <w:t>。</w:t>
            </w:r>
          </w:p>
          <w:p>
            <w:pPr>
              <w:spacing w:line="276" w:lineRule="auto"/>
              <w:ind w:firstLine="420"/>
              <w:rPr>
                <w:rFonts w:hint="eastAsia"/>
                <w:b w:val="0"/>
                <w:bCs w:val="0"/>
                <w:sz w:val="21"/>
                <w:szCs w:val="21"/>
                <w:lang w:val="en-US" w:eastAsia="zh-CN"/>
              </w:rPr>
            </w:pPr>
            <w:r>
              <w:rPr>
                <w:rFonts w:hint="eastAsia"/>
                <w:b w:val="0"/>
                <w:bCs w:val="0"/>
                <w:sz w:val="21"/>
                <w:szCs w:val="21"/>
                <w:lang w:val="en-US" w:eastAsia="zh-CN"/>
              </w:rPr>
              <w:t>（1）企业环评及验收手续的履行情况如下表所示：</w:t>
            </w:r>
          </w:p>
          <w:p>
            <w:pPr>
              <w:spacing w:line="276" w:lineRule="auto"/>
              <w:ind w:firstLine="1687" w:firstLineChars="800"/>
              <w:jc w:val="both"/>
              <w:rPr>
                <w:rFonts w:hint="default"/>
                <w:b/>
                <w:bCs/>
                <w:sz w:val="21"/>
                <w:szCs w:val="21"/>
                <w:lang w:val="en-US" w:eastAsia="zh-CN"/>
              </w:rPr>
            </w:pPr>
            <w:r>
              <w:rPr>
                <w:rFonts w:hint="eastAsia"/>
                <w:b/>
                <w:bCs/>
                <w:sz w:val="21"/>
                <w:szCs w:val="21"/>
                <w:lang w:val="en-US" w:eastAsia="zh-CN"/>
              </w:rPr>
              <w:t>表2-7  企业环保手续履行情况表</w:t>
            </w:r>
          </w:p>
          <w:tbl>
            <w:tblPr>
              <w:tblStyle w:val="17"/>
              <w:tblW w:w="7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2688"/>
              <w:gridCol w:w="1638"/>
              <w:gridCol w:w="1039"/>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8" w:type="dxa"/>
                  <w:gridSpan w:val="5"/>
                </w:tcPr>
                <w:p>
                  <w:pPr>
                    <w:spacing w:line="276" w:lineRule="auto"/>
                    <w:ind w:firstLine="1687" w:firstLineChars="800"/>
                    <w:rPr>
                      <w:rFonts w:hint="eastAsia"/>
                      <w:b/>
                      <w:bCs/>
                      <w:sz w:val="21"/>
                      <w:szCs w:val="21"/>
                      <w:vertAlign w:val="baseline"/>
                      <w:lang w:val="en-US" w:eastAsia="zh-CN"/>
                    </w:rPr>
                  </w:pPr>
                  <w:r>
                    <w:rPr>
                      <w:rFonts w:hint="eastAsia"/>
                      <w:b/>
                      <w:bCs/>
                      <w:sz w:val="21"/>
                      <w:szCs w:val="21"/>
                      <w:vertAlign w:val="baseline"/>
                      <w:lang w:val="en-US" w:eastAsia="zh-CN"/>
                    </w:rPr>
                    <w:t>企业名称：</w:t>
                  </w:r>
                  <w:r>
                    <w:rPr>
                      <w:rFonts w:hint="eastAsia" w:ascii="Times New Roman" w:hAnsi="Times New Roman" w:eastAsia="宋体" w:cs="Times New Roman"/>
                      <w:b/>
                      <w:bCs/>
                      <w:kern w:val="2"/>
                      <w:sz w:val="21"/>
                      <w:szCs w:val="21"/>
                      <w:lang w:val="en-US" w:eastAsia="zh-CN" w:bidi="ar-SA"/>
                    </w:rPr>
                    <w:t>湖南海利常德农药化工有限公司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企业所属建设项目名称</w:t>
                  </w:r>
                </w:p>
              </w:tc>
              <w:tc>
                <w:tcPr>
                  <w:tcW w:w="268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环评批复的产品及产能</w:t>
                  </w:r>
                </w:p>
              </w:tc>
              <w:tc>
                <w:tcPr>
                  <w:tcW w:w="163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建设及目前运行情况</w:t>
                  </w:r>
                </w:p>
              </w:tc>
              <w:tc>
                <w:tcPr>
                  <w:tcW w:w="103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环评批复文件号</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环保验收文件号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sz w:val="21"/>
                      <w:szCs w:val="21"/>
                      <w:lang w:val="en-US" w:eastAsia="zh-CN"/>
                    </w:rPr>
                    <w:t>1万吨/年40%乐果浮油生产线技改工程</w:t>
                  </w:r>
                </w:p>
              </w:tc>
              <w:tc>
                <w:tcPr>
                  <w:tcW w:w="268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vertAlign w:val="baseline"/>
                      <w:lang w:val="en-US" w:eastAsia="zh-CN"/>
                    </w:rPr>
                  </w:pPr>
                  <w:r>
                    <w:rPr>
                      <w:rFonts w:hint="eastAsia"/>
                      <w:sz w:val="21"/>
                      <w:szCs w:val="21"/>
                      <w:lang w:val="en-US" w:eastAsia="zh-CN"/>
                    </w:rPr>
                    <w:t>乐果，</w:t>
                  </w:r>
                  <w:r>
                    <w:rPr>
                      <w:rFonts w:hint="eastAsia"/>
                      <w:b w:val="0"/>
                      <w:bCs w:val="0"/>
                      <w:sz w:val="21"/>
                      <w:szCs w:val="21"/>
                      <w:vertAlign w:val="baseline"/>
                      <w:lang w:val="en-US" w:eastAsia="zh-CN"/>
                    </w:rPr>
                    <w:t>10000</w:t>
                  </w:r>
                  <w:r>
                    <w:rPr>
                      <w:rFonts w:hint="eastAsia"/>
                      <w:sz w:val="21"/>
                      <w:szCs w:val="21"/>
                      <w:lang w:val="en-US" w:eastAsia="zh-CN"/>
                    </w:rPr>
                    <w:t>t/a</w:t>
                  </w:r>
                </w:p>
              </w:tc>
              <w:tc>
                <w:tcPr>
                  <w:tcW w:w="1638"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1956年建成，2008年完成技改，目前已停产，生产装置已拆除。</w:t>
                  </w:r>
                </w:p>
              </w:tc>
              <w:tc>
                <w:tcPr>
                  <w:tcW w:w="1039"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湘环评[2008]112号</w:t>
                  </w:r>
                </w:p>
              </w:tc>
              <w:tc>
                <w:tcPr>
                  <w:tcW w:w="911"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湘环评验[2013]41号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年产7000</w:t>
                  </w:r>
                  <w:r>
                    <w:rPr>
                      <w:rFonts w:hint="eastAsia"/>
                      <w:sz w:val="21"/>
                      <w:szCs w:val="21"/>
                      <w:lang w:val="en-US" w:eastAsia="zh-CN"/>
                    </w:rPr>
                    <w:t>t/a杀虫双生产线</w:t>
                  </w:r>
                </w:p>
              </w:tc>
              <w:tc>
                <w:tcPr>
                  <w:tcW w:w="268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sz w:val="21"/>
                      <w:szCs w:val="21"/>
                      <w:lang w:val="en-US" w:eastAsia="zh-CN"/>
                    </w:rPr>
                    <w:t>杀虫双,</w:t>
                  </w:r>
                  <w:r>
                    <w:rPr>
                      <w:rFonts w:hint="eastAsia"/>
                      <w:b w:val="0"/>
                      <w:bCs w:val="0"/>
                      <w:sz w:val="21"/>
                      <w:szCs w:val="21"/>
                      <w:vertAlign w:val="baseline"/>
                      <w:lang w:val="en-US" w:eastAsia="zh-CN"/>
                    </w:rPr>
                    <w:t>7000</w:t>
                  </w:r>
                  <w:r>
                    <w:rPr>
                      <w:rFonts w:hint="eastAsia"/>
                      <w:sz w:val="21"/>
                      <w:szCs w:val="21"/>
                      <w:lang w:val="en-US" w:eastAsia="zh-CN"/>
                    </w:rPr>
                    <w:t>t/a</w:t>
                  </w:r>
                </w:p>
              </w:tc>
              <w:tc>
                <w:tcPr>
                  <w:tcW w:w="1638"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1956年建成，目前已停产，生产装置已拆除。</w:t>
                  </w:r>
                </w:p>
              </w:tc>
              <w:tc>
                <w:tcPr>
                  <w:tcW w:w="10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vertAlign w:val="baseline"/>
                      <w:lang w:val="en-US" w:eastAsia="zh-CN"/>
                    </w:rPr>
                  </w:pPr>
                  <w:r>
                    <w:rPr>
                      <w:rFonts w:hint="eastAsia"/>
                      <w:sz w:val="21"/>
                      <w:szCs w:val="21"/>
                      <w:lang w:val="en-US" w:eastAsia="zh-CN"/>
                    </w:rPr>
                    <w:t>1000t/a</w:t>
                  </w:r>
                  <w:r>
                    <w:rPr>
                      <w:rFonts w:hint="eastAsia"/>
                      <w:sz w:val="21"/>
                      <w:szCs w:val="21"/>
                      <w:lang w:eastAsia="zh-CN"/>
                    </w:rPr>
                    <w:t>甲基嘧啶磷原油生产线</w:t>
                  </w:r>
                </w:p>
              </w:tc>
              <w:tc>
                <w:tcPr>
                  <w:tcW w:w="268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vertAlign w:val="baseline"/>
                      <w:lang w:val="en-US" w:eastAsia="zh-CN"/>
                    </w:rPr>
                  </w:pPr>
                  <w:r>
                    <w:rPr>
                      <w:rFonts w:hint="eastAsia"/>
                      <w:sz w:val="21"/>
                      <w:szCs w:val="21"/>
                      <w:lang w:eastAsia="zh-CN"/>
                    </w:rPr>
                    <w:t>甲基嘧啶磷，</w:t>
                  </w:r>
                  <w:r>
                    <w:rPr>
                      <w:rFonts w:hint="eastAsia"/>
                      <w:sz w:val="21"/>
                      <w:szCs w:val="21"/>
                      <w:lang w:val="en-US" w:eastAsia="zh-CN"/>
                    </w:rPr>
                    <w:t>1000t/a</w:t>
                  </w:r>
                </w:p>
              </w:tc>
              <w:tc>
                <w:tcPr>
                  <w:tcW w:w="1638"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2002年9月建成，目前正常运行</w:t>
                  </w:r>
                </w:p>
              </w:tc>
              <w:tc>
                <w:tcPr>
                  <w:tcW w:w="103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湘环评[2001]82号</w:t>
                  </w:r>
                </w:p>
              </w:tc>
              <w:tc>
                <w:tcPr>
                  <w:tcW w:w="911"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湘环评验[2007]61号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50</w:t>
                  </w:r>
                  <w:r>
                    <w:rPr>
                      <w:rFonts w:hint="eastAsia"/>
                      <w:sz w:val="21"/>
                      <w:szCs w:val="21"/>
                      <w:lang w:val="en-US" w:eastAsia="zh-CN"/>
                    </w:rPr>
                    <w:t>t/a甲硫嘧磺隆生产线</w:t>
                  </w:r>
                </w:p>
              </w:tc>
              <w:tc>
                <w:tcPr>
                  <w:tcW w:w="268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vertAlign w:val="baseline"/>
                      <w:lang w:val="en-US" w:eastAsia="zh-CN"/>
                    </w:rPr>
                  </w:pPr>
                  <w:r>
                    <w:rPr>
                      <w:rFonts w:hint="eastAsia"/>
                      <w:sz w:val="21"/>
                      <w:szCs w:val="21"/>
                      <w:lang w:val="en-US" w:eastAsia="zh-CN"/>
                    </w:rPr>
                    <w:t>甲硫嘧磺隆，</w:t>
                  </w:r>
                  <w:r>
                    <w:rPr>
                      <w:rFonts w:hint="eastAsia"/>
                      <w:b w:val="0"/>
                      <w:bCs w:val="0"/>
                      <w:sz w:val="21"/>
                      <w:szCs w:val="21"/>
                      <w:vertAlign w:val="baseline"/>
                      <w:lang w:val="en-US" w:eastAsia="zh-CN"/>
                    </w:rPr>
                    <w:t>50</w:t>
                  </w:r>
                  <w:r>
                    <w:rPr>
                      <w:rFonts w:hint="eastAsia"/>
                      <w:sz w:val="21"/>
                      <w:szCs w:val="21"/>
                      <w:lang w:val="en-US" w:eastAsia="zh-CN"/>
                    </w:rPr>
                    <w:t>t/a</w:t>
                  </w:r>
                </w:p>
              </w:tc>
              <w:tc>
                <w:tcPr>
                  <w:tcW w:w="163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未建</w:t>
                  </w:r>
                </w:p>
              </w:tc>
              <w:tc>
                <w:tcPr>
                  <w:tcW w:w="1039"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湘环评[2009]28号</w:t>
                  </w:r>
                </w:p>
              </w:tc>
              <w:tc>
                <w:tcPr>
                  <w:tcW w:w="91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万吨级氨基甲酸脂类农药生产线</w:t>
                  </w:r>
                </w:p>
              </w:tc>
              <w:tc>
                <w:tcPr>
                  <w:tcW w:w="268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残杀威，1000t/a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仲丁威，5000t/a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异丙威，3000t/a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好安威，2500t/a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丙硫克百威，1500t/a</w:t>
                  </w:r>
                </w:p>
              </w:tc>
              <w:tc>
                <w:tcPr>
                  <w:tcW w:w="163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lang w:val="en-US" w:eastAsia="zh-CN"/>
                    </w:rPr>
                  </w:pPr>
                  <w:r>
                    <w:rPr>
                      <w:rFonts w:hint="eastAsia"/>
                      <w:sz w:val="21"/>
                      <w:szCs w:val="21"/>
                      <w:lang w:val="en-US" w:eastAsia="zh-CN"/>
                    </w:rPr>
                    <w:t>2011年8月建成，</w:t>
                  </w:r>
                  <w:r>
                    <w:rPr>
                      <w:rFonts w:hint="eastAsia"/>
                      <w:b w:val="0"/>
                      <w:bCs w:val="0"/>
                      <w:sz w:val="21"/>
                      <w:szCs w:val="21"/>
                      <w:vertAlign w:val="baseline"/>
                      <w:lang w:val="en-US" w:eastAsia="zh-CN"/>
                    </w:rPr>
                    <w:t>目前正常运行</w:t>
                  </w:r>
                </w:p>
              </w:tc>
              <w:tc>
                <w:tcPr>
                  <w:tcW w:w="103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sz w:val="21"/>
                      <w:szCs w:val="21"/>
                      <w:lang w:val="en-US" w:eastAsia="zh-CN"/>
                    </w:rPr>
                  </w:pPr>
                  <w:r>
                    <w:rPr>
                      <w:rFonts w:hint="eastAsia"/>
                      <w:b w:val="0"/>
                      <w:bCs w:val="0"/>
                      <w:sz w:val="21"/>
                      <w:szCs w:val="21"/>
                      <w:vertAlign w:val="baseline"/>
                      <w:lang w:val="en-US" w:eastAsia="zh-CN"/>
                    </w:rPr>
                    <w:t>湘环评[2009]55号</w:t>
                  </w:r>
                </w:p>
              </w:tc>
              <w:tc>
                <w:tcPr>
                  <w:tcW w:w="911"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sz w:val="21"/>
                      <w:szCs w:val="21"/>
                      <w:lang w:val="en-US" w:eastAsia="zh-CN"/>
                    </w:rPr>
                  </w:pPr>
                  <w:r>
                    <w:rPr>
                      <w:rFonts w:hint="eastAsia"/>
                      <w:b w:val="0"/>
                      <w:bCs w:val="0"/>
                      <w:sz w:val="21"/>
                      <w:szCs w:val="21"/>
                      <w:vertAlign w:val="baseline"/>
                      <w:lang w:val="en-US" w:eastAsia="zh-CN"/>
                    </w:rPr>
                    <w:t>湘环评验[2013]13号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年产300t抗蚜威生产线</w:t>
                  </w:r>
                </w:p>
              </w:tc>
              <w:tc>
                <w:tcPr>
                  <w:tcW w:w="268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sz w:val="21"/>
                      <w:szCs w:val="21"/>
                      <w:lang w:val="en-US" w:eastAsia="zh-CN"/>
                    </w:rPr>
                    <w:t>抗蚜威，</w:t>
                  </w:r>
                  <w:r>
                    <w:rPr>
                      <w:rFonts w:hint="default"/>
                      <w:sz w:val="21"/>
                      <w:szCs w:val="21"/>
                      <w:lang w:val="en-US" w:eastAsia="zh-CN"/>
                    </w:rPr>
                    <w:t>300t/a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163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lang w:val="en-US" w:eastAsia="zh-CN"/>
                    </w:rPr>
                  </w:pPr>
                  <w:r>
                    <w:rPr>
                      <w:rFonts w:hint="eastAsia"/>
                      <w:sz w:val="21"/>
                      <w:szCs w:val="21"/>
                      <w:lang w:val="en-US" w:eastAsia="zh-CN"/>
                    </w:rPr>
                    <w:t>2013年9月建成，目前运行正常</w:t>
                  </w:r>
                </w:p>
              </w:tc>
              <w:tc>
                <w:tcPr>
                  <w:tcW w:w="103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sz w:val="21"/>
                      <w:szCs w:val="21"/>
                      <w:lang w:val="en-US" w:eastAsia="zh-CN"/>
                    </w:rPr>
                  </w:pPr>
                  <w:r>
                    <w:rPr>
                      <w:rFonts w:hint="eastAsia"/>
                      <w:b w:val="0"/>
                      <w:bCs w:val="0"/>
                      <w:sz w:val="21"/>
                      <w:szCs w:val="21"/>
                      <w:vertAlign w:val="baseline"/>
                      <w:lang w:val="en-US" w:eastAsia="zh-CN"/>
                    </w:rPr>
                    <w:t>湘环评[2012]229号</w:t>
                  </w:r>
                </w:p>
              </w:tc>
              <w:tc>
                <w:tcPr>
                  <w:tcW w:w="911"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sz w:val="21"/>
                      <w:szCs w:val="21"/>
                      <w:lang w:val="en-US" w:eastAsia="zh-CN"/>
                    </w:rPr>
                  </w:pPr>
                  <w:r>
                    <w:rPr>
                      <w:rFonts w:hint="eastAsia"/>
                      <w:b w:val="0"/>
                      <w:bCs w:val="0"/>
                      <w:sz w:val="21"/>
                      <w:szCs w:val="21"/>
                      <w:vertAlign w:val="baseline"/>
                      <w:lang w:val="en-US" w:eastAsia="zh-CN"/>
                    </w:rPr>
                    <w:t>湘环评验[2014]40号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杂环农药及其中间体产业化基地</w:t>
                  </w:r>
                </w:p>
              </w:tc>
              <w:tc>
                <w:tcPr>
                  <w:tcW w:w="268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硫双灭多威4000t/a，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噻唑2000t/a，噻虫嗪800t/a，噻虫胺1200t/a，邻羟基苯甲腈1000t/a</w:t>
                  </w:r>
                </w:p>
              </w:tc>
              <w:tc>
                <w:tcPr>
                  <w:tcW w:w="163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仅硫双灭多威、邻羟基苯甲腈生产线于2018年建成，目前正常运行</w:t>
                  </w:r>
                </w:p>
              </w:tc>
              <w:tc>
                <w:tcPr>
                  <w:tcW w:w="103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湘环评[2014]148号</w:t>
                  </w:r>
                </w:p>
              </w:tc>
              <w:tc>
                <w:tcPr>
                  <w:tcW w:w="911"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湘环评验[2019]1号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新材料（中试）多功能生产装置</w:t>
                  </w:r>
                </w:p>
              </w:tc>
              <w:tc>
                <w:tcPr>
                  <w:tcW w:w="268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邻异丙氧基酚1000t/a，间苯二甲酰氯2000t/a，二甘醇双碳酸烯丙酯5000t/a，聚碳酸酯500t/a，氨基酸保护剂，500t/a</w:t>
                  </w:r>
                </w:p>
              </w:tc>
              <w:tc>
                <w:tcPr>
                  <w:tcW w:w="163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lang w:val="en-US" w:eastAsia="zh-CN"/>
                    </w:rPr>
                  </w:pPr>
                  <w:r>
                    <w:rPr>
                      <w:rFonts w:hint="eastAsia"/>
                      <w:sz w:val="21"/>
                      <w:szCs w:val="21"/>
                      <w:lang w:val="en-US" w:eastAsia="zh-CN"/>
                    </w:rPr>
                    <w:t>仅邻异丙氧基酚生产线于2018年建成，目前正常运行</w:t>
                  </w:r>
                </w:p>
              </w:tc>
              <w:tc>
                <w:tcPr>
                  <w:tcW w:w="1039"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b w:val="0"/>
                      <w:bCs w:val="0"/>
                      <w:sz w:val="21"/>
                      <w:szCs w:val="21"/>
                      <w:vertAlign w:val="baseline"/>
                      <w:lang w:val="en-US" w:eastAsia="zh-CN"/>
                    </w:rPr>
                  </w:pPr>
                  <w:r>
                    <w:rPr>
                      <w:rFonts w:hint="eastAsia" w:ascii="宋体" w:hAnsi="宋体" w:eastAsia="宋体" w:cs="宋体"/>
                      <w:color w:val="000000"/>
                      <w:kern w:val="0"/>
                      <w:sz w:val="22"/>
                      <w:szCs w:val="22"/>
                      <w:lang w:val="en-US" w:eastAsia="zh-CN" w:bidi="ar"/>
                    </w:rPr>
                    <w:t>湘环评</w:t>
                  </w:r>
                  <w:r>
                    <w:rPr>
                      <w:rFonts w:hint="eastAsia" w:ascii="宋体" w:hAnsi="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2015</w:t>
                  </w:r>
                  <w:r>
                    <w:rPr>
                      <w:rFonts w:hint="eastAsia" w:cs="Times New Roman"/>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4</w:t>
                  </w:r>
                  <w:r>
                    <w:rPr>
                      <w:rFonts w:hint="eastAsia" w:cs="Times New Roman"/>
                      <w:color w:val="000000"/>
                      <w:kern w:val="0"/>
                      <w:sz w:val="22"/>
                      <w:szCs w:val="22"/>
                      <w:lang w:val="en-US" w:eastAsia="zh-CN" w:bidi="ar"/>
                    </w:rPr>
                    <w:t>3</w:t>
                  </w:r>
                  <w:r>
                    <w:rPr>
                      <w:rFonts w:hint="eastAsia" w:ascii="宋体" w:hAnsi="宋体" w:eastAsia="宋体" w:cs="宋体"/>
                      <w:color w:val="000000"/>
                      <w:kern w:val="0"/>
                      <w:sz w:val="22"/>
                      <w:szCs w:val="22"/>
                      <w:lang w:val="en-US" w:eastAsia="zh-CN" w:bidi="ar"/>
                    </w:rPr>
                    <w:t xml:space="preserve">号 </w:t>
                  </w:r>
                </w:p>
              </w:tc>
              <w:tc>
                <w:tcPr>
                  <w:tcW w:w="911"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湘环评验[</w:t>
                  </w:r>
                  <w:r>
                    <w:rPr>
                      <w:rFonts w:hint="default"/>
                      <w:b w:val="0"/>
                      <w:bCs w:val="0"/>
                      <w:sz w:val="21"/>
                      <w:szCs w:val="21"/>
                      <w:vertAlign w:val="baseline"/>
                      <w:lang w:val="en-US" w:eastAsia="zh-CN"/>
                    </w:rPr>
                    <w:t>2019</w:t>
                  </w:r>
                  <w:r>
                    <w:rPr>
                      <w:rFonts w:hint="eastAsia"/>
                      <w:b w:val="0"/>
                      <w:bCs w:val="0"/>
                      <w:sz w:val="21"/>
                      <w:szCs w:val="21"/>
                      <w:vertAlign w:val="baseline"/>
                      <w:lang w:val="en-US" w:eastAsia="zh-CN"/>
                    </w:rPr>
                    <w:t xml:space="preserve">] </w:t>
                  </w:r>
                  <w:r>
                    <w:rPr>
                      <w:rFonts w:hint="default"/>
                      <w:b w:val="0"/>
                      <w:bCs w:val="0"/>
                      <w:sz w:val="21"/>
                      <w:szCs w:val="21"/>
                      <w:vertAlign w:val="baseline"/>
                      <w:lang w:val="en-US" w:eastAsia="zh-CN"/>
                    </w:rPr>
                    <w:t>2</w:t>
                  </w:r>
                  <w:r>
                    <w:rPr>
                      <w:rFonts w:hint="eastAsia"/>
                      <w:b w:val="0"/>
                      <w:bCs w:val="0"/>
                      <w:sz w:val="21"/>
                      <w:szCs w:val="21"/>
                      <w:vertAlign w:val="baseline"/>
                      <w:lang w:val="en-US" w:eastAsia="zh-CN"/>
                    </w:rPr>
                    <w:t>号</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环境友好型农药生产装置建设项目</w:t>
                  </w:r>
                </w:p>
              </w:tc>
              <w:tc>
                <w:tcPr>
                  <w:tcW w:w="268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噁虫威200 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吡唑醚菌酯500 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丁硫克百威2000 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氯溴虫腈100 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呋虫胺1000 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甲基氯化物500 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吡唑醚菌酯悬浮剂500t/a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嘧菌酯悬浮剂300 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呋虫胺悬浮剂300 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螺虫乙酯悬浮剂400t/a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呋虫胺水分散粒剂200t/a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硫双威可湿性粉剂400t/a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噁虫威可湿性粉剂100t/a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丙硫克百威颗粒剂4000 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丁硫克百威颗粒剂1000t/a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盐酸，530.37t/a</w:t>
                  </w:r>
                </w:p>
              </w:tc>
              <w:tc>
                <w:tcPr>
                  <w:tcW w:w="163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lang w:val="en-US" w:eastAsia="zh-CN"/>
                    </w:rPr>
                  </w:pPr>
                  <w:r>
                    <w:rPr>
                      <w:rFonts w:hint="eastAsia"/>
                      <w:b w:val="0"/>
                      <w:bCs w:val="0"/>
                      <w:sz w:val="21"/>
                      <w:szCs w:val="21"/>
                      <w:vertAlign w:val="baseline"/>
                      <w:lang w:val="en-US" w:eastAsia="zh-CN"/>
                    </w:rPr>
                    <w:t>未建设</w:t>
                  </w:r>
                </w:p>
              </w:tc>
              <w:tc>
                <w:tcPr>
                  <w:tcW w:w="103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湘环评[2016</w:t>
                  </w:r>
                  <w:r>
                    <w:rPr>
                      <w:rFonts w:hint="eastAsia" w:cs="Times New Roman"/>
                      <w:color w:val="000000"/>
                      <w:kern w:val="0"/>
                      <w:sz w:val="22"/>
                      <w:szCs w:val="22"/>
                      <w:lang w:val="en-US" w:eastAsia="zh-CN" w:bidi="ar"/>
                    </w:rPr>
                    <w:t>]</w:t>
                  </w:r>
                  <w:r>
                    <w:rPr>
                      <w:rFonts w:hint="eastAsia"/>
                      <w:b w:val="0"/>
                      <w:bCs w:val="0"/>
                      <w:sz w:val="21"/>
                      <w:szCs w:val="21"/>
                      <w:vertAlign w:val="baseline"/>
                      <w:lang w:val="en-US" w:eastAsia="zh-CN"/>
                    </w:rPr>
                    <w:t>48号</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5 万吨/年新型超高效铁基复合型水处理项目</w:t>
                  </w:r>
                </w:p>
              </w:tc>
              <w:tc>
                <w:tcPr>
                  <w:tcW w:w="268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水处理剂，50000t/a</w:t>
                  </w:r>
                </w:p>
              </w:tc>
              <w:tc>
                <w:tcPr>
                  <w:tcW w:w="163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于2018年建成，目前正常运行</w:t>
                  </w:r>
                </w:p>
              </w:tc>
              <w:tc>
                <w:tcPr>
                  <w:tcW w:w="103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经环建[2017</w:t>
                  </w:r>
                  <w:r>
                    <w:rPr>
                      <w:rFonts w:hint="eastAsia" w:cs="Times New Roman"/>
                      <w:color w:val="000000"/>
                      <w:kern w:val="0"/>
                      <w:sz w:val="22"/>
                      <w:szCs w:val="22"/>
                      <w:lang w:val="en-US" w:eastAsia="zh-CN" w:bidi="ar"/>
                    </w:rPr>
                    <w:t>]</w:t>
                  </w:r>
                  <w:r>
                    <w:rPr>
                      <w:rFonts w:hint="eastAsia"/>
                      <w:b w:val="0"/>
                      <w:bCs w:val="0"/>
                      <w:sz w:val="21"/>
                      <w:szCs w:val="21"/>
                      <w:vertAlign w:val="baseline"/>
                      <w:lang w:val="en-US" w:eastAsia="zh-CN"/>
                    </w:rPr>
                    <w:t>35 号</w:t>
                  </w:r>
                </w:p>
              </w:tc>
              <w:tc>
                <w:tcPr>
                  <w:tcW w:w="911"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已自主验收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2000t/a 甲基嘧啶磷生产装置项目</w:t>
                  </w:r>
                </w:p>
              </w:tc>
              <w:tc>
                <w:tcPr>
                  <w:tcW w:w="2688" w:type="dxa"/>
                  <w:vAlign w:val="center"/>
                </w:tcPr>
                <w:p>
                  <w:pPr>
                    <w:keepNext w:val="0"/>
                    <w:keepLines w:val="0"/>
                    <w:widowControl/>
                    <w:suppressLineNumbers w:val="0"/>
                    <w:ind w:left="0" w:leftChars="0" w:firstLine="0" w:firstLineChars="0"/>
                    <w:jc w:val="left"/>
                  </w:pPr>
                  <w:r>
                    <w:rPr>
                      <w:rFonts w:hint="eastAsia" w:ascii="宋体" w:hAnsi="宋体" w:eastAsia="宋体" w:cs="宋体"/>
                      <w:color w:val="000000"/>
                      <w:kern w:val="0"/>
                      <w:sz w:val="22"/>
                      <w:szCs w:val="22"/>
                      <w:lang w:val="en-US" w:eastAsia="zh-CN" w:bidi="ar"/>
                    </w:rPr>
                    <w:t>甲基嘧啶磷，</w:t>
                  </w:r>
                  <w:r>
                    <w:rPr>
                      <w:rFonts w:hint="default" w:ascii="Times New Roman" w:hAnsi="Times New Roman" w:eastAsia="宋体" w:cs="Times New Roman"/>
                      <w:color w:val="000000"/>
                      <w:kern w:val="0"/>
                      <w:sz w:val="22"/>
                      <w:szCs w:val="22"/>
                      <w:lang w:val="en-US" w:eastAsia="zh-CN" w:bidi="ar"/>
                    </w:rPr>
                    <w:t>2000t/a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p>
              </w:tc>
              <w:tc>
                <w:tcPr>
                  <w:tcW w:w="16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未建设</w:t>
                  </w:r>
                </w:p>
              </w:tc>
              <w:tc>
                <w:tcPr>
                  <w:tcW w:w="103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经环建[2018</w:t>
                  </w:r>
                  <w:r>
                    <w:rPr>
                      <w:rFonts w:hint="eastAsia" w:cs="Times New Roman"/>
                      <w:color w:val="000000"/>
                      <w:kern w:val="0"/>
                      <w:sz w:val="22"/>
                      <w:szCs w:val="22"/>
                      <w:lang w:val="en-US" w:eastAsia="zh-CN" w:bidi="ar"/>
                    </w:rPr>
                    <w:t>]</w:t>
                  </w:r>
                  <w:r>
                    <w:rPr>
                      <w:rFonts w:hint="eastAsia"/>
                      <w:b w:val="0"/>
                      <w:bCs w:val="0"/>
                      <w:sz w:val="21"/>
                      <w:szCs w:val="21"/>
                      <w:vertAlign w:val="baseline"/>
                      <w:lang w:val="en-US" w:eastAsia="zh-CN"/>
                    </w:rPr>
                    <w:t>7 号</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r>
          </w:tbl>
          <w:p>
            <w:pPr>
              <w:spacing w:line="276" w:lineRule="auto"/>
              <w:ind w:firstLine="420"/>
              <w:rPr>
                <w:rFonts w:hint="eastAsia"/>
                <w:sz w:val="21"/>
                <w:szCs w:val="21"/>
                <w:lang w:val="en-US" w:eastAsia="zh-CN"/>
              </w:rPr>
            </w:pPr>
            <w:r>
              <w:rPr>
                <w:rFonts w:hint="eastAsia"/>
                <w:sz w:val="21"/>
                <w:szCs w:val="21"/>
                <w:lang w:val="en-US" w:eastAsia="zh-CN"/>
              </w:rPr>
              <w:t>（2）排污许可证及执行情况</w:t>
            </w:r>
          </w:p>
          <w:p>
            <w:pPr>
              <w:spacing w:line="276" w:lineRule="auto"/>
              <w:ind w:firstLine="420"/>
              <w:rPr>
                <w:rFonts w:hint="default"/>
                <w:sz w:val="21"/>
                <w:szCs w:val="21"/>
                <w:lang w:val="en-US" w:eastAsia="zh-CN"/>
              </w:rPr>
            </w:pPr>
            <w:r>
              <w:rPr>
                <w:rFonts w:hint="eastAsia"/>
                <w:sz w:val="21"/>
                <w:szCs w:val="21"/>
                <w:lang w:val="en-US" w:eastAsia="zh-CN"/>
              </w:rPr>
              <w:t>湖南海利常德农药化工有限公司所属行业类别为化学农药制药、环境污染水处理专用药剂材料制造、无机酸制造。企业最新申领排污许可证时间为2024年3月27日，排污许可证编号为：914307007225592012001P。公司运营过程中已严格按照片排污许可证的规定的点位、项目、频次、方法等要求，委托湖南德环监测中心定期开展企业自行监测工作，并在信息平台上及时公开；按照排污许可证规定的执行报告内容、频次和时间要求，在全国排污许可证管理信息平台上填报、提交排污许可证执行报告。</w:t>
            </w:r>
          </w:p>
          <w:p>
            <w:pPr>
              <w:spacing w:line="276" w:lineRule="auto"/>
              <w:ind w:firstLine="420"/>
              <w:rPr>
                <w:rFonts w:hint="eastAsia"/>
                <w:sz w:val="21"/>
                <w:szCs w:val="21"/>
                <w:lang w:val="en-US" w:eastAsia="zh-CN"/>
              </w:rPr>
            </w:pPr>
            <w:r>
              <w:rPr>
                <w:rFonts w:hint="eastAsia"/>
                <w:sz w:val="21"/>
                <w:szCs w:val="21"/>
                <w:lang w:val="en-US" w:eastAsia="zh-CN"/>
              </w:rPr>
              <w:t>（3）清洁生产审核工作开展情况</w:t>
            </w:r>
          </w:p>
          <w:p>
            <w:pPr>
              <w:spacing w:line="276" w:lineRule="auto"/>
              <w:ind w:firstLine="420"/>
              <w:rPr>
                <w:rFonts w:hint="eastAsia"/>
                <w:sz w:val="21"/>
                <w:szCs w:val="21"/>
                <w:lang w:val="en-US" w:eastAsia="zh-CN"/>
              </w:rPr>
            </w:pPr>
            <w:r>
              <w:rPr>
                <w:rFonts w:hint="eastAsia"/>
                <w:sz w:val="21"/>
                <w:szCs w:val="21"/>
                <w:lang w:val="en-US" w:eastAsia="zh-CN"/>
              </w:rPr>
              <w:t>湖南海利常德农药化工有限公司按照《中华人民共和国清洁生产促进法》、《清洁生产审核办法》的要求，着眼于企业的长远发展和规范企业管理，积极组织开展清洁生产审核工作，截止目前，公司共组织开展了五轮清洁生产审核工作。</w:t>
            </w:r>
          </w:p>
          <w:p>
            <w:pPr>
              <w:spacing w:line="276" w:lineRule="auto"/>
              <w:ind w:firstLine="420"/>
              <w:rPr>
                <w:rFonts w:hint="default"/>
                <w:sz w:val="21"/>
                <w:szCs w:val="21"/>
                <w:lang w:val="en-US" w:eastAsia="zh-CN"/>
              </w:rPr>
            </w:pPr>
            <w:r>
              <w:rPr>
                <w:rFonts w:hint="eastAsia"/>
                <w:sz w:val="21"/>
                <w:szCs w:val="21"/>
                <w:lang w:val="en-US" w:eastAsia="zh-CN"/>
              </w:rPr>
              <w:t>2010年7月-</w:t>
            </w:r>
            <w:r>
              <w:rPr>
                <w:rFonts w:hint="default"/>
                <w:sz w:val="21"/>
                <w:szCs w:val="21"/>
                <w:lang w:val="en-US" w:eastAsia="zh-CN"/>
              </w:rPr>
              <w:t>2012年12月31日，</w:t>
            </w:r>
            <w:r>
              <w:rPr>
                <w:rFonts w:hint="eastAsia"/>
                <w:sz w:val="21"/>
                <w:szCs w:val="21"/>
                <w:lang w:val="en-US" w:eastAsia="zh-CN"/>
              </w:rPr>
              <w:t>开展了第一轮清洁生产审核并通过了常德市生态环境局组织的验收；2013 年4月-2015年12月31日，开展了第二轮清洁生产审核并通过了常德市生态环境局组织的验收；2016年7月-2019 年6月26日，开展了第三轮清洁生产审核并通过了常德市生态环境局组织的验收；2021年1月开始开展了第四轮清洁生产审核工作，2023年11月16日，湖南省生态环境厅组织了湖南海利常德农药化工有限公司第四轮清洁生产审核工作验收，通过验收并进行了备案。公司于2024年8月，开展了第五轮清洁生产审核工作，目前正常实施中。</w:t>
            </w:r>
          </w:p>
          <w:p>
            <w:pPr>
              <w:spacing w:line="276" w:lineRule="auto"/>
              <w:ind w:firstLine="420"/>
              <w:rPr>
                <w:rFonts w:hint="eastAsia"/>
                <w:b/>
                <w:bCs/>
                <w:sz w:val="21"/>
                <w:szCs w:val="21"/>
                <w:lang w:val="en-US" w:eastAsia="zh-CN"/>
              </w:rPr>
            </w:pPr>
            <w:r>
              <w:rPr>
                <w:rFonts w:hint="eastAsia"/>
                <w:b/>
                <w:bCs/>
                <w:sz w:val="21"/>
                <w:szCs w:val="21"/>
                <w:lang w:val="en-US" w:eastAsia="zh-CN"/>
              </w:rPr>
              <w:t>2、原项目建设内容及生产工艺</w:t>
            </w:r>
          </w:p>
          <w:p>
            <w:pPr>
              <w:spacing w:line="276" w:lineRule="auto"/>
              <w:ind w:firstLine="420"/>
              <w:rPr>
                <w:rFonts w:hint="eastAsia"/>
                <w:sz w:val="21"/>
                <w:szCs w:val="21"/>
                <w:lang w:val="en-US" w:eastAsia="zh-CN"/>
              </w:rPr>
            </w:pPr>
            <w:r>
              <w:rPr>
                <w:rFonts w:hint="eastAsia"/>
                <w:sz w:val="21"/>
                <w:szCs w:val="21"/>
                <w:lang w:val="en-US" w:eastAsia="zh-CN"/>
              </w:rPr>
              <w:t>原有项目主要建设内容如下表所示：</w:t>
            </w:r>
          </w:p>
          <w:p>
            <w:pPr>
              <w:spacing w:line="276" w:lineRule="auto"/>
              <w:ind w:firstLine="420"/>
              <w:jc w:val="center"/>
              <w:rPr>
                <w:rFonts w:hint="eastAsia"/>
                <w:sz w:val="21"/>
                <w:szCs w:val="21"/>
                <w:lang w:val="en-US" w:eastAsia="zh-CN"/>
              </w:rPr>
            </w:pPr>
            <w:r>
              <w:rPr>
                <w:rFonts w:hint="eastAsia"/>
                <w:b/>
                <w:bCs/>
                <w:sz w:val="21"/>
                <w:szCs w:val="21"/>
                <w:lang w:val="en-US" w:eastAsia="zh-CN"/>
              </w:rPr>
              <w:t>表2-8    原有工程组成一览表</w:t>
            </w:r>
          </w:p>
          <w:tbl>
            <w:tblPr>
              <w:tblStyle w:val="17"/>
              <w:tblW w:w="7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1663"/>
              <w:gridCol w:w="4477"/>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trPr>
              <w:tc>
                <w:tcPr>
                  <w:tcW w:w="417" w:type="pct"/>
                  <w:shd w:val="clear" w:color="auto" w:fill="auto"/>
                  <w:vAlign w:val="center"/>
                </w:tcPr>
                <w:p>
                  <w:pPr>
                    <w:spacing w:line="240" w:lineRule="auto"/>
                    <w:ind w:left="0" w:leftChars="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1077" w:type="pct"/>
                  <w:shd w:val="clear" w:color="auto" w:fill="auto"/>
                  <w:vAlign w:val="center"/>
                </w:tcPr>
                <w:p>
                  <w:pPr>
                    <w:spacing w:line="240" w:lineRule="auto"/>
                    <w:ind w:left="0" w:leftChars="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2899" w:type="pct"/>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内容</w:t>
                  </w:r>
                </w:p>
              </w:tc>
              <w:tc>
                <w:tcPr>
                  <w:tcW w:w="605" w:type="pct"/>
                  <w:shd w:val="clear" w:color="auto" w:fill="auto"/>
                  <w:vAlign w:val="center"/>
                </w:tcPr>
                <w:p>
                  <w:pPr>
                    <w:spacing w:line="240" w:lineRule="auto"/>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7" w:hRule="atLeast"/>
              </w:trPr>
              <w:tc>
                <w:tcPr>
                  <w:tcW w:w="417" w:type="pct"/>
                  <w:vMerge w:val="restart"/>
                  <w:shd w:val="clear" w:color="auto" w:fill="auto"/>
                  <w:vAlign w:val="center"/>
                </w:tcPr>
                <w:p>
                  <w:pPr>
                    <w:spacing w:line="240" w:lineRule="auto"/>
                    <w:ind w:left="0" w:leftChars="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主要生</w:t>
                  </w:r>
                </w:p>
                <w:p>
                  <w:pPr>
                    <w:spacing w:line="240" w:lineRule="auto"/>
                    <w:ind w:left="0" w:leftChars="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产线</w:t>
                  </w:r>
                </w:p>
              </w:tc>
              <w:tc>
                <w:tcPr>
                  <w:tcW w:w="1077" w:type="pct"/>
                  <w:shd w:val="clear" w:color="auto" w:fill="auto"/>
                  <w:vAlign w:val="center"/>
                </w:tcPr>
                <w:p>
                  <w:pPr>
                    <w:spacing w:line="240" w:lineRule="auto"/>
                    <w:ind w:left="0" w:leftChars="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1000t/a甲基嘧啶磷原油生产线</w:t>
                  </w:r>
                </w:p>
              </w:tc>
              <w:tc>
                <w:tcPr>
                  <w:tcW w:w="2899" w:type="pct"/>
                  <w:shd w:val="clear" w:color="auto" w:fill="auto"/>
                  <w:vAlign w:val="center"/>
                </w:tcPr>
                <w:p>
                  <w:pPr>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设计生产规模1000t/a甲基嘧啶磷原油，包括嘧啶磷车间；主要生产工序为硫酸二乙胍合成工序、嘧啶醇合成工序和甲嘧合成工序</w:t>
                  </w:r>
                </w:p>
              </w:tc>
              <w:tc>
                <w:tcPr>
                  <w:tcW w:w="605" w:type="pct"/>
                  <w:shd w:val="clear" w:color="auto" w:fill="auto"/>
                  <w:vAlign w:val="center"/>
                </w:tcPr>
                <w:p>
                  <w:pPr>
                    <w:spacing w:line="24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37" w:hRule="atLeast"/>
              </w:trPr>
              <w:tc>
                <w:tcPr>
                  <w:tcW w:w="417" w:type="pct"/>
                  <w:vMerge w:val="continue"/>
                  <w:shd w:val="clear" w:color="auto" w:fill="auto"/>
                  <w:vAlign w:val="center"/>
                </w:tcPr>
                <w:p>
                  <w:pPr>
                    <w:spacing w:line="240" w:lineRule="auto"/>
                    <w:rPr>
                      <w:rFonts w:hint="default" w:ascii="Times New Roman" w:hAnsi="Times New Roman" w:cs="Times New Roman"/>
                      <w:sz w:val="21"/>
                      <w:szCs w:val="21"/>
                    </w:rPr>
                  </w:pPr>
                </w:p>
              </w:tc>
              <w:tc>
                <w:tcPr>
                  <w:tcW w:w="1077" w:type="pct"/>
                  <w:shd w:val="clear" w:color="auto" w:fill="auto"/>
                  <w:vAlign w:val="center"/>
                </w:tcPr>
                <w:p>
                  <w:pPr>
                    <w:spacing w:line="240" w:lineRule="auto"/>
                    <w:ind w:left="0" w:leftChars="0" w:firstLine="0" w:firstLineChars="0"/>
                    <w:rPr>
                      <w:rFonts w:hint="default" w:ascii="Times New Roman" w:hAnsi="Times New Roman" w:cs="Times New Roman"/>
                      <w:sz w:val="21"/>
                      <w:szCs w:val="21"/>
                    </w:rPr>
                  </w:pPr>
                  <w:r>
                    <w:rPr>
                      <w:rFonts w:hint="default" w:ascii="Times New Roman" w:hAnsi="Times New Roman" w:cs="Times New Roman"/>
                      <w:sz w:val="21"/>
                      <w:szCs w:val="21"/>
                    </w:rPr>
                    <w:t>万吨级氨基甲酸脂类农药生产线</w:t>
                  </w:r>
                </w:p>
              </w:tc>
              <w:tc>
                <w:tcPr>
                  <w:tcW w:w="2899"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设计生产规模1000t/a残杀威、2500t/a异丙威、1500t/a仲丁威、 5000t/a好安威和3000t/a丙硫克百威，包括造气车间、光气车间、异酯车间、原药车间和丁硫车间；主要生产工段为异酯合成工段、 好安威合成工段、丙硫克百威合成工段、仲丁威合成工段、异丙威 合成工段和残杀威合成工段</w:t>
                  </w:r>
                </w:p>
              </w:tc>
              <w:tc>
                <w:tcPr>
                  <w:tcW w:w="605" w:type="pct"/>
                  <w:shd w:val="clear" w:color="auto" w:fill="auto"/>
                  <w:vAlign w:val="center"/>
                </w:tcPr>
                <w:p>
                  <w:pPr>
                    <w:ind w:left="0" w:leftChars="0" w:firstLine="0" w:firstLineChars="0"/>
                    <w:rPr>
                      <w:sz w:val="21"/>
                      <w:szCs w:val="21"/>
                    </w:rPr>
                  </w:pPr>
                  <w:r>
                    <w:rPr>
                      <w:sz w:val="21"/>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3" w:hRule="atLeast"/>
              </w:trPr>
              <w:tc>
                <w:tcPr>
                  <w:tcW w:w="417" w:type="pct"/>
                  <w:vMerge w:val="continue"/>
                  <w:shd w:val="clear" w:color="auto" w:fill="auto"/>
                  <w:vAlign w:val="center"/>
                </w:tcPr>
                <w:p>
                  <w:pPr>
                    <w:spacing w:line="240" w:lineRule="auto"/>
                    <w:rPr>
                      <w:rFonts w:hint="default" w:ascii="Times New Roman" w:hAnsi="Times New Roman" w:cs="Times New Roman"/>
                      <w:sz w:val="21"/>
                      <w:szCs w:val="21"/>
                    </w:rPr>
                  </w:pPr>
                </w:p>
              </w:tc>
              <w:tc>
                <w:tcPr>
                  <w:tcW w:w="1077" w:type="pct"/>
                  <w:shd w:val="clear" w:color="auto" w:fill="auto"/>
                  <w:vAlign w:val="center"/>
                </w:tcPr>
                <w:p>
                  <w:pPr>
                    <w:spacing w:line="240" w:lineRule="auto"/>
                    <w:ind w:left="0" w:leftChars="0" w:firstLine="0" w:firstLineChars="0"/>
                    <w:rPr>
                      <w:rFonts w:hint="default" w:ascii="Times New Roman" w:hAnsi="Times New Roman" w:cs="Times New Roman"/>
                      <w:sz w:val="21"/>
                      <w:szCs w:val="21"/>
                    </w:rPr>
                  </w:pPr>
                  <w:r>
                    <w:rPr>
                      <w:rFonts w:hint="default" w:ascii="Times New Roman" w:hAnsi="Times New Roman" w:cs="Times New Roman"/>
                      <w:sz w:val="21"/>
                      <w:szCs w:val="21"/>
                    </w:rPr>
                    <w:t>年产300t抗蚜威生产线</w:t>
                  </w:r>
                </w:p>
              </w:tc>
              <w:tc>
                <w:tcPr>
                  <w:tcW w:w="2899"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设计生产规模300t/a抗蚜威，包括MMAA和AP车间和抗蚜威车间；主要生产工序为硫酸二甲胍合成工序、MMAA合成工序、甲基嘧啶醇合成工序和抗蚜威合成工序</w:t>
                  </w:r>
                </w:p>
              </w:tc>
              <w:tc>
                <w:tcPr>
                  <w:tcW w:w="605" w:type="pct"/>
                  <w:shd w:val="clear" w:color="auto" w:fill="auto"/>
                  <w:vAlign w:val="center"/>
                </w:tcPr>
                <w:p>
                  <w:pPr>
                    <w:ind w:left="0" w:leftChars="0" w:firstLine="0" w:firstLineChars="0"/>
                    <w:rPr>
                      <w:sz w:val="21"/>
                      <w:szCs w:val="21"/>
                    </w:rPr>
                  </w:pPr>
                  <w:r>
                    <w:rPr>
                      <w:sz w:val="21"/>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5" w:hRule="atLeast"/>
              </w:trPr>
              <w:tc>
                <w:tcPr>
                  <w:tcW w:w="417" w:type="pct"/>
                  <w:vMerge w:val="continue"/>
                  <w:shd w:val="clear" w:color="auto" w:fill="auto"/>
                  <w:vAlign w:val="center"/>
                </w:tcPr>
                <w:p>
                  <w:pPr>
                    <w:spacing w:line="240" w:lineRule="auto"/>
                    <w:rPr>
                      <w:rFonts w:hint="default" w:ascii="Times New Roman" w:hAnsi="Times New Roman" w:cs="Times New Roman"/>
                      <w:sz w:val="21"/>
                      <w:szCs w:val="21"/>
                    </w:rPr>
                  </w:pPr>
                </w:p>
              </w:tc>
              <w:tc>
                <w:tcPr>
                  <w:tcW w:w="1077" w:type="pct"/>
                  <w:shd w:val="clear" w:color="auto" w:fill="auto"/>
                  <w:vAlign w:val="center"/>
                </w:tcPr>
                <w:p>
                  <w:pPr>
                    <w:spacing w:line="240" w:lineRule="auto"/>
                    <w:ind w:left="0" w:leftChars="0" w:firstLine="0" w:firstLineChars="0"/>
                    <w:rPr>
                      <w:rFonts w:hint="default" w:ascii="Times New Roman" w:hAnsi="Times New Roman" w:cs="Times New Roman"/>
                      <w:sz w:val="21"/>
                      <w:szCs w:val="21"/>
                    </w:rPr>
                  </w:pPr>
                  <w:r>
                    <w:rPr>
                      <w:rFonts w:hint="default" w:ascii="Times New Roman" w:hAnsi="Times New Roman" w:cs="Times New Roman"/>
                      <w:sz w:val="21"/>
                      <w:szCs w:val="21"/>
                      <w:lang w:eastAsia="zh-CN"/>
                    </w:rPr>
                    <w:t>杂环农药及其中间体产业化基地</w:t>
                  </w:r>
                </w:p>
              </w:tc>
              <w:tc>
                <w:tcPr>
                  <w:tcW w:w="2899" w:type="pct"/>
                  <w:shd w:val="clear" w:color="auto" w:fill="auto"/>
                  <w:vAlign w:val="center"/>
                </w:tcPr>
                <w:p>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目前仅生产</w:t>
                  </w:r>
                  <w:r>
                    <w:rPr>
                      <w:rFonts w:hint="default" w:ascii="Times New Roman" w:hAnsi="Times New Roman" w:cs="Times New Roman"/>
                      <w:sz w:val="21"/>
                      <w:szCs w:val="21"/>
                    </w:rPr>
                    <w:t>硫双灭多威与邻羟基苯甲腈</w:t>
                  </w:r>
                  <w:r>
                    <w:rPr>
                      <w:rFonts w:hint="default" w:ascii="Times New Roman" w:hAnsi="Times New Roman" w:cs="Times New Roman"/>
                      <w:sz w:val="21"/>
                      <w:szCs w:val="21"/>
                      <w:lang w:eastAsia="zh-CN"/>
                    </w:rPr>
                    <w:t>，生产规模为：</w:t>
                  </w:r>
                  <w:r>
                    <w:rPr>
                      <w:rFonts w:hint="default" w:ascii="Times New Roman" w:hAnsi="Times New Roman" w:cs="Times New Roman"/>
                      <w:sz w:val="21"/>
                      <w:szCs w:val="21"/>
                    </w:rPr>
                    <w:t>4000t/a硫双灭多威，1000t/a邻羟基苯甲腈</w:t>
                  </w:r>
                  <w:r>
                    <w:rPr>
                      <w:rFonts w:hint="default" w:ascii="Times New Roman" w:hAnsi="Times New Roman" w:cs="Times New Roman"/>
                      <w:sz w:val="21"/>
                      <w:szCs w:val="21"/>
                      <w:lang w:eastAsia="zh-CN"/>
                    </w:rPr>
                    <w:t>。</w:t>
                  </w:r>
                  <w:r>
                    <w:rPr>
                      <w:rFonts w:hint="default" w:ascii="Times New Roman" w:hAnsi="Times New Roman" w:cs="Times New Roman"/>
                      <w:sz w:val="21"/>
                      <w:szCs w:val="21"/>
                    </w:rPr>
                    <w:t>硫双灭多威生产工艺流程分四个工段：二氯化硫合成工段，硫双灭多威合成工段，溶剂回收，尾气处理工段</w:t>
                  </w:r>
                  <w:r>
                    <w:rPr>
                      <w:rFonts w:hint="default" w:ascii="Times New Roman" w:hAnsi="Times New Roman" w:cs="Times New Roman"/>
                      <w:sz w:val="21"/>
                      <w:szCs w:val="21"/>
                      <w:lang w:eastAsia="zh-CN"/>
                    </w:rPr>
                    <w:t>；邻羟基苯甲腈工艺分为配料、合成、脱溶、蒸馏、包装及尾气处理几个工序</w:t>
                  </w:r>
                </w:p>
              </w:tc>
              <w:tc>
                <w:tcPr>
                  <w:tcW w:w="605" w:type="pct"/>
                  <w:shd w:val="clear" w:color="auto" w:fill="auto"/>
                  <w:vAlign w:val="center"/>
                </w:tcPr>
                <w:p>
                  <w:pPr>
                    <w:ind w:left="0" w:leftChars="0" w:firstLine="0" w:firstLineChars="0"/>
                    <w:rPr>
                      <w:sz w:val="21"/>
                      <w:szCs w:val="21"/>
                    </w:rPr>
                  </w:pPr>
                  <w:r>
                    <w:rPr>
                      <w:sz w:val="21"/>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9" w:hRule="atLeast"/>
              </w:trPr>
              <w:tc>
                <w:tcPr>
                  <w:tcW w:w="417" w:type="pct"/>
                  <w:vMerge w:val="continue"/>
                  <w:shd w:val="clear" w:color="auto" w:fill="auto"/>
                  <w:vAlign w:val="center"/>
                </w:tcPr>
                <w:p>
                  <w:pPr>
                    <w:spacing w:line="240" w:lineRule="auto"/>
                    <w:rPr>
                      <w:rFonts w:hint="default" w:ascii="Times New Roman" w:hAnsi="Times New Roman" w:cs="Times New Roman"/>
                      <w:sz w:val="21"/>
                      <w:szCs w:val="21"/>
                    </w:rPr>
                  </w:pPr>
                </w:p>
              </w:tc>
              <w:tc>
                <w:tcPr>
                  <w:tcW w:w="1077" w:type="pct"/>
                  <w:shd w:val="clear" w:color="auto" w:fill="auto"/>
                  <w:vAlign w:val="center"/>
                </w:tcPr>
                <w:p>
                  <w:pPr>
                    <w:spacing w:line="240" w:lineRule="auto"/>
                    <w:ind w:left="0" w:leftChars="0" w:firstLine="0" w:firstLineChars="0"/>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新材料（中试）多功能生产装置</w:t>
                  </w:r>
                </w:p>
              </w:tc>
              <w:tc>
                <w:tcPr>
                  <w:tcW w:w="2899" w:type="pct"/>
                  <w:shd w:val="clear" w:color="auto" w:fill="auto"/>
                  <w:vAlign w:val="center"/>
                </w:tcPr>
                <w:p>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目前仅生产</w:t>
                  </w:r>
                  <w:r>
                    <w:rPr>
                      <w:rFonts w:hint="default" w:ascii="Times New Roman" w:hAnsi="Times New Roman" w:cs="Times New Roman"/>
                      <w:sz w:val="21"/>
                      <w:szCs w:val="21"/>
                    </w:rPr>
                    <w:t>邻异丙氧基酚</w:t>
                  </w:r>
                  <w:r>
                    <w:rPr>
                      <w:rFonts w:hint="default" w:ascii="Times New Roman" w:hAnsi="Times New Roman" w:cs="Times New Roman"/>
                      <w:sz w:val="21"/>
                      <w:szCs w:val="21"/>
                      <w:lang w:eastAsia="zh-CN"/>
                    </w:rPr>
                    <w:t>，生产规模为</w:t>
                  </w:r>
                  <w:r>
                    <w:rPr>
                      <w:rFonts w:hint="default" w:ascii="Times New Roman" w:hAnsi="Times New Roman" w:cs="Times New Roman"/>
                      <w:sz w:val="21"/>
                      <w:szCs w:val="21"/>
                    </w:rPr>
                    <w:t>1000t/a，</w:t>
                  </w:r>
                  <w:r>
                    <w:rPr>
                      <w:rFonts w:hint="default" w:ascii="Times New Roman" w:hAnsi="Times New Roman" w:cs="Times New Roman"/>
                      <w:sz w:val="21"/>
                      <w:szCs w:val="21"/>
                      <w:lang w:eastAsia="zh-CN"/>
                    </w:rPr>
                    <w:t>包括多功能车间，主要包括</w:t>
                  </w:r>
                  <w:r>
                    <w:rPr>
                      <w:rFonts w:hint="default" w:ascii="Times New Roman" w:hAnsi="Times New Roman" w:cs="Times New Roman"/>
                      <w:sz w:val="21"/>
                      <w:szCs w:val="21"/>
                      <w:lang w:val="en-US" w:eastAsia="zh-CN"/>
                    </w:rPr>
                    <w:t>6个</w:t>
                  </w:r>
                  <w:r>
                    <w:rPr>
                      <w:rFonts w:hint="default" w:ascii="Times New Roman" w:hAnsi="Times New Roman" w:cs="Times New Roman"/>
                      <w:sz w:val="21"/>
                      <w:szCs w:val="21"/>
                      <w:lang w:eastAsia="zh-CN"/>
                    </w:rPr>
                    <w:t>工段：2-氯丙烷（合成）工段、烷化（合成）工段、耙干工段、脱溶工段、精馏工段、三废处理</w:t>
                  </w:r>
                </w:p>
              </w:tc>
              <w:tc>
                <w:tcPr>
                  <w:tcW w:w="605" w:type="pct"/>
                  <w:shd w:val="clear" w:color="auto" w:fill="auto"/>
                  <w:vAlign w:val="center"/>
                </w:tcPr>
                <w:p>
                  <w:pPr>
                    <w:ind w:left="0" w:leftChars="0" w:firstLine="0" w:firstLineChars="0"/>
                    <w:rPr>
                      <w:sz w:val="21"/>
                      <w:szCs w:val="21"/>
                    </w:rPr>
                  </w:pPr>
                  <w:r>
                    <w:rPr>
                      <w:sz w:val="21"/>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1" w:hRule="atLeast"/>
              </w:trPr>
              <w:tc>
                <w:tcPr>
                  <w:tcW w:w="417" w:type="pct"/>
                  <w:vMerge w:val="continue"/>
                  <w:shd w:val="clear" w:color="auto" w:fill="auto"/>
                  <w:vAlign w:val="center"/>
                </w:tcPr>
                <w:p>
                  <w:pPr>
                    <w:spacing w:line="240" w:lineRule="auto"/>
                    <w:rPr>
                      <w:rFonts w:hint="default" w:ascii="Times New Roman" w:hAnsi="Times New Roman" w:cs="Times New Roman"/>
                      <w:sz w:val="21"/>
                      <w:szCs w:val="21"/>
                    </w:rPr>
                  </w:pPr>
                </w:p>
              </w:tc>
              <w:tc>
                <w:tcPr>
                  <w:tcW w:w="1077" w:type="pct"/>
                  <w:shd w:val="clear" w:color="auto" w:fill="auto"/>
                  <w:vAlign w:val="center"/>
                </w:tcPr>
                <w:p>
                  <w:pPr>
                    <w:spacing w:line="240" w:lineRule="auto"/>
                    <w:ind w:left="0" w:leftChars="0" w:firstLine="0" w:firstLineChars="0"/>
                    <w:rPr>
                      <w:rFonts w:hint="default" w:ascii="Times New Roman" w:hAnsi="Times New Roman" w:cs="Times New Roman"/>
                      <w:sz w:val="21"/>
                      <w:szCs w:val="21"/>
                      <w:lang w:eastAsia="zh-CN"/>
                    </w:rPr>
                  </w:pPr>
                  <w:r>
                    <w:rPr>
                      <w:rFonts w:hint="default" w:ascii="Times New Roman" w:hAnsi="Times New Roman" w:cs="Times New Roman"/>
                      <w:sz w:val="21"/>
                      <w:szCs w:val="21"/>
                    </w:rPr>
                    <w:t>5万吨/年新型超高效铁基复合型水处理项目</w:t>
                  </w:r>
                </w:p>
              </w:tc>
              <w:tc>
                <w:tcPr>
                  <w:tcW w:w="2899" w:type="pct"/>
                  <w:shd w:val="clear" w:color="auto" w:fill="auto"/>
                  <w:vAlign w:val="center"/>
                </w:tcPr>
                <w:p>
                  <w:pPr>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设计生产</w:t>
                  </w:r>
                  <w:r>
                    <w:rPr>
                      <w:rFonts w:hint="default" w:ascii="Times New Roman" w:hAnsi="Times New Roman" w:cs="Times New Roman"/>
                      <w:sz w:val="21"/>
                      <w:szCs w:val="21"/>
                    </w:rPr>
                    <w:t>50000t/a水处理剂，</w:t>
                  </w:r>
                  <w:r>
                    <w:rPr>
                      <w:rFonts w:hint="default" w:ascii="Times New Roman" w:hAnsi="Times New Roman" w:cs="Times New Roman"/>
                      <w:sz w:val="21"/>
                      <w:szCs w:val="21"/>
                      <w:lang w:eastAsia="zh-CN"/>
                    </w:rPr>
                    <w:t>仅</w:t>
                  </w:r>
                  <w:r>
                    <w:rPr>
                      <w:rFonts w:hint="default" w:ascii="Times New Roman" w:hAnsi="Times New Roman" w:cs="Times New Roman"/>
                      <w:sz w:val="21"/>
                      <w:szCs w:val="21"/>
                      <w:lang w:val="en-US" w:eastAsia="zh-CN"/>
                    </w:rPr>
                    <w:t>1条生产线</w:t>
                  </w:r>
                </w:p>
              </w:tc>
              <w:tc>
                <w:tcPr>
                  <w:tcW w:w="605" w:type="pct"/>
                  <w:shd w:val="clear" w:color="auto" w:fill="auto"/>
                  <w:vAlign w:val="center"/>
                </w:tcPr>
                <w:p>
                  <w:pPr>
                    <w:ind w:left="0" w:leftChars="0" w:firstLine="0" w:firstLineChars="0"/>
                    <w:rPr>
                      <w:sz w:val="21"/>
                      <w:szCs w:val="21"/>
                    </w:rPr>
                  </w:pPr>
                  <w:r>
                    <w:rPr>
                      <w:sz w:val="21"/>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trPr>
              <w:tc>
                <w:tcPr>
                  <w:tcW w:w="417" w:type="pct"/>
                  <w:vMerge w:val="restart"/>
                  <w:shd w:val="clear" w:color="auto" w:fill="auto"/>
                  <w:vAlign w:val="center"/>
                </w:tcPr>
                <w:p>
                  <w:pPr>
                    <w:spacing w:line="240" w:lineRule="auto"/>
                    <w:ind w:left="0" w:leftChars="0" w:firstLine="210" w:firstLineChars="100"/>
                    <w:jc w:val="both"/>
                    <w:rPr>
                      <w:rFonts w:hint="default" w:ascii="Times New Roman" w:hAnsi="Times New Roman" w:cs="Times New Roman"/>
                      <w:sz w:val="21"/>
                      <w:szCs w:val="21"/>
                    </w:rPr>
                  </w:pPr>
                  <w:r>
                    <w:rPr>
                      <w:rFonts w:hint="default" w:ascii="Times New Roman" w:hAnsi="Times New Roman" w:cs="Times New Roman"/>
                      <w:sz w:val="21"/>
                      <w:szCs w:val="21"/>
                    </w:rPr>
                    <w:t>公</w:t>
                  </w:r>
                </w:p>
                <w:p>
                  <w:pPr>
                    <w:spacing w:line="240" w:lineRule="auto"/>
                    <w:ind w:left="0" w:leftChars="0" w:firstLine="210" w:firstLineChars="100"/>
                    <w:jc w:val="both"/>
                    <w:rPr>
                      <w:rFonts w:hint="default" w:ascii="Times New Roman" w:hAnsi="Times New Roman" w:cs="Times New Roman"/>
                      <w:sz w:val="21"/>
                      <w:szCs w:val="21"/>
                    </w:rPr>
                  </w:pPr>
                  <w:r>
                    <w:rPr>
                      <w:rFonts w:hint="default" w:ascii="Times New Roman" w:hAnsi="Times New Roman" w:cs="Times New Roman"/>
                      <w:sz w:val="21"/>
                      <w:szCs w:val="21"/>
                    </w:rPr>
                    <w:t>用</w:t>
                  </w:r>
                </w:p>
                <w:p>
                  <w:pPr>
                    <w:spacing w:line="240" w:lineRule="auto"/>
                    <w:ind w:left="0" w:leftChars="0" w:firstLine="210" w:firstLineChars="100"/>
                    <w:jc w:val="both"/>
                    <w:rPr>
                      <w:rFonts w:hint="default" w:ascii="Times New Roman" w:hAnsi="Times New Roman" w:cs="Times New Roman"/>
                      <w:sz w:val="21"/>
                      <w:szCs w:val="21"/>
                    </w:rPr>
                  </w:pPr>
                  <w:r>
                    <w:rPr>
                      <w:rFonts w:hint="default" w:ascii="Times New Roman" w:hAnsi="Times New Roman" w:cs="Times New Roman"/>
                      <w:sz w:val="21"/>
                      <w:szCs w:val="21"/>
                    </w:rPr>
                    <w:t>工</w:t>
                  </w:r>
                </w:p>
                <w:p>
                  <w:pPr>
                    <w:spacing w:line="240" w:lineRule="auto"/>
                    <w:ind w:left="0" w:leftChars="0" w:firstLine="210" w:firstLineChars="100"/>
                    <w:jc w:val="both"/>
                    <w:rPr>
                      <w:rFonts w:hint="default" w:ascii="Times New Roman" w:hAnsi="Times New Roman" w:cs="Times New Roman"/>
                      <w:sz w:val="21"/>
                      <w:szCs w:val="21"/>
                    </w:rPr>
                  </w:pPr>
                  <w:r>
                    <w:rPr>
                      <w:rFonts w:hint="default" w:ascii="Times New Roman" w:hAnsi="Times New Roman" w:cs="Times New Roman"/>
                      <w:sz w:val="21"/>
                      <w:szCs w:val="21"/>
                    </w:rPr>
                    <w:t>程</w:t>
                  </w:r>
                </w:p>
              </w:tc>
              <w:tc>
                <w:tcPr>
                  <w:tcW w:w="1077"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供电系统</w:t>
                  </w:r>
                </w:p>
              </w:tc>
              <w:tc>
                <w:tcPr>
                  <w:tcW w:w="2899"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采用双回路电源供电，厂区10kv变电所一座，设计总装机容量 6892kW；现有工程设备总装机容量3708kW</w:t>
                  </w:r>
                </w:p>
              </w:tc>
              <w:tc>
                <w:tcPr>
                  <w:tcW w:w="605" w:type="pct"/>
                  <w:shd w:val="clear" w:color="auto" w:fill="auto"/>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5" w:hRule="atLeast"/>
              </w:trPr>
              <w:tc>
                <w:tcPr>
                  <w:tcW w:w="417" w:type="pct"/>
                  <w:vMerge w:val="continue"/>
                  <w:shd w:val="clear" w:color="auto" w:fill="auto"/>
                  <w:vAlign w:val="center"/>
                </w:tcPr>
                <w:p>
                  <w:pPr>
                    <w:spacing w:line="240" w:lineRule="auto"/>
                    <w:rPr>
                      <w:rFonts w:hint="default" w:ascii="Times New Roman" w:hAnsi="Times New Roman" w:cs="Times New Roman"/>
                      <w:sz w:val="21"/>
                      <w:szCs w:val="21"/>
                    </w:rPr>
                  </w:pPr>
                </w:p>
              </w:tc>
              <w:tc>
                <w:tcPr>
                  <w:tcW w:w="1077"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给排水系统</w:t>
                  </w:r>
                </w:p>
              </w:tc>
              <w:tc>
                <w:tcPr>
                  <w:tcW w:w="2899"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供水系统：生活用水由城市供水管网供给，生产用水水源为沅江， 配置水泵房一座，供水能力</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00m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/h；现有工程生产耗水量</w:t>
                  </w:r>
                  <w:r>
                    <w:rPr>
                      <w:rFonts w:hint="default" w:ascii="Times New Roman" w:hAnsi="Times New Roman" w:cs="Times New Roman"/>
                      <w:sz w:val="21"/>
                      <w:szCs w:val="21"/>
                      <w:lang w:val="en-US" w:eastAsia="zh-CN"/>
                    </w:rPr>
                    <w:t>125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/h。排水系统：排水体制采用雨污分流制，厂区建设雨水管网和污水管网，生产废水、生活废水和初期雨水经厂区废水处理站处理后排入德山污水处理厂，雨水通过雨水管网排至园区雨水管网</w:t>
                  </w:r>
                </w:p>
              </w:tc>
              <w:tc>
                <w:tcPr>
                  <w:tcW w:w="605" w:type="pct"/>
                  <w:shd w:val="clear" w:color="auto" w:fill="auto"/>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trPr>
              <w:tc>
                <w:tcPr>
                  <w:tcW w:w="417" w:type="pct"/>
                  <w:vMerge w:val="continue"/>
                  <w:shd w:val="clear" w:color="auto" w:fill="auto"/>
                  <w:vAlign w:val="center"/>
                </w:tcPr>
                <w:p>
                  <w:pPr>
                    <w:spacing w:line="240" w:lineRule="auto"/>
                    <w:rPr>
                      <w:rFonts w:hint="default" w:ascii="Times New Roman" w:hAnsi="Times New Roman" w:cs="Times New Roman"/>
                      <w:sz w:val="21"/>
                      <w:szCs w:val="21"/>
                    </w:rPr>
                  </w:pPr>
                </w:p>
              </w:tc>
              <w:tc>
                <w:tcPr>
                  <w:tcW w:w="1077"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供热系统</w:t>
                  </w:r>
                </w:p>
              </w:tc>
              <w:tc>
                <w:tcPr>
                  <w:tcW w:w="2899"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厂区蒸汽外购自常德电厂，另外，厂区内新建一台30t/h的燃气锅炉作为备用热源</w:t>
                  </w:r>
                </w:p>
              </w:tc>
              <w:tc>
                <w:tcPr>
                  <w:tcW w:w="605" w:type="pct"/>
                  <w:shd w:val="clear" w:color="auto" w:fill="auto"/>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8" w:hRule="atLeast"/>
              </w:trPr>
              <w:tc>
                <w:tcPr>
                  <w:tcW w:w="417" w:type="pct"/>
                  <w:vMerge w:val="continue"/>
                  <w:shd w:val="clear" w:color="auto" w:fill="auto"/>
                  <w:vAlign w:val="center"/>
                </w:tcPr>
                <w:p>
                  <w:pPr>
                    <w:spacing w:line="240" w:lineRule="auto"/>
                    <w:rPr>
                      <w:rFonts w:hint="default" w:ascii="Times New Roman" w:hAnsi="Times New Roman" w:cs="Times New Roman"/>
                      <w:sz w:val="21"/>
                      <w:szCs w:val="21"/>
                    </w:rPr>
                  </w:pPr>
                </w:p>
              </w:tc>
              <w:tc>
                <w:tcPr>
                  <w:tcW w:w="1077" w:type="pct"/>
                  <w:shd w:val="clear" w:color="auto" w:fill="auto"/>
                  <w:vAlign w:val="center"/>
                </w:tcPr>
                <w:p>
                  <w:pPr>
                    <w:spacing w:line="240" w:lineRule="auto"/>
                    <w:ind w:left="0" w:leftChars="0" w:firstLine="0" w:firstLineChars="0"/>
                    <w:rPr>
                      <w:rFonts w:hint="default" w:ascii="Times New Roman" w:hAnsi="Times New Roman" w:cs="Times New Roman"/>
                      <w:sz w:val="21"/>
                      <w:szCs w:val="21"/>
                    </w:rPr>
                  </w:pPr>
                  <w:r>
                    <w:rPr>
                      <w:rFonts w:hint="default" w:ascii="Times New Roman" w:hAnsi="Times New Roman" w:cs="Times New Roman"/>
                      <w:sz w:val="21"/>
                      <w:szCs w:val="21"/>
                    </w:rPr>
                    <w:t>氮气供应系统</w:t>
                  </w:r>
                </w:p>
              </w:tc>
              <w:tc>
                <w:tcPr>
                  <w:tcW w:w="2899"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配备一台550Nm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/h的空分机和550Nm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/h的液氮补充装置，设计总氮气供应量1050Nm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/h；现有工程耗氮气量</w:t>
                  </w:r>
                  <w:r>
                    <w:rPr>
                      <w:rFonts w:hint="default" w:ascii="Times New Roman" w:hAnsi="Times New Roman" w:cs="Times New Roman"/>
                      <w:sz w:val="21"/>
                      <w:szCs w:val="21"/>
                      <w:lang w:val="en-US" w:eastAsia="zh-CN"/>
                    </w:rPr>
                    <w:t>500</w:t>
                  </w:r>
                  <w:r>
                    <w:rPr>
                      <w:rFonts w:hint="default" w:ascii="Times New Roman" w:hAnsi="Times New Roman" w:cs="Times New Roman"/>
                      <w:sz w:val="21"/>
                      <w:szCs w:val="21"/>
                    </w:rPr>
                    <w:t>Nm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05" w:type="pct"/>
                  <w:shd w:val="clear" w:color="auto" w:fill="auto"/>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2" w:hRule="atLeast"/>
              </w:trPr>
              <w:tc>
                <w:tcPr>
                  <w:tcW w:w="417" w:type="pct"/>
                  <w:vMerge w:val="continue"/>
                  <w:shd w:val="clear" w:color="auto" w:fill="auto"/>
                  <w:vAlign w:val="center"/>
                </w:tcPr>
                <w:p>
                  <w:pPr>
                    <w:spacing w:line="240" w:lineRule="auto"/>
                    <w:rPr>
                      <w:rFonts w:hint="default" w:ascii="Times New Roman" w:hAnsi="Times New Roman" w:cs="Times New Roman"/>
                      <w:sz w:val="21"/>
                      <w:szCs w:val="21"/>
                    </w:rPr>
                  </w:pPr>
                </w:p>
              </w:tc>
              <w:tc>
                <w:tcPr>
                  <w:tcW w:w="1077"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储运系统</w:t>
                  </w:r>
                </w:p>
              </w:tc>
              <w:tc>
                <w:tcPr>
                  <w:tcW w:w="2899"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主要为成品仓库、原料总库、储罐区、综合仓库等。</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成品仓库：包括老成品库、成品库和新成品库三个成品仓库，总占地面积4600m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原料总库：储存液体原料和固体原料，占地面积3700m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储罐区：包括综合储罐区和盐酸储罐区，总占地面积3000m2；</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综合仓库：占地面积1100m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甲醇、单氰胺、盐酸和浓硫酸储存依托现有储罐，在综合储罐区和甲基嘧啶磷车间</w:t>
                  </w:r>
                  <w:r>
                    <w:rPr>
                      <w:rFonts w:hint="default" w:ascii="Times New Roman" w:hAnsi="Times New Roman" w:cs="Times New Roman"/>
                      <w:sz w:val="21"/>
                      <w:szCs w:val="21"/>
                      <w:lang w:eastAsia="zh-CN"/>
                    </w:rPr>
                    <w:t>配置有</w:t>
                  </w:r>
                  <w:r>
                    <w:rPr>
                      <w:rFonts w:hint="default" w:ascii="Times New Roman" w:hAnsi="Times New Roman" w:cs="Times New Roman"/>
                      <w:sz w:val="21"/>
                      <w:szCs w:val="21"/>
                    </w:rPr>
                    <w:t>原料储罐和产品储罐：</w:t>
                  </w:r>
                </w:p>
                <w:p>
                  <w:pPr>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单氰胺、</w:t>
                  </w:r>
                  <w:r>
                    <w:rPr>
                      <w:rFonts w:hint="default" w:ascii="Times New Roman" w:hAnsi="Times New Roman" w:cs="Times New Roman"/>
                      <w:sz w:val="21"/>
                      <w:szCs w:val="21"/>
                      <w:lang w:eastAsia="zh-CN"/>
                    </w:rPr>
                    <w:t>乙酰乙酸甲酯、二乙胺</w:t>
                  </w:r>
                  <w:r>
                    <w:rPr>
                      <w:rFonts w:hint="default" w:ascii="Times New Roman" w:hAnsi="Times New Roman" w:cs="Times New Roman"/>
                      <w:sz w:val="21"/>
                      <w:szCs w:val="21"/>
                    </w:rPr>
                    <w:t>和浓硫酸储存依托现有储罐，</w:t>
                  </w:r>
                  <w:r>
                    <w:rPr>
                      <w:rFonts w:hint="default" w:ascii="Times New Roman" w:hAnsi="Times New Roman" w:cs="Times New Roman"/>
                      <w:sz w:val="21"/>
                      <w:szCs w:val="21"/>
                      <w:lang w:eastAsia="zh-CN"/>
                    </w:rPr>
                    <w:t>设置在甲嘧综合罐区</w:t>
                  </w:r>
                  <w:r>
                    <w:rPr>
                      <w:rFonts w:hint="default" w:ascii="Times New Roman" w:hAnsi="Times New Roman" w:cs="Times New Roman"/>
                      <w:sz w:val="21"/>
                      <w:szCs w:val="21"/>
                    </w:rPr>
                    <w:t>：单氰胺</w:t>
                  </w:r>
                  <w:r>
                    <w:rPr>
                      <w:rFonts w:hint="default" w:ascii="Times New Roman" w:hAnsi="Times New Roman" w:cs="Times New Roman"/>
                      <w:sz w:val="21"/>
                      <w:szCs w:val="21"/>
                      <w:lang w:eastAsia="zh-CN"/>
                    </w:rPr>
                    <w:t>储罐</w:t>
                  </w:r>
                  <w:r>
                    <w:rPr>
                      <w:rFonts w:hint="default" w:ascii="Times New Roman" w:hAnsi="Times New Roman" w:cs="Times New Roman"/>
                      <w:sz w:val="21"/>
                      <w:szCs w:val="21"/>
                      <w:lang w:val="en-US" w:eastAsia="zh-CN"/>
                    </w:rPr>
                    <w:t>2个</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19</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default" w:ascii="Times New Roman" w:hAnsi="Times New Roman" w:cs="Times New Roman"/>
                      <w:sz w:val="21"/>
                      <w:szCs w:val="21"/>
                      <w:lang w:eastAsia="zh-CN"/>
                    </w:rPr>
                    <w:t>、乙酰乙酸甲酯</w:t>
                  </w:r>
                  <w:r>
                    <w:rPr>
                      <w:rFonts w:hint="default" w:ascii="Times New Roman" w:hAnsi="Times New Roman" w:cs="Times New Roman"/>
                      <w:sz w:val="21"/>
                      <w:szCs w:val="21"/>
                    </w:rPr>
                    <w:t>储罐</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45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lang w:eastAsia="zh-CN"/>
                    </w:rPr>
                    <w:t>）、二乙胺</w:t>
                  </w:r>
                  <w:r>
                    <w:rPr>
                      <w:rFonts w:hint="default" w:ascii="Times New Roman" w:hAnsi="Times New Roman" w:cs="Times New Roman"/>
                      <w:sz w:val="21"/>
                      <w:szCs w:val="21"/>
                    </w:rPr>
                    <w:t>储罐</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45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lang w:eastAsia="zh-CN"/>
                    </w:rPr>
                    <w:t>）、</w:t>
                  </w:r>
                  <w:r>
                    <w:rPr>
                      <w:rFonts w:hint="default" w:ascii="Times New Roman" w:hAnsi="Times New Roman" w:cs="Times New Roman"/>
                      <w:sz w:val="21"/>
                      <w:szCs w:val="21"/>
                    </w:rPr>
                    <w:t>浓硫酸储罐</w:t>
                  </w:r>
                  <w:r>
                    <w:rPr>
                      <w:rFonts w:hint="default" w:ascii="Times New Roman" w:hAnsi="Times New Roman" w:cs="Times New Roman"/>
                      <w:sz w:val="21"/>
                      <w:szCs w:val="21"/>
                      <w:lang w:val="en-US" w:eastAsia="zh-CN"/>
                    </w:rPr>
                    <w:t>2个</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22</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lang w:eastAsia="zh-CN"/>
                    </w:rPr>
                    <w:t>）</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甲基氯化物储罐（32m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default" w:ascii="Times New Roman" w:hAnsi="Times New Roman" w:cs="Times New Roman"/>
                      <w:sz w:val="21"/>
                      <w:szCs w:val="21"/>
                      <w:lang w:eastAsia="zh-CN"/>
                    </w:rPr>
                    <w:t>单独设置，实行“双人双锁”管理</w:t>
                  </w:r>
                </w:p>
              </w:tc>
              <w:tc>
                <w:tcPr>
                  <w:tcW w:w="605" w:type="pct"/>
                  <w:shd w:val="clear" w:color="auto" w:fill="auto"/>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417" w:type="pct"/>
                  <w:vMerge w:val="continue"/>
                  <w:shd w:val="clear" w:color="auto" w:fill="auto"/>
                  <w:vAlign w:val="center"/>
                </w:tcPr>
                <w:p>
                  <w:pPr>
                    <w:spacing w:line="240" w:lineRule="auto"/>
                    <w:rPr>
                      <w:rFonts w:hint="default" w:ascii="Times New Roman" w:hAnsi="Times New Roman" w:cs="Times New Roman"/>
                      <w:sz w:val="21"/>
                      <w:szCs w:val="21"/>
                    </w:rPr>
                  </w:pPr>
                </w:p>
              </w:tc>
              <w:tc>
                <w:tcPr>
                  <w:tcW w:w="1077"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质检</w:t>
                  </w:r>
                </w:p>
              </w:tc>
              <w:tc>
                <w:tcPr>
                  <w:tcW w:w="2899"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车间设立化验室，厂区设立质检中心</w:t>
                  </w:r>
                </w:p>
              </w:tc>
              <w:tc>
                <w:tcPr>
                  <w:tcW w:w="605" w:type="pct"/>
                  <w:shd w:val="clear" w:color="auto" w:fill="auto"/>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trPr>
              <w:tc>
                <w:tcPr>
                  <w:tcW w:w="417" w:type="pct"/>
                  <w:vMerge w:val="continue"/>
                  <w:shd w:val="clear" w:color="auto" w:fill="auto"/>
                  <w:vAlign w:val="center"/>
                </w:tcPr>
                <w:p>
                  <w:pPr>
                    <w:spacing w:line="240" w:lineRule="auto"/>
                    <w:rPr>
                      <w:rFonts w:hint="default" w:ascii="Times New Roman" w:hAnsi="Times New Roman" w:cs="Times New Roman"/>
                      <w:sz w:val="21"/>
                      <w:szCs w:val="21"/>
                    </w:rPr>
                  </w:pPr>
                </w:p>
              </w:tc>
              <w:tc>
                <w:tcPr>
                  <w:tcW w:w="1077"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办公生活区</w:t>
                  </w:r>
                </w:p>
              </w:tc>
              <w:tc>
                <w:tcPr>
                  <w:tcW w:w="2899"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为办公楼及食堂</w:t>
                  </w:r>
                </w:p>
              </w:tc>
              <w:tc>
                <w:tcPr>
                  <w:tcW w:w="605" w:type="pct"/>
                  <w:shd w:val="clear" w:color="auto" w:fill="auto"/>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9" w:hRule="atLeast"/>
              </w:trPr>
              <w:tc>
                <w:tcPr>
                  <w:tcW w:w="417" w:type="pct"/>
                  <w:vMerge w:val="restart"/>
                  <w:shd w:val="clear" w:color="auto" w:fill="auto"/>
                  <w:vAlign w:val="center"/>
                </w:tcPr>
                <w:p>
                  <w:pPr>
                    <w:spacing w:line="240" w:lineRule="auto"/>
                    <w:ind w:left="0" w:leftChars="0" w:firstLine="210" w:firstLineChars="100"/>
                    <w:rPr>
                      <w:rFonts w:hint="default" w:ascii="Times New Roman" w:hAnsi="Times New Roman" w:cs="Times New Roman"/>
                      <w:sz w:val="21"/>
                      <w:szCs w:val="21"/>
                    </w:rPr>
                  </w:pPr>
                  <w:r>
                    <w:rPr>
                      <w:rFonts w:hint="default" w:ascii="Times New Roman" w:hAnsi="Times New Roman" w:cs="Times New Roman"/>
                      <w:sz w:val="21"/>
                      <w:szCs w:val="21"/>
                    </w:rPr>
                    <w:t>环</w:t>
                  </w:r>
                </w:p>
                <w:p>
                  <w:pPr>
                    <w:spacing w:line="240" w:lineRule="auto"/>
                    <w:ind w:left="0" w:leftChars="0" w:firstLine="210" w:firstLineChars="100"/>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保</w:t>
                  </w:r>
                  <w:r>
                    <w:rPr>
                      <w:rFonts w:hint="eastAsia" w:ascii="Times New Roman" w:hAnsi="Times New Roman" w:cs="Times New Roman"/>
                      <w:sz w:val="21"/>
                      <w:szCs w:val="21"/>
                      <w:lang w:val="en-US" w:eastAsia="zh-CN"/>
                    </w:rPr>
                    <w:t xml:space="preserve"> </w:t>
                  </w:r>
                </w:p>
                <w:p>
                  <w:pPr>
                    <w:spacing w:line="240" w:lineRule="auto"/>
                    <w:ind w:left="0" w:leftChars="0" w:firstLine="210" w:firstLineChars="100"/>
                    <w:rPr>
                      <w:rFonts w:hint="default" w:ascii="Times New Roman" w:hAnsi="Times New Roman" w:cs="Times New Roman"/>
                      <w:sz w:val="21"/>
                      <w:szCs w:val="21"/>
                    </w:rPr>
                  </w:pPr>
                  <w:r>
                    <w:rPr>
                      <w:rFonts w:hint="default" w:ascii="Times New Roman" w:hAnsi="Times New Roman" w:cs="Times New Roman"/>
                      <w:sz w:val="21"/>
                      <w:szCs w:val="21"/>
                    </w:rPr>
                    <w:t>工</w:t>
                  </w:r>
                </w:p>
                <w:p>
                  <w:pPr>
                    <w:spacing w:line="240" w:lineRule="auto"/>
                    <w:ind w:left="0" w:leftChars="0" w:firstLine="210" w:firstLineChars="100"/>
                    <w:rPr>
                      <w:rFonts w:hint="default" w:ascii="Times New Roman" w:hAnsi="Times New Roman" w:cs="Times New Roman"/>
                      <w:sz w:val="21"/>
                      <w:szCs w:val="21"/>
                    </w:rPr>
                  </w:pPr>
                  <w:r>
                    <w:rPr>
                      <w:rFonts w:hint="default" w:ascii="Times New Roman" w:hAnsi="Times New Roman" w:cs="Times New Roman"/>
                      <w:sz w:val="21"/>
                      <w:szCs w:val="21"/>
                    </w:rPr>
                    <w:t>程</w:t>
                  </w:r>
                </w:p>
              </w:tc>
              <w:tc>
                <w:tcPr>
                  <w:tcW w:w="1077"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2899" w:type="pct"/>
                  <w:shd w:val="clear" w:color="auto" w:fill="auto"/>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设立1座2500m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/d的废水处理站，采用“石灰石中和+厌氧兼氧+活性污泥+二级混合沉淀”的废水处理工艺；1座10000m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/d污水处理站，采用A</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/O工艺</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现有工程生产废水经车间预处理、生活污水经化粪池预处理后进入废水处理站处理，处理达标后排至德山污水处理厂。</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生产废水车间预处理措施包括隔油沉淀、</w:t>
                  </w:r>
                  <w:r>
                    <w:rPr>
                      <w:rFonts w:hint="default" w:ascii="Times New Roman" w:hAnsi="Times New Roman" w:cs="Times New Roman"/>
                      <w:sz w:val="21"/>
                      <w:szCs w:val="21"/>
                      <w:lang w:eastAsia="zh-CN"/>
                    </w:rPr>
                    <w:t>微电解、芬顿、碱解氧化</w:t>
                  </w:r>
                  <w:r>
                    <w:rPr>
                      <w:rFonts w:hint="default" w:ascii="Times New Roman" w:hAnsi="Times New Roman" w:cs="Times New Roman"/>
                      <w:sz w:val="21"/>
                      <w:szCs w:val="21"/>
                    </w:rPr>
                    <w:t>和精馏等处理工艺。</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2个初期雨水池，容积分别500m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和1500m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，位于厂区东部和西部。</w:t>
                  </w:r>
                </w:p>
              </w:tc>
              <w:tc>
                <w:tcPr>
                  <w:tcW w:w="605" w:type="pct"/>
                  <w:shd w:val="clear" w:color="auto" w:fill="auto"/>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64" w:hRule="atLeast"/>
              </w:trPr>
              <w:tc>
                <w:tcPr>
                  <w:tcW w:w="417" w:type="pct"/>
                  <w:vMerge w:val="continue"/>
                  <w:shd w:val="clear" w:color="auto" w:fill="auto"/>
                  <w:vAlign w:val="center"/>
                </w:tcPr>
                <w:p>
                  <w:pPr>
                    <w:rPr>
                      <w:sz w:val="21"/>
                      <w:szCs w:val="21"/>
                    </w:rPr>
                  </w:pPr>
                </w:p>
              </w:tc>
              <w:tc>
                <w:tcPr>
                  <w:tcW w:w="1077" w:type="pct"/>
                  <w:shd w:val="clear" w:color="auto" w:fill="auto"/>
                  <w:vAlign w:val="center"/>
                </w:tcPr>
                <w:p>
                  <w:pPr>
                    <w:rPr>
                      <w:sz w:val="21"/>
                      <w:szCs w:val="21"/>
                    </w:rPr>
                  </w:pPr>
                  <w:r>
                    <w:rPr>
                      <w:sz w:val="21"/>
                      <w:szCs w:val="21"/>
                    </w:rPr>
                    <w:t>废气</w:t>
                  </w:r>
                </w:p>
              </w:tc>
              <w:tc>
                <w:tcPr>
                  <w:tcW w:w="2899" w:type="pct"/>
                  <w:shd w:val="clear" w:color="auto" w:fill="auto"/>
                  <w:vAlign w:val="center"/>
                </w:tcPr>
                <w:p>
                  <w:pPr>
                    <w:spacing w:line="240" w:lineRule="auto"/>
                    <w:rPr>
                      <w:sz w:val="21"/>
                      <w:szCs w:val="21"/>
                      <w:lang w:val="zh-CN"/>
                    </w:rPr>
                  </w:pPr>
                  <w:r>
                    <w:rPr>
                      <w:sz w:val="21"/>
                      <w:szCs w:val="21"/>
                      <w:lang w:val="zh-CN"/>
                    </w:rPr>
                    <w:t>甲嘧车间：三级冷凝器+</w:t>
                  </w:r>
                  <w:r>
                    <w:rPr>
                      <w:rFonts w:hint="eastAsia"/>
                      <w:sz w:val="21"/>
                      <w:szCs w:val="21"/>
                      <w:lang w:val="zh-CN" w:eastAsia="zh-CN"/>
                    </w:rPr>
                    <w:t>水洗</w:t>
                  </w:r>
                  <w:r>
                    <w:rPr>
                      <w:sz w:val="21"/>
                      <w:szCs w:val="21"/>
                      <w:lang w:val="zh-CN"/>
                    </w:rPr>
                    <w:t>吸收塔+</w:t>
                  </w:r>
                  <w:r>
                    <w:rPr>
                      <w:rFonts w:hint="eastAsia"/>
                      <w:sz w:val="21"/>
                      <w:szCs w:val="21"/>
                      <w:lang w:val="en-US" w:eastAsia="zh-CN"/>
                    </w:rPr>
                    <w:t>RTO+40m</w:t>
                  </w:r>
                  <w:r>
                    <w:rPr>
                      <w:sz w:val="21"/>
                      <w:szCs w:val="21"/>
                      <w:lang w:val="zh-CN"/>
                    </w:rPr>
                    <w:t>排气筒：</w:t>
                  </w:r>
                </w:p>
                <w:p>
                  <w:pPr>
                    <w:spacing w:line="240" w:lineRule="auto"/>
                    <w:rPr>
                      <w:sz w:val="21"/>
                      <w:szCs w:val="21"/>
                      <w:lang w:val="zh-CN"/>
                    </w:rPr>
                  </w:pPr>
                  <w:r>
                    <w:rPr>
                      <w:sz w:val="21"/>
                      <w:szCs w:val="21"/>
                      <w:lang w:val="zh-CN"/>
                    </w:rPr>
                    <w:t>异酯车间：二级降膜吸收塔+三氯甲烷捕集器+二级尾气破坏塔+30m排气筒；</w:t>
                  </w:r>
                </w:p>
                <w:p>
                  <w:pPr>
                    <w:spacing w:line="240" w:lineRule="auto"/>
                    <w:rPr>
                      <w:sz w:val="21"/>
                      <w:szCs w:val="21"/>
                      <w:lang w:val="zh-CN"/>
                    </w:rPr>
                  </w:pPr>
                  <w:r>
                    <w:rPr>
                      <w:sz w:val="21"/>
                      <w:szCs w:val="21"/>
                      <w:lang w:val="zh-CN"/>
                    </w:rPr>
                    <w:t>原药车间：二级尾气破坏塔+30m排气筒；</w:t>
                  </w:r>
                </w:p>
                <w:p>
                  <w:pPr>
                    <w:spacing w:line="240" w:lineRule="auto"/>
                    <w:rPr>
                      <w:rFonts w:hint="eastAsia"/>
                      <w:sz w:val="21"/>
                      <w:szCs w:val="21"/>
                      <w:lang w:val="zh-CN" w:eastAsia="zh-CN"/>
                    </w:rPr>
                  </w:pPr>
                  <w:r>
                    <w:rPr>
                      <w:sz w:val="21"/>
                      <w:szCs w:val="21"/>
                      <w:lang w:val="zh-CN"/>
                    </w:rPr>
                    <w:t>丁硫车间：</w:t>
                  </w:r>
                  <w:r>
                    <w:rPr>
                      <w:rFonts w:hint="eastAsia"/>
                      <w:sz w:val="21"/>
                      <w:szCs w:val="21"/>
                      <w:lang w:val="zh-CN" w:eastAsia="zh-CN"/>
                    </w:rPr>
                    <w:t>①</w:t>
                  </w:r>
                  <w:r>
                    <w:rPr>
                      <w:sz w:val="21"/>
                      <w:szCs w:val="21"/>
                      <w:lang w:val="zh-CN"/>
                    </w:rPr>
                    <w:t>二级尾气破坏塔+</w:t>
                  </w:r>
                  <w:r>
                    <w:rPr>
                      <w:rFonts w:hint="eastAsia"/>
                      <w:sz w:val="21"/>
                      <w:szCs w:val="21"/>
                      <w:lang w:val="en-US" w:eastAsia="zh-CN"/>
                    </w:rPr>
                    <w:t>RTO+40m</w:t>
                  </w:r>
                  <w:r>
                    <w:rPr>
                      <w:sz w:val="21"/>
                      <w:szCs w:val="21"/>
                      <w:lang w:val="zh-CN"/>
                    </w:rPr>
                    <w:t>排气筒</w:t>
                  </w:r>
                  <w:r>
                    <w:rPr>
                      <w:rFonts w:hint="eastAsia"/>
                      <w:sz w:val="21"/>
                      <w:szCs w:val="21"/>
                      <w:lang w:val="zh-CN" w:eastAsia="zh-CN"/>
                    </w:rPr>
                    <w:t>；</w:t>
                  </w:r>
                </w:p>
                <w:p>
                  <w:pPr>
                    <w:spacing w:line="240" w:lineRule="auto"/>
                    <w:rPr>
                      <w:sz w:val="21"/>
                      <w:szCs w:val="21"/>
                      <w:lang w:val="zh-CN"/>
                    </w:rPr>
                  </w:pPr>
                  <w:r>
                    <w:rPr>
                      <w:rFonts w:hint="eastAsia"/>
                      <w:sz w:val="21"/>
                      <w:szCs w:val="21"/>
                      <w:lang w:val="zh-CN" w:eastAsia="zh-CN"/>
                    </w:rPr>
                    <w:t>②丁硫酸性尾气：</w:t>
                  </w:r>
                  <w:r>
                    <w:rPr>
                      <w:rFonts w:hint="eastAsia"/>
                      <w:sz w:val="21"/>
                      <w:szCs w:val="21"/>
                      <w:lang w:val="en-US" w:eastAsia="zh-CN"/>
                    </w:rPr>
                    <w:t xml:space="preserve"> 二级碱洗+25m排气筒</w:t>
                  </w:r>
                  <w:r>
                    <w:rPr>
                      <w:sz w:val="21"/>
                      <w:szCs w:val="21"/>
                      <w:lang w:val="zh-CN"/>
                    </w:rPr>
                    <w:t>；</w:t>
                  </w:r>
                </w:p>
                <w:p>
                  <w:pPr>
                    <w:spacing w:line="240" w:lineRule="auto"/>
                    <w:rPr>
                      <w:sz w:val="21"/>
                      <w:szCs w:val="21"/>
                      <w:lang w:val="zh-CN"/>
                    </w:rPr>
                  </w:pPr>
                  <w:r>
                    <w:rPr>
                      <w:rFonts w:hint="eastAsia"/>
                      <w:sz w:val="21"/>
                      <w:szCs w:val="21"/>
                      <w:lang w:val="zh-CN"/>
                    </w:rPr>
                    <w:t>硫双灭多威车间</w:t>
                  </w:r>
                  <w:r>
                    <w:rPr>
                      <w:sz w:val="21"/>
                      <w:szCs w:val="21"/>
                      <w:lang w:val="zh-CN"/>
                    </w:rPr>
                    <w:t>：二级冷凝+酸液吸收+</w:t>
                  </w:r>
                  <w:r>
                    <w:rPr>
                      <w:rFonts w:hint="eastAsia"/>
                      <w:sz w:val="21"/>
                      <w:szCs w:val="21"/>
                      <w:lang w:val="en-US" w:eastAsia="zh-CN"/>
                    </w:rPr>
                    <w:t>RTO+40m</w:t>
                  </w:r>
                  <w:r>
                    <w:rPr>
                      <w:sz w:val="21"/>
                      <w:szCs w:val="21"/>
                      <w:lang w:val="zh-CN"/>
                    </w:rPr>
                    <w:t>排气筒；</w:t>
                  </w:r>
                </w:p>
                <w:p>
                  <w:pPr>
                    <w:spacing w:line="240" w:lineRule="auto"/>
                    <w:rPr>
                      <w:sz w:val="21"/>
                      <w:szCs w:val="21"/>
                      <w:lang w:val="zh-CN"/>
                    </w:rPr>
                  </w:pPr>
                  <w:r>
                    <w:rPr>
                      <w:sz w:val="21"/>
                      <w:szCs w:val="21"/>
                      <w:lang w:val="zh-CN"/>
                    </w:rPr>
                    <w:t>抗蚜威合成车间：二级冷凝+碱液吸收+</w:t>
                  </w:r>
                  <w:r>
                    <w:rPr>
                      <w:rFonts w:hint="eastAsia"/>
                      <w:sz w:val="21"/>
                      <w:szCs w:val="21"/>
                      <w:lang w:val="en-US" w:eastAsia="zh-CN"/>
                    </w:rPr>
                    <w:t>RTO+40m</w:t>
                  </w:r>
                  <w:r>
                    <w:rPr>
                      <w:sz w:val="21"/>
                      <w:szCs w:val="21"/>
                      <w:lang w:val="zh-CN"/>
                    </w:rPr>
                    <w:t>排气筒；</w:t>
                  </w:r>
                </w:p>
                <w:p>
                  <w:pPr>
                    <w:spacing w:line="240" w:lineRule="auto"/>
                    <w:rPr>
                      <w:sz w:val="21"/>
                      <w:szCs w:val="21"/>
                      <w:lang w:val="zh-CN"/>
                    </w:rPr>
                  </w:pPr>
                  <w:r>
                    <w:rPr>
                      <w:rFonts w:hint="eastAsia"/>
                      <w:sz w:val="21"/>
                      <w:szCs w:val="21"/>
                      <w:lang w:val="zh-CN"/>
                    </w:rPr>
                    <w:t>污水处理站生化池：碱液吸收塔+</w:t>
                  </w:r>
                  <w:r>
                    <w:rPr>
                      <w:rFonts w:hint="eastAsia"/>
                      <w:sz w:val="21"/>
                      <w:szCs w:val="21"/>
                      <w:lang w:val="en-US" w:eastAsia="zh-CN"/>
                    </w:rPr>
                    <w:t>RTO+40m</w:t>
                  </w:r>
                  <w:r>
                    <w:rPr>
                      <w:rFonts w:hint="eastAsia"/>
                      <w:sz w:val="21"/>
                      <w:szCs w:val="21"/>
                      <w:lang w:val="zh-CN"/>
                    </w:rPr>
                    <w:t>排气筒；</w:t>
                  </w:r>
                </w:p>
                <w:p>
                  <w:pPr>
                    <w:spacing w:line="240" w:lineRule="auto"/>
                    <w:rPr>
                      <w:rFonts w:hint="eastAsia"/>
                      <w:sz w:val="21"/>
                      <w:szCs w:val="21"/>
                      <w:lang w:val="zh-CN" w:eastAsia="zh-CN"/>
                    </w:rPr>
                  </w:pPr>
                  <w:r>
                    <w:rPr>
                      <w:rFonts w:hint="eastAsia"/>
                      <w:sz w:val="21"/>
                      <w:szCs w:val="21"/>
                      <w:lang w:val="zh-CN"/>
                    </w:rPr>
                    <w:t>污水处理收集池：碱液吸收塔+</w:t>
                  </w:r>
                  <w:r>
                    <w:rPr>
                      <w:rFonts w:hint="eastAsia"/>
                      <w:sz w:val="21"/>
                      <w:szCs w:val="21"/>
                      <w:lang w:val="en-US" w:eastAsia="zh-CN"/>
                    </w:rPr>
                    <w:t>RTO+40m</w:t>
                  </w:r>
                  <w:r>
                    <w:rPr>
                      <w:rFonts w:hint="eastAsia"/>
                      <w:sz w:val="21"/>
                      <w:szCs w:val="21"/>
                      <w:lang w:val="zh-CN"/>
                    </w:rPr>
                    <w:t>排气筒</w:t>
                  </w:r>
                  <w:r>
                    <w:rPr>
                      <w:rFonts w:hint="eastAsia"/>
                      <w:sz w:val="21"/>
                      <w:szCs w:val="21"/>
                      <w:lang w:val="zh-CN" w:eastAsia="zh-CN"/>
                    </w:rPr>
                    <w:t>；</w:t>
                  </w:r>
                </w:p>
                <w:p>
                  <w:pPr>
                    <w:spacing w:line="240" w:lineRule="auto"/>
                    <w:rPr>
                      <w:rFonts w:hint="eastAsia"/>
                      <w:sz w:val="21"/>
                      <w:szCs w:val="21"/>
                      <w:lang w:val="en-US" w:eastAsia="zh-CN"/>
                    </w:rPr>
                  </w:pPr>
                  <w:r>
                    <w:rPr>
                      <w:rFonts w:hint="eastAsia"/>
                      <w:sz w:val="21"/>
                      <w:szCs w:val="21"/>
                      <w:lang w:val="zh-CN" w:eastAsia="zh-CN"/>
                    </w:rPr>
                    <w:t>原材料仓库尾气：碱吸收</w:t>
                  </w:r>
                  <w:r>
                    <w:rPr>
                      <w:rFonts w:hint="eastAsia"/>
                      <w:sz w:val="21"/>
                      <w:szCs w:val="21"/>
                      <w:lang w:val="en-US" w:eastAsia="zh-CN"/>
                    </w:rPr>
                    <w:t>+15m排气筒；</w:t>
                  </w:r>
                </w:p>
                <w:p>
                  <w:pPr>
                    <w:spacing w:line="240" w:lineRule="auto"/>
                    <w:rPr>
                      <w:rFonts w:hint="default"/>
                      <w:sz w:val="21"/>
                      <w:szCs w:val="21"/>
                      <w:lang w:val="en-US" w:eastAsia="zh-CN"/>
                    </w:rPr>
                  </w:pPr>
                  <w:r>
                    <w:rPr>
                      <w:rFonts w:hint="eastAsia"/>
                      <w:sz w:val="21"/>
                      <w:szCs w:val="21"/>
                      <w:lang w:val="en-US" w:eastAsia="zh-CN"/>
                    </w:rPr>
                    <w:t>原材料罐区：碱吸收+15m排气筒</w:t>
                  </w:r>
                </w:p>
                <w:p>
                  <w:pPr>
                    <w:spacing w:line="240" w:lineRule="auto"/>
                    <w:rPr>
                      <w:sz w:val="21"/>
                      <w:szCs w:val="21"/>
                      <w:lang w:val="zh-CN"/>
                    </w:rPr>
                  </w:pPr>
                  <w:r>
                    <w:rPr>
                      <w:rFonts w:hint="eastAsia"/>
                      <w:sz w:val="21"/>
                      <w:szCs w:val="21"/>
                      <w:lang w:val="zh-CN" w:eastAsia="zh-CN"/>
                    </w:rPr>
                    <w:t>全厂有机废气焚烧炉一用一备，新增</w:t>
                  </w:r>
                  <w:r>
                    <w:rPr>
                      <w:rFonts w:hint="eastAsia"/>
                      <w:sz w:val="21"/>
                      <w:szCs w:val="21"/>
                      <w:lang w:val="en-US" w:eastAsia="zh-CN"/>
                    </w:rPr>
                    <w:t>48000</w:t>
                  </w:r>
                  <w:r>
                    <w:rPr>
                      <w:sz w:val="21"/>
                      <w:szCs w:val="21"/>
                      <w:lang w:val="zh-CN"/>
                    </w:rPr>
                    <w:t>m3/h</w:t>
                  </w:r>
                  <w:r>
                    <w:rPr>
                      <w:rFonts w:hint="eastAsia"/>
                      <w:sz w:val="21"/>
                      <w:szCs w:val="21"/>
                      <w:lang w:val="en-US" w:eastAsia="zh-CN"/>
                    </w:rPr>
                    <w:t xml:space="preserve"> RTO+40m</w:t>
                  </w:r>
                  <w:r>
                    <w:rPr>
                      <w:rFonts w:hint="eastAsia"/>
                      <w:sz w:val="21"/>
                      <w:szCs w:val="21"/>
                      <w:lang w:val="zh-CN"/>
                    </w:rPr>
                    <w:t>排气筒</w:t>
                  </w:r>
                  <w:r>
                    <w:rPr>
                      <w:sz w:val="21"/>
                      <w:szCs w:val="21"/>
                      <w:lang w:val="zh-CN"/>
                    </w:rPr>
                    <w:t>；</w:t>
                  </w:r>
                  <w:r>
                    <w:rPr>
                      <w:rFonts w:hint="eastAsia"/>
                      <w:sz w:val="21"/>
                      <w:szCs w:val="21"/>
                      <w:lang w:val="zh-CN" w:eastAsia="zh-CN"/>
                    </w:rPr>
                    <w:t>原</w:t>
                  </w:r>
                  <w:r>
                    <w:rPr>
                      <w:sz w:val="21"/>
                      <w:szCs w:val="21"/>
                      <w:lang w:val="zh-CN"/>
                    </w:rPr>
                    <w:t>30000m3/h有机废气焚烧炉</w:t>
                  </w:r>
                  <w:r>
                    <w:rPr>
                      <w:rFonts w:hint="eastAsia"/>
                      <w:sz w:val="21"/>
                      <w:szCs w:val="21"/>
                      <w:lang w:val="zh-CN" w:eastAsia="zh-CN"/>
                    </w:rPr>
                    <w:t>备用；</w:t>
                  </w:r>
                </w:p>
                <w:p>
                  <w:pPr>
                    <w:spacing w:line="240" w:lineRule="auto"/>
                    <w:rPr>
                      <w:sz w:val="21"/>
                      <w:szCs w:val="21"/>
                    </w:rPr>
                  </w:pPr>
                  <w:r>
                    <w:rPr>
                      <w:sz w:val="21"/>
                      <w:szCs w:val="21"/>
                      <w:lang w:val="zh-TW" w:eastAsia="zh-TW"/>
                    </w:rPr>
                    <w:t>2t</w:t>
                  </w:r>
                  <w:r>
                    <w:rPr>
                      <w:rFonts w:hint="eastAsia"/>
                      <w:sz w:val="21"/>
                      <w:szCs w:val="21"/>
                      <w:lang w:val="zh-TW"/>
                    </w:rPr>
                    <w:t>/</w:t>
                  </w:r>
                  <w:r>
                    <w:rPr>
                      <w:sz w:val="21"/>
                      <w:szCs w:val="21"/>
                      <w:lang w:val="zh-TW" w:eastAsia="zh-TW"/>
                    </w:rPr>
                    <w:t>h</w:t>
                  </w:r>
                  <w:r>
                    <w:rPr>
                      <w:sz w:val="21"/>
                      <w:szCs w:val="21"/>
                      <w:lang w:val="zh-CN"/>
                    </w:rPr>
                    <w:t>危险废物焚烧炉+40m排气筒；</w:t>
                  </w:r>
                </w:p>
              </w:tc>
              <w:tc>
                <w:tcPr>
                  <w:tcW w:w="605" w:type="pct"/>
                  <w:shd w:val="clear" w:color="auto" w:fill="auto"/>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0" w:hRule="atLeast"/>
              </w:trPr>
              <w:tc>
                <w:tcPr>
                  <w:tcW w:w="417" w:type="pct"/>
                  <w:vMerge w:val="continue"/>
                  <w:shd w:val="clear" w:color="auto" w:fill="auto"/>
                  <w:vAlign w:val="center"/>
                </w:tcPr>
                <w:p>
                  <w:pPr>
                    <w:rPr>
                      <w:sz w:val="21"/>
                      <w:szCs w:val="21"/>
                    </w:rPr>
                  </w:pPr>
                </w:p>
              </w:tc>
              <w:tc>
                <w:tcPr>
                  <w:tcW w:w="1077" w:type="pct"/>
                  <w:shd w:val="clear" w:color="auto" w:fill="auto"/>
                  <w:vAlign w:val="center"/>
                </w:tcPr>
                <w:p>
                  <w:pPr>
                    <w:rPr>
                      <w:sz w:val="21"/>
                      <w:szCs w:val="21"/>
                    </w:rPr>
                  </w:pPr>
                  <w:r>
                    <w:rPr>
                      <w:sz w:val="21"/>
                      <w:szCs w:val="21"/>
                    </w:rPr>
                    <w:t>固废</w:t>
                  </w:r>
                </w:p>
              </w:tc>
              <w:tc>
                <w:tcPr>
                  <w:tcW w:w="2899" w:type="pct"/>
                  <w:shd w:val="clear" w:color="auto" w:fill="auto"/>
                  <w:vAlign w:val="center"/>
                </w:tcPr>
                <w:p>
                  <w:pPr>
                    <w:spacing w:line="240" w:lineRule="auto"/>
                    <w:rPr>
                      <w:sz w:val="21"/>
                      <w:szCs w:val="21"/>
                    </w:rPr>
                  </w:pPr>
                  <w:r>
                    <w:rPr>
                      <w:sz w:val="21"/>
                      <w:szCs w:val="21"/>
                    </w:rPr>
                    <w:t>厂区设立危险废物暂存场，位于厂区东北侧，其中固态危险废物暂存于固废仓库，液态危险废物暂存于液废仓库</w:t>
                  </w:r>
                </w:p>
              </w:tc>
              <w:tc>
                <w:tcPr>
                  <w:tcW w:w="605" w:type="pct"/>
                  <w:shd w:val="clear" w:color="auto" w:fill="auto"/>
                  <w:vAlign w:val="center"/>
                </w:tcPr>
                <w:p>
                  <w:pPr>
                    <w:rPr>
                      <w:sz w:val="21"/>
                      <w:szCs w:val="21"/>
                    </w:rPr>
                  </w:pPr>
                </w:p>
              </w:tc>
            </w:tr>
          </w:tbl>
          <w:p>
            <w:pPr>
              <w:spacing w:line="276" w:lineRule="auto"/>
              <w:ind w:left="0" w:leftChars="0" w:firstLine="0" w:firstLineChars="0"/>
              <w:rPr>
                <w:rFonts w:hint="eastAsia"/>
                <w:sz w:val="21"/>
                <w:szCs w:val="21"/>
                <w:lang w:val="en-US" w:eastAsia="zh-CN"/>
              </w:rPr>
            </w:pPr>
            <w:r>
              <w:rPr>
                <w:rFonts w:hint="eastAsia"/>
                <w:sz w:val="21"/>
                <w:szCs w:val="21"/>
                <w:lang w:val="en-US" w:eastAsia="zh-CN"/>
              </w:rPr>
              <w:t>（1）甲基嘧啶磷生产线</w:t>
            </w:r>
          </w:p>
          <w:p>
            <w:pPr>
              <w:spacing w:line="276" w:lineRule="auto"/>
              <w:ind w:firstLine="420"/>
              <w:rPr>
                <w:rFonts w:hint="eastAsia"/>
                <w:sz w:val="21"/>
                <w:szCs w:val="21"/>
                <w:lang w:val="en-US" w:eastAsia="zh-CN"/>
              </w:rPr>
            </w:pPr>
            <w:r>
              <w:rPr>
                <w:rFonts w:hint="eastAsia"/>
                <w:sz w:val="21"/>
                <w:szCs w:val="21"/>
                <w:lang w:val="en-US" w:eastAsia="zh-CN"/>
              </w:rPr>
              <w:t>甲基嘧啶磷生产装置线包括硫酸二乙胍工段、嘧啶醇工段，其生产工艺及产污环节如下图所示：</w:t>
            </w:r>
          </w:p>
          <w:p>
            <w:pPr>
              <w:spacing w:line="276" w:lineRule="auto"/>
              <w:ind w:left="0" w:leftChars="0" w:firstLine="0" w:firstLineChars="0"/>
              <w:jc w:val="both"/>
              <w:rPr>
                <w:rFonts w:hint="eastAsia"/>
                <w:b/>
                <w:bCs/>
                <w:sz w:val="21"/>
                <w:szCs w:val="21"/>
                <w:lang w:val="en-US" w:eastAsia="zh-CN"/>
              </w:rPr>
            </w:pPr>
            <w:r>
              <w:drawing>
                <wp:inline distT="0" distB="0" distL="114300" distR="114300">
                  <wp:extent cx="4926965" cy="4411980"/>
                  <wp:effectExtent l="0" t="0" r="6985" b="762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3"/>
                          <a:stretch>
                            <a:fillRect/>
                          </a:stretch>
                        </pic:blipFill>
                        <pic:spPr>
                          <a:xfrm>
                            <a:off x="0" y="0"/>
                            <a:ext cx="4926965" cy="4411980"/>
                          </a:xfrm>
                          <a:prstGeom prst="rect">
                            <a:avLst/>
                          </a:prstGeom>
                          <a:noFill/>
                          <a:ln>
                            <a:noFill/>
                          </a:ln>
                        </pic:spPr>
                      </pic:pic>
                    </a:graphicData>
                  </a:graphic>
                </wp:inline>
              </w:drawing>
            </w:r>
          </w:p>
          <w:p>
            <w:pPr>
              <w:spacing w:line="276" w:lineRule="auto"/>
              <w:ind w:firstLine="1054" w:firstLineChars="500"/>
              <w:rPr>
                <w:rFonts w:hint="eastAsia"/>
                <w:b/>
                <w:bCs/>
                <w:sz w:val="21"/>
                <w:szCs w:val="21"/>
                <w:lang w:val="en-US" w:eastAsia="zh-CN"/>
              </w:rPr>
            </w:pPr>
          </w:p>
          <w:p>
            <w:pPr>
              <w:spacing w:line="276" w:lineRule="auto"/>
              <w:ind w:firstLine="1265" w:firstLineChars="600"/>
              <w:rPr>
                <w:rFonts w:hint="eastAsia"/>
                <w:sz w:val="21"/>
                <w:szCs w:val="21"/>
                <w:lang w:val="en-US" w:eastAsia="zh-CN"/>
              </w:rPr>
            </w:pPr>
            <w:r>
              <w:rPr>
                <w:rFonts w:hint="eastAsia"/>
                <w:b/>
                <w:bCs/>
                <w:sz w:val="21"/>
                <w:szCs w:val="21"/>
                <w:lang w:val="en-US" w:eastAsia="zh-CN"/>
              </w:rPr>
              <w:t>图2-3  现有项目甲基嘧啶磷生产线工艺流程及产污环节图</w:t>
            </w:r>
          </w:p>
          <w:p>
            <w:pPr>
              <w:spacing w:line="276" w:lineRule="auto"/>
              <w:ind w:firstLine="420"/>
              <w:rPr>
                <w:rFonts w:hint="eastAsia"/>
                <w:sz w:val="21"/>
                <w:szCs w:val="21"/>
                <w:lang w:val="en-US" w:eastAsia="zh-CN"/>
              </w:rPr>
            </w:pPr>
            <w:r>
              <w:rPr>
                <w:rFonts w:hint="eastAsia"/>
                <w:sz w:val="21"/>
                <w:szCs w:val="21"/>
                <w:lang w:val="en-US" w:eastAsia="zh-CN"/>
              </w:rPr>
              <w:t>（2）异酯合成生产线</w:t>
            </w:r>
          </w:p>
          <w:p>
            <w:pPr>
              <w:spacing w:line="276" w:lineRule="auto"/>
              <w:ind w:firstLine="420"/>
              <w:rPr>
                <w:rFonts w:hint="eastAsia"/>
                <w:sz w:val="21"/>
                <w:szCs w:val="21"/>
                <w:lang w:val="en-US" w:eastAsia="zh-CN"/>
              </w:rPr>
            </w:pPr>
            <w:r>
              <w:rPr>
                <w:rFonts w:hint="eastAsia"/>
                <w:sz w:val="21"/>
                <w:szCs w:val="21"/>
                <w:lang w:val="en-US" w:eastAsia="zh-CN"/>
              </w:rPr>
              <w:t>异氰酸甲酯合成装置生产工艺流程主要包括四个工段：造气工段、光气工段、异酯工段、尾气工段。造气工段的原理主要是利用二氧化碳和氧气在造气炉内发生一氧化碳，并对一氧化碳进行水洗、碱洗等处理，为后续用户提供原料气。光气工段主要利用一氧化碳和氯气在光气反应器内生成光气。异酯工段：光气和一甲胺分别经转子流量计计量、加热（加热温度：170℃）后，进入合成管，在合成管内充分反应制得酰氯。酰氯经冷凝器冷却制得的精酰氯。精酰氯与循环液（来自异酯工段的粗酯釜）混合去异酯工段。主要工艺流程如下图所示：</w:t>
            </w:r>
          </w:p>
          <w:p>
            <w:pPr>
              <w:spacing w:line="276" w:lineRule="auto"/>
              <w:ind w:left="0" w:leftChars="0" w:firstLine="0" w:firstLineChars="0"/>
              <w:jc w:val="both"/>
              <w:rPr>
                <w:rFonts w:hint="eastAsia"/>
                <w:sz w:val="21"/>
                <w:szCs w:val="21"/>
                <w:lang w:val="en-US" w:eastAsia="zh-CN"/>
              </w:rPr>
            </w:pPr>
            <w:r>
              <w:drawing>
                <wp:inline distT="0" distB="0" distL="114300" distR="114300">
                  <wp:extent cx="5212715" cy="7071360"/>
                  <wp:effectExtent l="0" t="0" r="6985" b="1524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4"/>
                          <a:stretch>
                            <a:fillRect/>
                          </a:stretch>
                        </pic:blipFill>
                        <pic:spPr>
                          <a:xfrm>
                            <a:off x="0" y="0"/>
                            <a:ext cx="5212715" cy="7071360"/>
                          </a:xfrm>
                          <a:prstGeom prst="rect">
                            <a:avLst/>
                          </a:prstGeom>
                          <a:noFill/>
                          <a:ln>
                            <a:noFill/>
                          </a:ln>
                        </pic:spPr>
                      </pic:pic>
                    </a:graphicData>
                  </a:graphic>
                </wp:inline>
              </w:drawing>
            </w:r>
          </w:p>
          <w:p>
            <w:pPr>
              <w:pStyle w:val="8"/>
              <w:ind w:firstLine="1476" w:firstLineChars="700"/>
              <w:jc w:val="both"/>
              <w:rPr>
                <w:rFonts w:hint="default"/>
                <w:b/>
                <w:bCs/>
                <w:lang w:val="en-US" w:eastAsia="zh-CN"/>
              </w:rPr>
            </w:pPr>
            <w:r>
              <w:rPr>
                <w:rFonts w:hint="eastAsia"/>
                <w:b/>
                <w:bCs/>
                <w:sz w:val="21"/>
                <w:szCs w:val="21"/>
                <w:lang w:val="en-US" w:eastAsia="zh-CN"/>
              </w:rPr>
              <w:t>图2-4  现有项目异酯合成工段工艺流程及产污环节图</w:t>
            </w:r>
          </w:p>
          <w:p>
            <w:pPr>
              <w:numPr>
                <w:ilvl w:val="0"/>
                <w:numId w:val="0"/>
              </w:numPr>
              <w:spacing w:line="276" w:lineRule="auto"/>
              <w:rPr>
                <w:rFonts w:hint="eastAsia"/>
                <w:sz w:val="21"/>
                <w:szCs w:val="21"/>
                <w:lang w:val="en-US" w:eastAsia="zh-CN"/>
              </w:rPr>
            </w:pPr>
            <w:r>
              <w:rPr>
                <w:rFonts w:hint="eastAsia"/>
                <w:sz w:val="21"/>
                <w:szCs w:val="21"/>
                <w:lang w:val="en-US" w:eastAsia="zh-CN"/>
              </w:rPr>
              <w:t>（3）丙硫克百威生产线</w:t>
            </w:r>
          </w:p>
          <w:p>
            <w:pPr>
              <w:numPr>
                <w:ilvl w:val="0"/>
                <w:numId w:val="0"/>
              </w:numPr>
              <w:spacing w:line="276" w:lineRule="auto"/>
              <w:ind w:firstLine="420" w:firstLineChars="200"/>
              <w:rPr>
                <w:rFonts w:hint="eastAsia"/>
                <w:sz w:val="21"/>
                <w:szCs w:val="21"/>
                <w:lang w:val="en-US" w:eastAsia="zh-CN"/>
              </w:rPr>
            </w:pPr>
            <w:r>
              <w:rPr>
                <w:rFonts w:hint="eastAsia"/>
                <w:sz w:val="21"/>
                <w:szCs w:val="21"/>
                <w:lang w:val="en-US" w:eastAsia="zh-CN"/>
              </w:rPr>
              <w:t>因丙硫克百威和丁硫克百威同为甲基异氰酸酯第三代农药，将原材料二正丁胺换为N-异丙基-β-丙氨酸乙酯（简称IAP），就能实现一套装置生产两种原药，两个产品根据市场需求安排交替生产。工艺流程图如下：</w:t>
            </w:r>
          </w:p>
          <w:p>
            <w:pPr>
              <w:numPr>
                <w:ilvl w:val="0"/>
                <w:numId w:val="0"/>
              </w:numPr>
              <w:spacing w:line="276" w:lineRule="auto"/>
              <w:rPr>
                <w:rFonts w:hint="eastAsia"/>
                <w:sz w:val="21"/>
                <w:szCs w:val="21"/>
                <w:lang w:val="en-US" w:eastAsia="zh-CN"/>
              </w:rPr>
            </w:pPr>
            <w:r>
              <w:drawing>
                <wp:inline distT="0" distB="0" distL="114300" distR="114300">
                  <wp:extent cx="5029835" cy="5220970"/>
                  <wp:effectExtent l="0" t="0" r="18415" b="1778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5"/>
                          <a:stretch>
                            <a:fillRect/>
                          </a:stretch>
                        </pic:blipFill>
                        <pic:spPr>
                          <a:xfrm>
                            <a:off x="0" y="0"/>
                            <a:ext cx="5029835" cy="5220970"/>
                          </a:xfrm>
                          <a:prstGeom prst="rect">
                            <a:avLst/>
                          </a:prstGeom>
                          <a:noFill/>
                          <a:ln>
                            <a:noFill/>
                          </a:ln>
                        </pic:spPr>
                      </pic:pic>
                    </a:graphicData>
                  </a:graphic>
                </wp:inline>
              </w:drawing>
            </w:r>
          </w:p>
          <w:p>
            <w:pPr>
              <w:pStyle w:val="8"/>
              <w:ind w:firstLine="1476" w:firstLineChars="700"/>
              <w:jc w:val="both"/>
              <w:rPr>
                <w:rFonts w:hint="default"/>
                <w:b/>
                <w:bCs/>
                <w:lang w:val="en-US" w:eastAsia="zh-CN"/>
              </w:rPr>
            </w:pPr>
            <w:r>
              <w:rPr>
                <w:rFonts w:hint="eastAsia"/>
                <w:b/>
                <w:bCs/>
                <w:sz w:val="21"/>
                <w:szCs w:val="21"/>
                <w:lang w:val="en-US" w:eastAsia="zh-CN"/>
              </w:rPr>
              <w:t>图2-5  现有项目丙硫克百威生产线工艺流程及产污环节图</w:t>
            </w:r>
          </w:p>
          <w:p>
            <w:pPr>
              <w:widowControl w:val="0"/>
              <w:numPr>
                <w:ilvl w:val="0"/>
                <w:numId w:val="0"/>
              </w:numPr>
              <w:spacing w:line="276" w:lineRule="auto"/>
              <w:ind w:leftChars="0"/>
              <w:jc w:val="both"/>
              <w:rPr>
                <w:rFonts w:hint="eastAsia"/>
                <w:sz w:val="21"/>
                <w:szCs w:val="21"/>
                <w:lang w:val="en-US" w:eastAsia="zh-CN"/>
              </w:rPr>
            </w:pPr>
            <w:r>
              <w:rPr>
                <w:rFonts w:hint="eastAsia"/>
                <w:sz w:val="21"/>
                <w:szCs w:val="21"/>
                <w:lang w:val="en-US" w:eastAsia="zh-CN"/>
              </w:rPr>
              <w:t>（4）原药合成车间</w:t>
            </w:r>
          </w:p>
          <w:p>
            <w:pPr>
              <w:widowControl w:val="0"/>
              <w:numPr>
                <w:ilvl w:val="0"/>
                <w:numId w:val="0"/>
              </w:numPr>
              <w:spacing w:line="276" w:lineRule="auto"/>
              <w:ind w:leftChars="0" w:firstLine="420" w:firstLineChars="200"/>
              <w:jc w:val="both"/>
              <w:rPr>
                <w:rFonts w:hint="eastAsia"/>
                <w:sz w:val="21"/>
                <w:szCs w:val="21"/>
                <w:lang w:val="en-US" w:eastAsia="zh-CN"/>
              </w:rPr>
            </w:pPr>
            <w:r>
              <w:rPr>
                <w:rFonts w:hint="eastAsia"/>
                <w:sz w:val="21"/>
                <w:szCs w:val="21"/>
                <w:lang w:val="en-US" w:eastAsia="zh-CN"/>
              </w:rPr>
              <w:t>生产工艺流程包括四个工段：克百威合成工段、残杀威合成工段、仲丁威合成工段、异丙威合成工段、灭多威生产装置。</w:t>
            </w:r>
          </w:p>
          <w:p>
            <w:pPr>
              <w:widowControl w:val="0"/>
              <w:numPr>
                <w:ilvl w:val="0"/>
                <w:numId w:val="0"/>
              </w:numPr>
              <w:spacing w:line="276" w:lineRule="auto"/>
              <w:ind w:firstLine="420" w:firstLineChars="200"/>
              <w:jc w:val="both"/>
              <w:rPr>
                <w:rFonts w:hint="eastAsia"/>
                <w:sz w:val="21"/>
                <w:szCs w:val="21"/>
                <w:lang w:val="en-US" w:eastAsia="zh-CN"/>
              </w:rPr>
            </w:pPr>
            <w:r>
              <w:rPr>
                <w:rFonts w:hint="eastAsia"/>
                <w:sz w:val="21"/>
                <w:szCs w:val="21"/>
                <w:lang w:val="en-US" w:eastAsia="zh-CN"/>
              </w:rPr>
              <w:t>仲丁威、异丙威和灭多威合成工段工艺流程如下：</w:t>
            </w:r>
          </w:p>
          <w:p>
            <w:pPr>
              <w:widowControl w:val="0"/>
              <w:numPr>
                <w:ilvl w:val="0"/>
                <w:numId w:val="0"/>
              </w:numPr>
              <w:spacing w:line="276" w:lineRule="auto"/>
              <w:jc w:val="both"/>
              <w:rPr>
                <w:rFonts w:hint="eastAsia"/>
                <w:sz w:val="21"/>
                <w:szCs w:val="21"/>
                <w:lang w:val="en-US" w:eastAsia="zh-CN"/>
              </w:rPr>
            </w:pPr>
            <w:r>
              <w:drawing>
                <wp:inline distT="0" distB="0" distL="114300" distR="114300">
                  <wp:extent cx="5019675" cy="6360795"/>
                  <wp:effectExtent l="0" t="0" r="9525" b="190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6"/>
                          <a:stretch>
                            <a:fillRect/>
                          </a:stretch>
                        </pic:blipFill>
                        <pic:spPr>
                          <a:xfrm>
                            <a:off x="0" y="0"/>
                            <a:ext cx="5019675" cy="6360795"/>
                          </a:xfrm>
                          <a:prstGeom prst="rect">
                            <a:avLst/>
                          </a:prstGeom>
                          <a:noFill/>
                          <a:ln>
                            <a:noFill/>
                          </a:ln>
                        </pic:spPr>
                      </pic:pic>
                    </a:graphicData>
                  </a:graphic>
                </wp:inline>
              </w:drawing>
            </w:r>
          </w:p>
          <w:p>
            <w:pPr>
              <w:pStyle w:val="8"/>
              <w:ind w:firstLine="632" w:firstLineChars="300"/>
              <w:jc w:val="both"/>
              <w:rPr>
                <w:rFonts w:hint="default"/>
                <w:b/>
                <w:bCs/>
                <w:lang w:val="en-US" w:eastAsia="zh-CN"/>
              </w:rPr>
            </w:pPr>
            <w:r>
              <w:rPr>
                <w:rFonts w:hint="eastAsia"/>
                <w:b/>
                <w:bCs/>
                <w:sz w:val="21"/>
                <w:szCs w:val="21"/>
                <w:lang w:val="en-US" w:eastAsia="zh-CN"/>
              </w:rPr>
              <w:t>图2-6  仲丁威、异丙威和残杀威生产线工艺流程及产污环节图</w:t>
            </w:r>
          </w:p>
          <w:p>
            <w:pPr>
              <w:spacing w:line="276" w:lineRule="auto"/>
              <w:ind w:firstLine="420"/>
              <w:rPr>
                <w:rFonts w:hint="eastAsia"/>
                <w:b w:val="0"/>
                <w:bCs w:val="0"/>
                <w:sz w:val="21"/>
                <w:szCs w:val="21"/>
                <w:lang w:val="en-US" w:eastAsia="zh-CN"/>
              </w:rPr>
            </w:pPr>
            <w:r>
              <w:rPr>
                <w:rFonts w:hint="eastAsia"/>
                <w:b w:val="0"/>
                <w:bCs w:val="0"/>
                <w:sz w:val="21"/>
                <w:szCs w:val="21"/>
                <w:lang w:val="en-US" w:eastAsia="zh-CN"/>
              </w:rPr>
              <w:t>（5）抗蚜威合成工段工艺流程及产污节点图如下：</w:t>
            </w:r>
          </w:p>
          <w:p>
            <w:pPr>
              <w:spacing w:line="276" w:lineRule="auto"/>
              <w:ind w:left="0" w:leftChars="0" w:firstLine="0" w:firstLineChars="0"/>
              <w:rPr>
                <w:rFonts w:hint="eastAsia"/>
                <w:b/>
                <w:bCs/>
                <w:sz w:val="21"/>
                <w:szCs w:val="21"/>
                <w:lang w:val="en-US" w:eastAsia="zh-CN"/>
              </w:rPr>
            </w:pPr>
            <w:r>
              <w:drawing>
                <wp:inline distT="0" distB="0" distL="114300" distR="114300">
                  <wp:extent cx="5029835" cy="4418965"/>
                  <wp:effectExtent l="0" t="0" r="18415" b="63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7"/>
                          <a:srcRect b="4616"/>
                          <a:stretch>
                            <a:fillRect/>
                          </a:stretch>
                        </pic:blipFill>
                        <pic:spPr>
                          <a:xfrm>
                            <a:off x="0" y="0"/>
                            <a:ext cx="5029835" cy="4418965"/>
                          </a:xfrm>
                          <a:prstGeom prst="rect">
                            <a:avLst/>
                          </a:prstGeom>
                          <a:noFill/>
                          <a:ln>
                            <a:noFill/>
                          </a:ln>
                        </pic:spPr>
                      </pic:pic>
                    </a:graphicData>
                  </a:graphic>
                </wp:inline>
              </w:drawing>
            </w:r>
          </w:p>
          <w:p>
            <w:pPr>
              <w:spacing w:line="276" w:lineRule="auto"/>
              <w:ind w:left="0" w:leftChars="0" w:firstLine="0" w:firstLineChars="0"/>
              <w:rPr>
                <w:rFonts w:hint="eastAsia"/>
                <w:b/>
                <w:bCs/>
                <w:sz w:val="21"/>
                <w:szCs w:val="21"/>
                <w:lang w:val="en-US" w:eastAsia="zh-CN"/>
              </w:rPr>
            </w:pPr>
            <w:r>
              <w:drawing>
                <wp:inline distT="0" distB="0" distL="114300" distR="114300">
                  <wp:extent cx="4410075" cy="3979545"/>
                  <wp:effectExtent l="0" t="0" r="9525" b="190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8"/>
                          <a:srcRect t="1519"/>
                          <a:stretch>
                            <a:fillRect/>
                          </a:stretch>
                        </pic:blipFill>
                        <pic:spPr>
                          <a:xfrm>
                            <a:off x="0" y="0"/>
                            <a:ext cx="4410075" cy="3979545"/>
                          </a:xfrm>
                          <a:prstGeom prst="rect">
                            <a:avLst/>
                          </a:prstGeom>
                          <a:noFill/>
                          <a:ln>
                            <a:noFill/>
                          </a:ln>
                        </pic:spPr>
                      </pic:pic>
                    </a:graphicData>
                  </a:graphic>
                </wp:inline>
              </w:drawing>
            </w:r>
          </w:p>
          <w:p>
            <w:pPr>
              <w:pStyle w:val="8"/>
              <w:ind w:firstLine="1265" w:firstLineChars="600"/>
              <w:jc w:val="both"/>
              <w:rPr>
                <w:rFonts w:hint="default"/>
                <w:b/>
                <w:bCs/>
                <w:lang w:val="en-US" w:eastAsia="zh-CN"/>
              </w:rPr>
            </w:pPr>
            <w:r>
              <w:rPr>
                <w:rFonts w:hint="eastAsia"/>
                <w:b/>
                <w:bCs/>
                <w:sz w:val="21"/>
                <w:szCs w:val="21"/>
                <w:lang w:val="en-US" w:eastAsia="zh-CN"/>
              </w:rPr>
              <w:t>图2-7  抗蚜威生产线工艺流程及产污环节图</w:t>
            </w:r>
          </w:p>
          <w:p>
            <w:pPr>
              <w:spacing w:line="276" w:lineRule="auto"/>
              <w:ind w:left="0" w:leftChars="0" w:firstLine="0" w:firstLineChars="0"/>
              <w:rPr>
                <w:rFonts w:hint="eastAsia"/>
                <w:b w:val="0"/>
                <w:bCs w:val="0"/>
                <w:sz w:val="21"/>
                <w:szCs w:val="21"/>
                <w:lang w:val="en-US" w:eastAsia="zh-CN"/>
              </w:rPr>
            </w:pPr>
            <w:r>
              <w:rPr>
                <w:rFonts w:hint="eastAsia"/>
                <w:b w:val="0"/>
                <w:bCs w:val="0"/>
                <w:sz w:val="21"/>
                <w:szCs w:val="21"/>
                <w:lang w:val="en-US" w:eastAsia="zh-CN"/>
              </w:rPr>
              <w:t>（6）硫多灭多威生产工艺流程：</w:t>
            </w:r>
          </w:p>
          <w:p>
            <w:pPr>
              <w:spacing w:line="276" w:lineRule="auto"/>
              <w:ind w:left="0" w:leftChars="0" w:firstLine="0" w:firstLineChars="0"/>
              <w:rPr>
                <w:rFonts w:hint="eastAsia"/>
                <w:b w:val="0"/>
                <w:bCs w:val="0"/>
                <w:sz w:val="21"/>
                <w:szCs w:val="21"/>
                <w:lang w:val="en-US" w:eastAsia="zh-CN"/>
              </w:rPr>
            </w:pPr>
            <w:r>
              <w:drawing>
                <wp:inline distT="0" distB="0" distL="114300" distR="114300">
                  <wp:extent cx="5024120" cy="5610860"/>
                  <wp:effectExtent l="0" t="0" r="5080" b="889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19"/>
                          <a:stretch>
                            <a:fillRect/>
                          </a:stretch>
                        </pic:blipFill>
                        <pic:spPr>
                          <a:xfrm>
                            <a:off x="0" y="0"/>
                            <a:ext cx="5024120" cy="5610860"/>
                          </a:xfrm>
                          <a:prstGeom prst="rect">
                            <a:avLst/>
                          </a:prstGeom>
                          <a:noFill/>
                          <a:ln>
                            <a:noFill/>
                          </a:ln>
                        </pic:spPr>
                      </pic:pic>
                    </a:graphicData>
                  </a:graphic>
                </wp:inline>
              </w:drawing>
            </w:r>
          </w:p>
          <w:p>
            <w:pPr>
              <w:pStyle w:val="8"/>
              <w:ind w:firstLine="1265" w:firstLineChars="600"/>
              <w:jc w:val="both"/>
              <w:rPr>
                <w:rFonts w:hint="default"/>
                <w:b/>
                <w:bCs/>
                <w:lang w:val="en-US" w:eastAsia="zh-CN"/>
              </w:rPr>
            </w:pPr>
            <w:r>
              <w:rPr>
                <w:rFonts w:hint="eastAsia"/>
                <w:b/>
                <w:bCs/>
                <w:sz w:val="21"/>
                <w:szCs w:val="21"/>
                <w:lang w:val="en-US" w:eastAsia="zh-CN"/>
              </w:rPr>
              <w:t>图2-8  硫多灭多威生产线工艺流程及产污环节图</w:t>
            </w:r>
          </w:p>
          <w:p>
            <w:pPr>
              <w:numPr>
                <w:ilvl w:val="0"/>
                <w:numId w:val="4"/>
              </w:numPr>
              <w:spacing w:line="276" w:lineRule="auto"/>
              <w:ind w:left="0" w:leftChars="0" w:firstLine="0" w:firstLineChars="0"/>
              <w:rPr>
                <w:rFonts w:hint="eastAsia"/>
                <w:b w:val="0"/>
                <w:bCs w:val="0"/>
                <w:sz w:val="21"/>
                <w:szCs w:val="21"/>
                <w:lang w:val="en-US" w:eastAsia="zh-CN"/>
              </w:rPr>
            </w:pPr>
            <w:r>
              <w:rPr>
                <w:rFonts w:hint="eastAsia"/>
                <w:b w:val="0"/>
                <w:bCs w:val="0"/>
                <w:sz w:val="21"/>
                <w:szCs w:val="21"/>
                <w:lang w:val="en-US" w:eastAsia="zh-CN"/>
              </w:rPr>
              <w:t>邻异丙氧基苯酚工段生产工艺流程：</w:t>
            </w:r>
          </w:p>
          <w:p>
            <w:pPr>
              <w:numPr>
                <w:ilvl w:val="0"/>
                <w:numId w:val="0"/>
              </w:numPr>
              <w:spacing w:line="276" w:lineRule="auto"/>
              <w:ind w:leftChars="0"/>
              <w:rPr>
                <w:rFonts w:hint="eastAsia"/>
                <w:b w:val="0"/>
                <w:bCs w:val="0"/>
                <w:sz w:val="21"/>
                <w:szCs w:val="21"/>
                <w:lang w:val="en-US" w:eastAsia="zh-CN"/>
              </w:rPr>
            </w:pPr>
            <w:r>
              <w:drawing>
                <wp:inline distT="0" distB="0" distL="114300" distR="114300">
                  <wp:extent cx="5029835" cy="4876800"/>
                  <wp:effectExtent l="0" t="0" r="18415" b="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20"/>
                          <a:stretch>
                            <a:fillRect/>
                          </a:stretch>
                        </pic:blipFill>
                        <pic:spPr>
                          <a:xfrm>
                            <a:off x="0" y="0"/>
                            <a:ext cx="5029835" cy="4876800"/>
                          </a:xfrm>
                          <a:prstGeom prst="rect">
                            <a:avLst/>
                          </a:prstGeom>
                          <a:noFill/>
                          <a:ln>
                            <a:noFill/>
                          </a:ln>
                        </pic:spPr>
                      </pic:pic>
                    </a:graphicData>
                  </a:graphic>
                </wp:inline>
              </w:drawing>
            </w:r>
          </w:p>
          <w:p>
            <w:pPr>
              <w:pStyle w:val="8"/>
              <w:ind w:firstLine="1265" w:firstLineChars="600"/>
              <w:jc w:val="both"/>
              <w:rPr>
                <w:rFonts w:hint="eastAsia"/>
                <w:b/>
                <w:bCs/>
                <w:sz w:val="21"/>
                <w:szCs w:val="21"/>
                <w:lang w:val="en-US" w:eastAsia="zh-CN"/>
              </w:rPr>
            </w:pPr>
            <w:r>
              <w:rPr>
                <w:rFonts w:hint="eastAsia"/>
                <w:b/>
                <w:bCs/>
                <w:sz w:val="21"/>
                <w:szCs w:val="21"/>
                <w:lang w:val="en-US" w:eastAsia="zh-CN"/>
              </w:rPr>
              <w:t>图2-9  邻异丙氧基苯酚生产线工艺流程及产污环节图</w:t>
            </w:r>
          </w:p>
          <w:p>
            <w:pPr>
              <w:spacing w:line="276" w:lineRule="auto"/>
              <w:ind w:left="0" w:leftChars="0" w:firstLine="0" w:firstLineChars="0"/>
              <w:rPr>
                <w:rFonts w:hint="eastAsia"/>
                <w:b/>
                <w:bCs/>
                <w:sz w:val="21"/>
                <w:szCs w:val="21"/>
                <w:lang w:val="en-US" w:eastAsia="zh-CN"/>
              </w:rPr>
            </w:pPr>
            <w:r>
              <w:rPr>
                <w:rFonts w:hint="eastAsia"/>
                <w:b/>
                <w:bCs/>
                <w:sz w:val="21"/>
                <w:szCs w:val="21"/>
                <w:lang w:val="en-US" w:eastAsia="zh-CN"/>
              </w:rPr>
              <w:t>3、原有仓库储存情况及污染防治现状</w:t>
            </w:r>
          </w:p>
          <w:p>
            <w:pPr>
              <w:spacing w:line="276" w:lineRule="auto"/>
              <w:ind w:left="0" w:leftChars="0" w:firstLine="420" w:firstLineChars="200"/>
              <w:rPr>
                <w:rFonts w:hint="eastAsia"/>
                <w:b w:val="0"/>
                <w:bCs w:val="0"/>
                <w:sz w:val="21"/>
                <w:szCs w:val="21"/>
                <w:u w:val="single"/>
                <w:lang w:val="en-US" w:eastAsia="zh-CN"/>
              </w:rPr>
            </w:pPr>
            <w:r>
              <w:rPr>
                <w:rFonts w:hint="eastAsia"/>
                <w:b w:val="0"/>
                <w:bCs w:val="0"/>
                <w:sz w:val="21"/>
                <w:szCs w:val="21"/>
                <w:u w:val="single"/>
                <w:lang w:val="en-US" w:eastAsia="zh-CN"/>
              </w:rPr>
              <w:t>本次改建项目是在拆除原有的原料仓库1号库的基础上，新建一栋丙类仓库。原1号仓库占地面积为496m</w:t>
            </w:r>
            <w:r>
              <w:rPr>
                <w:rFonts w:hint="eastAsia"/>
                <w:b w:val="0"/>
                <w:bCs w:val="0"/>
                <w:sz w:val="21"/>
                <w:szCs w:val="21"/>
                <w:u w:val="single"/>
                <w:vertAlign w:val="superscript"/>
                <w:lang w:val="en-US" w:eastAsia="zh-CN"/>
              </w:rPr>
              <w:t>2</w:t>
            </w:r>
            <w:r>
              <w:rPr>
                <w:rFonts w:hint="eastAsia"/>
                <w:b w:val="0"/>
                <w:bCs w:val="0"/>
                <w:sz w:val="21"/>
                <w:szCs w:val="21"/>
                <w:u w:val="single"/>
                <w:lang w:val="en-US" w:eastAsia="zh-CN"/>
              </w:rPr>
              <w:t>（40m*12.4m），经清库目前主要物料储存情况如下表所示：</w:t>
            </w:r>
          </w:p>
          <w:p>
            <w:pPr>
              <w:spacing w:line="276" w:lineRule="auto"/>
              <w:ind w:left="0" w:leftChars="0" w:firstLine="420" w:firstLineChars="200"/>
              <w:jc w:val="center"/>
              <w:rPr>
                <w:rFonts w:hint="eastAsia"/>
                <w:b w:val="0"/>
                <w:bCs w:val="0"/>
                <w:sz w:val="21"/>
                <w:szCs w:val="21"/>
                <w:u w:val="single"/>
                <w:lang w:val="en-US" w:eastAsia="zh-CN"/>
              </w:rPr>
            </w:pPr>
            <w:r>
              <w:rPr>
                <w:rFonts w:hint="eastAsia"/>
                <w:b w:val="0"/>
                <w:bCs w:val="0"/>
                <w:sz w:val="21"/>
                <w:szCs w:val="21"/>
                <w:u w:val="single"/>
                <w:lang w:val="en-US" w:eastAsia="zh-CN"/>
              </w:rPr>
              <w:t>表2-8  原料1号仓库的储存情况表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69"/>
              <w:gridCol w:w="1679"/>
              <w:gridCol w:w="1171"/>
              <w:gridCol w:w="1469"/>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序号</w:t>
                  </w:r>
                </w:p>
              </w:tc>
              <w:tc>
                <w:tcPr>
                  <w:tcW w:w="1569"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储存物质名称</w:t>
                  </w:r>
                </w:p>
              </w:tc>
              <w:tc>
                <w:tcPr>
                  <w:tcW w:w="1679"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储存方式</w:t>
                  </w:r>
                </w:p>
              </w:tc>
              <w:tc>
                <w:tcPr>
                  <w:tcW w:w="1171"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规格</w:t>
                  </w:r>
                </w:p>
              </w:tc>
              <w:tc>
                <w:tcPr>
                  <w:tcW w:w="1469" w:type="dxa"/>
                  <w:vAlign w:val="center"/>
                </w:tcPr>
                <w:p>
                  <w:pPr>
                    <w:spacing w:line="276" w:lineRule="auto"/>
                    <w:ind w:left="0" w:leftChars="0" w:firstLine="0" w:firstLineChars="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储存数量(桶)</w:t>
                  </w:r>
                </w:p>
              </w:tc>
              <w:tc>
                <w:tcPr>
                  <w:tcW w:w="1162" w:type="dxa"/>
                  <w:vAlign w:val="center"/>
                </w:tcPr>
                <w:p>
                  <w:pPr>
                    <w:spacing w:line="276" w:lineRule="auto"/>
                    <w:ind w:left="0" w:leftChars="0" w:firstLine="0" w:firstLineChars="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储存量（t）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2" w:type="dxa"/>
                  <w:gridSpan w:val="6"/>
                  <w:vAlign w:val="center"/>
                </w:tcPr>
                <w:p>
                  <w:pPr>
                    <w:spacing w:line="276" w:lineRule="auto"/>
                    <w:ind w:left="0" w:leftChars="0" w:firstLine="0" w:firstLineChars="0"/>
                    <w:jc w:val="center"/>
                    <w:rPr>
                      <w:rFonts w:hint="eastAsia"/>
                      <w:b w:val="0"/>
                      <w:bCs w:val="0"/>
                      <w:sz w:val="21"/>
                      <w:szCs w:val="21"/>
                      <w:u w:val="single"/>
                      <w:vertAlign w:val="baseline"/>
                      <w:lang w:val="en-US" w:eastAsia="zh-CN"/>
                    </w:rPr>
                  </w:pPr>
                  <w:r>
                    <w:rPr>
                      <w:rFonts w:hint="eastAsia"/>
                      <w:b w:val="0"/>
                      <w:bCs w:val="0"/>
                      <w:sz w:val="21"/>
                      <w:szCs w:val="21"/>
                      <w:u w:val="single"/>
                      <w:lang w:val="en-US" w:eastAsia="zh-CN"/>
                    </w:rPr>
                    <w:t>1号库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w:t>
                  </w:r>
                </w:p>
              </w:tc>
              <w:tc>
                <w:tcPr>
                  <w:tcW w:w="1569" w:type="dxa"/>
                  <w:vAlign w:val="center"/>
                </w:tcPr>
                <w:p>
                  <w:pPr>
                    <w:spacing w:line="276" w:lineRule="auto"/>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DMAP</w:t>
                  </w:r>
                </w:p>
              </w:tc>
              <w:tc>
                <w:tcPr>
                  <w:tcW w:w="1679" w:type="dxa"/>
                  <w:vAlign w:val="center"/>
                </w:tcPr>
                <w:p>
                  <w:pPr>
                    <w:spacing w:line="276" w:lineRule="auto"/>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袋装</w:t>
                  </w:r>
                </w:p>
              </w:tc>
              <w:tc>
                <w:tcPr>
                  <w:tcW w:w="1171" w:type="dxa"/>
                  <w:vAlign w:val="center"/>
                </w:tcPr>
                <w:p>
                  <w:pPr>
                    <w:spacing w:line="276" w:lineRule="auto"/>
                    <w:ind w:left="0" w:leftChars="0" w:firstLine="0" w:firstLineChars="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25kg/袋</w:t>
                  </w:r>
                </w:p>
              </w:tc>
              <w:tc>
                <w:tcPr>
                  <w:tcW w:w="1469" w:type="dxa"/>
                  <w:vAlign w:val="center"/>
                </w:tcPr>
                <w:p>
                  <w:pPr>
                    <w:spacing w:line="276" w:lineRule="auto"/>
                    <w:jc w:val="left"/>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15</w:t>
                  </w:r>
                </w:p>
              </w:tc>
              <w:tc>
                <w:tcPr>
                  <w:tcW w:w="116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w:t>
                  </w:r>
                </w:p>
              </w:tc>
              <w:tc>
                <w:tcPr>
                  <w:tcW w:w="1569" w:type="dxa"/>
                  <w:vAlign w:val="center"/>
                </w:tcPr>
                <w:p>
                  <w:pPr>
                    <w:spacing w:line="276" w:lineRule="auto"/>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哌啶</w:t>
                  </w:r>
                </w:p>
              </w:tc>
              <w:tc>
                <w:tcPr>
                  <w:tcW w:w="1679" w:type="dxa"/>
                  <w:vAlign w:val="center"/>
                </w:tcPr>
                <w:p>
                  <w:pPr>
                    <w:spacing w:line="276" w:lineRule="auto"/>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桶装</w:t>
                  </w:r>
                </w:p>
              </w:tc>
              <w:tc>
                <w:tcPr>
                  <w:tcW w:w="1171" w:type="dxa"/>
                  <w:vAlign w:val="center"/>
                </w:tcPr>
                <w:p>
                  <w:pPr>
                    <w:spacing w:line="276" w:lineRule="auto"/>
                    <w:ind w:left="0" w:leftChars="0" w:firstLine="0" w:firstLineChars="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176kg/桶</w:t>
                  </w:r>
                </w:p>
              </w:tc>
              <w:tc>
                <w:tcPr>
                  <w:tcW w:w="1469" w:type="dxa"/>
                  <w:vAlign w:val="center"/>
                </w:tcPr>
                <w:p>
                  <w:pPr>
                    <w:spacing w:line="276" w:lineRule="auto"/>
                    <w:jc w:val="left"/>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19</w:t>
                  </w:r>
                </w:p>
              </w:tc>
              <w:tc>
                <w:tcPr>
                  <w:tcW w:w="116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3.356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3</w:t>
                  </w:r>
                </w:p>
              </w:tc>
              <w:tc>
                <w:tcPr>
                  <w:tcW w:w="1569" w:type="dxa"/>
                  <w:vAlign w:val="center"/>
                </w:tcPr>
                <w:p>
                  <w:pPr>
                    <w:spacing w:line="276" w:lineRule="auto"/>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氯化锌</w:t>
                  </w:r>
                </w:p>
              </w:tc>
              <w:tc>
                <w:tcPr>
                  <w:tcW w:w="1679" w:type="dxa"/>
                  <w:vAlign w:val="center"/>
                </w:tcPr>
                <w:p>
                  <w:pPr>
                    <w:spacing w:line="276" w:lineRule="auto"/>
                    <w:ind w:firstLine="420" w:firstLineChars="20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袋装</w:t>
                  </w:r>
                </w:p>
              </w:tc>
              <w:tc>
                <w:tcPr>
                  <w:tcW w:w="1171" w:type="dxa"/>
                  <w:vAlign w:val="center"/>
                </w:tcPr>
                <w:p>
                  <w:pPr>
                    <w:spacing w:line="276" w:lineRule="auto"/>
                    <w:ind w:left="0" w:leftChars="0" w:firstLine="0" w:firstLineChars="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25kg/袋</w:t>
                  </w:r>
                </w:p>
              </w:tc>
              <w:tc>
                <w:tcPr>
                  <w:tcW w:w="1469" w:type="dxa"/>
                  <w:vAlign w:val="center"/>
                </w:tcPr>
                <w:p>
                  <w:pPr>
                    <w:spacing w:line="276" w:lineRule="auto"/>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126</w:t>
                  </w:r>
                </w:p>
              </w:tc>
              <w:tc>
                <w:tcPr>
                  <w:tcW w:w="1162" w:type="dxa"/>
                  <w:vAlign w:val="center"/>
                </w:tcPr>
                <w:p>
                  <w:pPr>
                    <w:spacing w:line="276" w:lineRule="auto"/>
                    <w:ind w:left="0" w:leftChars="0" w:firstLine="210" w:firstLineChars="10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4</w:t>
                  </w:r>
                </w:p>
              </w:tc>
              <w:tc>
                <w:tcPr>
                  <w:tcW w:w="1569" w:type="dxa"/>
                  <w:vAlign w:val="center"/>
                </w:tcPr>
                <w:p>
                  <w:pPr>
                    <w:spacing w:line="276" w:lineRule="auto"/>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白炭黑</w:t>
                  </w:r>
                </w:p>
              </w:tc>
              <w:tc>
                <w:tcPr>
                  <w:tcW w:w="1679" w:type="dxa"/>
                  <w:vAlign w:val="center"/>
                </w:tcPr>
                <w:p>
                  <w:pPr>
                    <w:spacing w:line="276" w:lineRule="auto"/>
                    <w:ind w:firstLine="420" w:firstLineChars="20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袋装</w:t>
                  </w:r>
                </w:p>
              </w:tc>
              <w:tc>
                <w:tcPr>
                  <w:tcW w:w="1171" w:type="dxa"/>
                  <w:vAlign w:val="center"/>
                </w:tcPr>
                <w:p>
                  <w:pPr>
                    <w:spacing w:line="276" w:lineRule="auto"/>
                    <w:ind w:left="0" w:leftChars="0" w:firstLine="0" w:firstLineChars="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20kg/袋</w:t>
                  </w:r>
                </w:p>
              </w:tc>
              <w:tc>
                <w:tcPr>
                  <w:tcW w:w="1469" w:type="dxa"/>
                  <w:vAlign w:val="center"/>
                </w:tcPr>
                <w:p>
                  <w:pPr>
                    <w:spacing w:line="276" w:lineRule="auto"/>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18</w:t>
                  </w:r>
                </w:p>
              </w:tc>
              <w:tc>
                <w:tcPr>
                  <w:tcW w:w="116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w:t>
                  </w:r>
                </w:p>
              </w:tc>
              <w:tc>
                <w:tcPr>
                  <w:tcW w:w="1569" w:type="dxa"/>
                  <w:vAlign w:val="center"/>
                </w:tcPr>
                <w:p>
                  <w:pPr>
                    <w:spacing w:line="276" w:lineRule="auto"/>
                    <w:ind w:left="0" w:leftChars="0" w:firstLine="0" w:firstLineChars="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磷酸二正丁酯</w:t>
                  </w:r>
                </w:p>
              </w:tc>
              <w:tc>
                <w:tcPr>
                  <w:tcW w:w="1679" w:type="dxa"/>
                  <w:vAlign w:val="center"/>
                </w:tcPr>
                <w:p>
                  <w:pPr>
                    <w:spacing w:line="276" w:lineRule="auto"/>
                    <w:ind w:firstLine="420" w:firstLineChars="20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桶装</w:t>
                  </w:r>
                </w:p>
              </w:tc>
              <w:tc>
                <w:tcPr>
                  <w:tcW w:w="1171" w:type="dxa"/>
                  <w:vAlign w:val="center"/>
                </w:tcPr>
                <w:p>
                  <w:pPr>
                    <w:spacing w:line="276" w:lineRule="auto"/>
                    <w:ind w:left="0" w:leftChars="0" w:firstLine="0" w:firstLineChars="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200kg/桶</w:t>
                  </w:r>
                </w:p>
              </w:tc>
              <w:tc>
                <w:tcPr>
                  <w:tcW w:w="1469" w:type="dxa"/>
                  <w:vAlign w:val="center"/>
                </w:tcPr>
                <w:p>
                  <w:pPr>
                    <w:spacing w:line="276" w:lineRule="auto"/>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4</w:t>
                  </w:r>
                </w:p>
              </w:tc>
              <w:tc>
                <w:tcPr>
                  <w:tcW w:w="116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6</w:t>
                  </w:r>
                </w:p>
              </w:tc>
              <w:tc>
                <w:tcPr>
                  <w:tcW w:w="1569" w:type="dxa"/>
                  <w:vAlign w:val="center"/>
                </w:tcPr>
                <w:p>
                  <w:pPr>
                    <w:spacing w:line="276" w:lineRule="auto"/>
                    <w:ind w:left="0" w:leftChars="0" w:firstLine="0" w:firstLineChars="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四丁溴化铵</w:t>
                  </w:r>
                </w:p>
              </w:tc>
              <w:tc>
                <w:tcPr>
                  <w:tcW w:w="1679" w:type="dxa"/>
                  <w:vAlign w:val="center"/>
                </w:tcPr>
                <w:p>
                  <w:pPr>
                    <w:spacing w:line="276" w:lineRule="auto"/>
                    <w:ind w:firstLine="420" w:firstLineChars="20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袋装</w:t>
                  </w:r>
                </w:p>
              </w:tc>
              <w:tc>
                <w:tcPr>
                  <w:tcW w:w="1171" w:type="dxa"/>
                  <w:vAlign w:val="center"/>
                </w:tcPr>
                <w:p>
                  <w:pPr>
                    <w:spacing w:line="276" w:lineRule="auto"/>
                    <w:ind w:left="0" w:leftChars="0" w:firstLine="0" w:firstLineChars="0"/>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25kg/袋</w:t>
                  </w:r>
                </w:p>
              </w:tc>
              <w:tc>
                <w:tcPr>
                  <w:tcW w:w="1469" w:type="dxa"/>
                  <w:vAlign w:val="center"/>
                </w:tcPr>
                <w:p>
                  <w:pPr>
                    <w:spacing w:line="276" w:lineRule="auto"/>
                    <w:jc w:val="both"/>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53</w:t>
                  </w:r>
                </w:p>
              </w:tc>
              <w:tc>
                <w:tcPr>
                  <w:tcW w:w="116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小计</w:t>
                  </w:r>
                </w:p>
              </w:tc>
              <w:tc>
                <w:tcPr>
                  <w:tcW w:w="1569" w:type="dxa"/>
                  <w:vAlign w:val="center"/>
                </w:tcPr>
                <w:p>
                  <w:pPr>
                    <w:spacing w:line="276" w:lineRule="auto"/>
                    <w:ind w:left="0" w:leftChars="0" w:firstLine="0" w:firstLineChars="0"/>
                    <w:jc w:val="both"/>
                    <w:rPr>
                      <w:rFonts w:hint="eastAsia"/>
                      <w:b w:val="0"/>
                      <w:bCs w:val="0"/>
                      <w:sz w:val="21"/>
                      <w:szCs w:val="21"/>
                      <w:u w:val="single"/>
                      <w:vertAlign w:val="baseline"/>
                      <w:lang w:val="en-US" w:eastAsia="zh-CN"/>
                    </w:rPr>
                  </w:pPr>
                </w:p>
              </w:tc>
              <w:tc>
                <w:tcPr>
                  <w:tcW w:w="1679" w:type="dxa"/>
                  <w:vAlign w:val="center"/>
                </w:tcPr>
                <w:p>
                  <w:pPr>
                    <w:spacing w:line="276" w:lineRule="auto"/>
                    <w:ind w:firstLine="420" w:firstLineChars="200"/>
                    <w:jc w:val="both"/>
                    <w:rPr>
                      <w:rFonts w:hint="eastAsia"/>
                      <w:b w:val="0"/>
                      <w:bCs w:val="0"/>
                      <w:sz w:val="21"/>
                      <w:szCs w:val="21"/>
                      <w:u w:val="single"/>
                      <w:vertAlign w:val="baseline"/>
                      <w:lang w:val="en-US" w:eastAsia="zh-CN"/>
                    </w:rPr>
                  </w:pPr>
                </w:p>
              </w:tc>
              <w:tc>
                <w:tcPr>
                  <w:tcW w:w="1171" w:type="dxa"/>
                  <w:vAlign w:val="center"/>
                </w:tcPr>
                <w:p>
                  <w:pPr>
                    <w:spacing w:line="276" w:lineRule="auto"/>
                    <w:ind w:left="0" w:leftChars="0" w:firstLine="0" w:firstLineChars="0"/>
                    <w:jc w:val="both"/>
                    <w:rPr>
                      <w:rFonts w:hint="eastAsia"/>
                      <w:b w:val="0"/>
                      <w:bCs w:val="0"/>
                      <w:sz w:val="21"/>
                      <w:szCs w:val="21"/>
                      <w:u w:val="single"/>
                      <w:vertAlign w:val="baseline"/>
                      <w:lang w:val="en-US" w:eastAsia="zh-CN"/>
                    </w:rPr>
                  </w:pPr>
                </w:p>
              </w:tc>
              <w:tc>
                <w:tcPr>
                  <w:tcW w:w="1469" w:type="dxa"/>
                  <w:vAlign w:val="center"/>
                </w:tcPr>
                <w:p>
                  <w:pPr>
                    <w:spacing w:line="276" w:lineRule="auto"/>
                    <w:jc w:val="both"/>
                    <w:rPr>
                      <w:rFonts w:hint="eastAsia"/>
                      <w:b w:val="0"/>
                      <w:bCs w:val="0"/>
                      <w:sz w:val="21"/>
                      <w:szCs w:val="21"/>
                      <w:u w:val="single"/>
                      <w:vertAlign w:val="baseline"/>
                      <w:lang w:val="en-US" w:eastAsia="zh-CN"/>
                    </w:rPr>
                  </w:pPr>
                </w:p>
              </w:tc>
              <w:tc>
                <w:tcPr>
                  <w:tcW w:w="1162" w:type="dxa"/>
                  <w:vAlign w:val="center"/>
                </w:tcPr>
                <w:p>
                  <w:pPr>
                    <w:spacing w:line="276" w:lineRule="auto"/>
                    <w:ind w:left="0" w:leftChars="0" w:firstLine="0" w:firstLineChars="0"/>
                    <w:jc w:val="center"/>
                    <w:rPr>
                      <w:rFonts w:hint="default"/>
                      <w:b w:val="0"/>
                      <w:bCs w:val="0"/>
                      <w:sz w:val="21"/>
                      <w:szCs w:val="21"/>
                      <w:u w:val="single"/>
                      <w:vertAlign w:val="baseline"/>
                      <w:lang w:val="en-US" w:eastAsia="zh-CN"/>
                    </w:rPr>
                  </w:pPr>
                  <w:r>
                    <w:rPr>
                      <w:rFonts w:hint="eastAsia"/>
                      <w:b w:val="0"/>
                      <w:bCs w:val="0"/>
                      <w:sz w:val="21"/>
                      <w:szCs w:val="21"/>
                      <w:u w:val="single"/>
                      <w:vertAlign w:val="baseline"/>
                      <w:lang w:val="en-US" w:eastAsia="zh-CN"/>
                    </w:rPr>
                    <w:t>10.166</w:t>
                  </w:r>
                </w:p>
              </w:tc>
            </w:tr>
          </w:tbl>
          <w:p>
            <w:pPr>
              <w:spacing w:line="276" w:lineRule="auto"/>
              <w:ind w:firstLine="1890" w:firstLineChars="900"/>
              <w:rPr>
                <w:rFonts w:hint="eastAsia"/>
                <w:b w:val="0"/>
                <w:bCs w:val="0"/>
                <w:sz w:val="21"/>
                <w:szCs w:val="21"/>
                <w:u w:val="single"/>
                <w:lang w:val="en-US" w:eastAsia="zh-CN"/>
              </w:rPr>
            </w:pPr>
          </w:p>
          <w:p>
            <w:pPr>
              <w:spacing w:line="276" w:lineRule="auto"/>
              <w:ind w:firstLine="1890" w:firstLineChars="900"/>
              <w:rPr>
                <w:rFonts w:hint="default"/>
                <w:b w:val="0"/>
                <w:bCs w:val="0"/>
                <w:sz w:val="21"/>
                <w:szCs w:val="21"/>
                <w:u w:val="single"/>
                <w:lang w:val="en-US" w:eastAsia="zh-CN"/>
              </w:rPr>
            </w:pPr>
            <w:r>
              <w:rPr>
                <w:rFonts w:hint="eastAsia"/>
                <w:b w:val="0"/>
                <w:bCs w:val="0"/>
                <w:sz w:val="21"/>
                <w:szCs w:val="21"/>
                <w:u w:val="single"/>
                <w:lang w:val="en-US" w:eastAsia="zh-CN"/>
              </w:rPr>
              <w:t>其他分散储存的原料及产品情况</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4"/>
              <w:gridCol w:w="2011"/>
              <w:gridCol w:w="1233"/>
              <w:gridCol w:w="1768"/>
              <w:gridCol w:w="19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210" w:firstLineChars="100"/>
                    <w:jc w:val="both"/>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物料名称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数量（t）</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210" w:firstLineChars="100"/>
                    <w:jc w:val="both"/>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类型/备注</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210" w:firstLineChars="100"/>
                    <w:jc w:val="both"/>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存放位置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甲嘧乳化剂</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原材料六库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冷冻机油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原料五库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原材料六库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原材料六库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603#</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原材料六库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氯菊酯</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原材料六库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苯甲醇</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原材料六库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乙酸苄酯</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原材料六库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9</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乙二醇</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原材料</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原料八库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10</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丁硫克百威</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成品一库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11</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环氧大豆油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原料八库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环氧亚麻籽油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原料八库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丙硫克百威</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成品一库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甲嘧原油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lang w:val="en-US" w:eastAsia="zh-CN"/>
                    </w:rPr>
                    <w:t>产品（55%甲基嘧啶磷，45%溶剂油）</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成品一库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仲丁威</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成品二库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21"/>
                      <w:szCs w:val="21"/>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top"/>
                </w:tcPr>
                <w:p>
                  <w:pPr>
                    <w:ind w:firstLine="210" w:firstLineChars="100"/>
                    <w:jc w:val="both"/>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8</w:t>
                  </w:r>
                  <w:r>
                    <w:rPr>
                      <w:rFonts w:hint="eastAsia" w:ascii="宋体" w:hAnsi="宋体" w:eastAsia="宋体" w:cs="宋体"/>
                      <w:i w:val="0"/>
                      <w:iCs w:val="0"/>
                      <w:color w:val="000000"/>
                      <w:sz w:val="21"/>
                      <w:szCs w:val="21"/>
                      <w:u w:val="none"/>
                      <w:lang w:val="en-US" w:eastAsia="zh-CN"/>
                    </w:rPr>
                    <w:t>44</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21"/>
                      <w:szCs w:val="21"/>
                      <w:u w:val="none"/>
                    </w:rPr>
                  </w:pP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21"/>
                      <w:szCs w:val="21"/>
                      <w:u w:val="none"/>
                    </w:rPr>
                  </w:pPr>
                </w:p>
              </w:tc>
            </w:tr>
          </w:tbl>
          <w:p>
            <w:pPr>
              <w:spacing w:line="276" w:lineRule="auto"/>
              <w:ind w:left="0" w:leftChars="0" w:firstLine="420" w:firstLineChars="200"/>
              <w:rPr>
                <w:rFonts w:hint="eastAsia"/>
                <w:b w:val="0"/>
                <w:bCs w:val="0"/>
                <w:sz w:val="21"/>
                <w:szCs w:val="21"/>
                <w:u w:val="single"/>
                <w:lang w:val="en-US" w:eastAsia="zh-CN"/>
              </w:rPr>
            </w:pPr>
            <w:r>
              <w:rPr>
                <w:rFonts w:hint="eastAsia"/>
                <w:b w:val="0"/>
                <w:bCs w:val="0"/>
                <w:sz w:val="21"/>
                <w:szCs w:val="21"/>
                <w:u w:val="single"/>
                <w:lang w:val="en-US" w:eastAsia="zh-CN"/>
              </w:rPr>
              <w:t>上述原1号库及其他分散库储量不小于854.166吨。原有1号库占地面积较小，储存的物料种类较少，多为固态袋装，挥发性物料</w:t>
            </w:r>
            <w:r>
              <w:rPr>
                <w:rFonts w:hint="eastAsia"/>
                <w:b w:val="0"/>
                <w:bCs w:val="0"/>
                <w:sz w:val="21"/>
                <w:szCs w:val="21"/>
                <w:u w:val="single"/>
                <w:vertAlign w:val="baseline"/>
                <w:lang w:val="en-US" w:eastAsia="zh-CN"/>
              </w:rPr>
              <w:t>哌啶和磷酸二正丁酯采用桶装密闭储存。</w:t>
            </w:r>
            <w:r>
              <w:rPr>
                <w:rFonts w:hint="eastAsia"/>
                <w:b w:val="0"/>
                <w:bCs w:val="0"/>
                <w:sz w:val="21"/>
                <w:szCs w:val="21"/>
                <w:u w:val="single"/>
                <w:lang w:val="en-US" w:eastAsia="zh-CN"/>
              </w:rPr>
              <w:t>原有1号库现状少部分隔间设有废气负压收集，早期配备酸碱吸收+活性炭吸附系统处理，后期进入RTO系统处理；厂区内其他现有仓库中：成品六库、原料七库、八库有尾气收集系统，尾气收集后进RTO炉焚烧处理。现有仓库防渗措施及其现状：原料4库有玻璃钢防腐，1、2、3号库设置了地面环氧树脂防腐。目前1号库地面防渗状况基本完好。</w:t>
            </w:r>
          </w:p>
          <w:p>
            <w:pPr>
              <w:spacing w:line="276" w:lineRule="auto"/>
              <w:ind w:left="0" w:leftChars="0" w:firstLine="420" w:firstLineChars="200"/>
              <w:rPr>
                <w:rFonts w:hint="default"/>
                <w:b w:val="0"/>
                <w:bCs w:val="0"/>
                <w:sz w:val="21"/>
                <w:szCs w:val="21"/>
                <w:u w:val="single"/>
                <w:lang w:val="en-US" w:eastAsia="zh-CN"/>
              </w:rPr>
            </w:pPr>
          </w:p>
          <w:p>
            <w:pPr>
              <w:spacing w:line="276" w:lineRule="auto"/>
              <w:ind w:left="0" w:leftChars="0" w:firstLine="0" w:firstLineChars="0"/>
              <w:rPr>
                <w:rFonts w:hint="eastAsia"/>
                <w:b/>
                <w:bCs/>
                <w:sz w:val="21"/>
                <w:szCs w:val="21"/>
                <w:lang w:val="en-US" w:eastAsia="zh-CN"/>
              </w:rPr>
            </w:pPr>
            <w:r>
              <w:rPr>
                <w:rFonts w:hint="eastAsia"/>
                <w:b/>
                <w:bCs/>
                <w:sz w:val="21"/>
                <w:szCs w:val="21"/>
                <w:lang w:val="en-US" w:eastAsia="zh-CN"/>
              </w:rPr>
              <w:t>4、现有项目的污染治理及各项污染物的产排情况</w:t>
            </w:r>
          </w:p>
          <w:p>
            <w:pPr>
              <w:spacing w:line="276" w:lineRule="auto"/>
              <w:ind w:firstLine="420"/>
              <w:rPr>
                <w:rFonts w:hint="eastAsia"/>
                <w:sz w:val="21"/>
                <w:szCs w:val="21"/>
                <w:lang w:val="en-US" w:eastAsia="zh-CN"/>
              </w:rPr>
            </w:pPr>
            <w:r>
              <w:rPr>
                <w:rFonts w:hint="eastAsia"/>
                <w:sz w:val="21"/>
                <w:szCs w:val="21"/>
                <w:lang w:val="en-US" w:eastAsia="zh-CN"/>
              </w:rPr>
              <w:t>（1）废气</w:t>
            </w:r>
          </w:p>
          <w:p>
            <w:pPr>
              <w:spacing w:line="276" w:lineRule="auto"/>
              <w:ind w:firstLine="420"/>
              <w:rPr>
                <w:rFonts w:hint="default"/>
                <w:sz w:val="21"/>
                <w:szCs w:val="21"/>
                <w:lang w:val="en-US" w:eastAsia="zh-CN"/>
              </w:rPr>
            </w:pPr>
            <w:r>
              <w:rPr>
                <w:rFonts w:hint="eastAsia"/>
                <w:sz w:val="21"/>
                <w:szCs w:val="21"/>
                <w:lang w:val="en-US" w:eastAsia="zh-CN"/>
              </w:rPr>
              <w:t>现有项目废气排放分为有组织排放和无组织排放。各生产线生产过程中产生的废气经车间配套废气污染防治措施处理后，有组织排放口共计47个（排气筒编号DA001-A047），排放的污染物有：甲醇、甲苯、二甲苯、苯胺类、甲醛、氯化氢、光气、氯气、挥发性有机物、颗粒物、NOx、SO</w:t>
            </w:r>
            <w:r>
              <w:rPr>
                <w:rFonts w:hint="eastAsia"/>
                <w:sz w:val="21"/>
                <w:szCs w:val="21"/>
                <w:vertAlign w:val="subscript"/>
                <w:lang w:val="en-US" w:eastAsia="zh-CN"/>
              </w:rPr>
              <w:t>2</w:t>
            </w:r>
            <w:r>
              <w:rPr>
                <w:rFonts w:hint="eastAsia"/>
                <w:sz w:val="21"/>
                <w:szCs w:val="21"/>
                <w:lang w:val="en-US" w:eastAsia="zh-CN"/>
              </w:rPr>
              <w:t>等；无组织排放的废气污染物主要有三乙胺、二乙胺、二甲胺、甲醇、苯、甲苯、二甲苯、异氰酸酯类、非甲烷总烃、颗粒物、硫酸雾、臭气浓度等等。</w:t>
            </w:r>
          </w:p>
          <w:p>
            <w:pPr>
              <w:spacing w:line="276" w:lineRule="auto"/>
              <w:ind w:firstLine="420"/>
              <w:rPr>
                <w:rFonts w:hint="eastAsia" w:eastAsia="宋体"/>
                <w:lang w:val="en-US" w:eastAsia="zh-CN"/>
              </w:rPr>
            </w:pPr>
            <w:r>
              <w:rPr>
                <w:rFonts w:hint="eastAsia"/>
                <w:sz w:val="21"/>
                <w:szCs w:val="21"/>
                <w:lang w:val="en-US" w:eastAsia="zh-CN"/>
              </w:rPr>
              <w:t>据厂区委托的自行监测报告以及排污许可证执行报告的数据，各生产线生产过程中产生的废气中污染物经车间配套废气污染防治措施处理后，甲醇、甲苯、二甲苯、苯胺类排放符合《大气污染物综合排放标准》（GB16297-1996）表2中二级标准，甲醛、氯化氢、光气、氯气、挥发性有机物、颗粒物排放符合《农药制造工业大气污染物排放标准》（GB39727-2002）表1中化学原料药制造、农药中间体制造和农药研发机构工艺废气排放标准限值；臭气浓度排放符合《恶臭污染物排放标准》（GB14554-93）表2的要求；无组织废气中各污染物的厂界浓度均满足《大气污染物综合排放标准》（GB16297-1996）表2和《恶臭污染物排放标准》（GB14554-93）表1要求；锅炉废气污染物满足《锅炉大气污染物排放标准》（GB13271-2014）表3中燃气锅炉排放标准限值；有机废气焚烧炉废气满足《大气污染物综合排放标准》（GB16297-1996）表2二级标准和《农药制造工业大气污染物排放标准》（GB39727-2020）标准限值；危废焚烧炉满足《危险废物焚烧污染控制标准》（GB18484-2001）；非甲烷总烃车间无组织排放满足《挥发性有机物无组织排放控制标准》（GB37822-2019）附录A标准限值；非甲烷总烃厂界无组织排放执行《大气污染物综合排放标准》（GB16297-1996）表2标准限值。</w:t>
            </w:r>
          </w:p>
          <w:p>
            <w:pPr>
              <w:spacing w:line="276" w:lineRule="auto"/>
              <w:ind w:firstLine="420"/>
              <w:jc w:val="left"/>
              <w:rPr>
                <w:rFonts w:hint="eastAsia"/>
                <w:sz w:val="21"/>
                <w:szCs w:val="21"/>
                <w:lang w:val="en-US" w:eastAsia="zh-CN"/>
              </w:rPr>
            </w:pPr>
            <w:r>
              <w:rPr>
                <w:rFonts w:hint="eastAsia"/>
                <w:sz w:val="21"/>
                <w:szCs w:val="21"/>
                <w:lang w:val="en-US" w:eastAsia="zh-CN"/>
              </w:rPr>
              <w:t>（2）废水</w:t>
            </w:r>
          </w:p>
          <w:p>
            <w:pPr>
              <w:spacing w:line="276" w:lineRule="auto"/>
              <w:ind w:firstLine="420"/>
              <w:rPr>
                <w:rFonts w:hint="eastAsia"/>
                <w:sz w:val="21"/>
                <w:szCs w:val="21"/>
                <w:lang w:val="en-US" w:eastAsia="zh-CN"/>
              </w:rPr>
            </w:pPr>
            <w:r>
              <w:rPr>
                <w:rFonts w:hint="eastAsia"/>
                <w:sz w:val="21"/>
                <w:szCs w:val="21"/>
                <w:lang w:val="en-US" w:eastAsia="zh-CN"/>
              </w:rPr>
              <w:t>湖南海利常德农药化工有限公司</w:t>
            </w:r>
            <w:r>
              <w:rPr>
                <w:rFonts w:hint="eastAsia"/>
                <w:sz w:val="21"/>
                <w:szCs w:val="21"/>
                <w:lang w:eastAsia="zh-CN"/>
              </w:rPr>
              <w:t>厂区内污水排放实行雨污分流、污污分流，其中：厂区内雨水经雨水沟收集至初期雨水收集池，若为暴雨，则收集前15分钟（若为中雨，则收集前30分钟）初期雨水进入污水处理站处理后，其余部分外排入园区雨水管网。若为小雨，则收集后的初期雨水进入污水处理站处理，不外排。</w:t>
            </w:r>
          </w:p>
          <w:p>
            <w:pPr>
              <w:spacing w:line="276" w:lineRule="auto"/>
              <w:ind w:firstLine="420"/>
              <w:rPr>
                <w:rFonts w:hint="eastAsia"/>
                <w:sz w:val="21"/>
                <w:szCs w:val="21"/>
                <w:lang w:val="en-US" w:eastAsia="zh-CN"/>
              </w:rPr>
            </w:pPr>
            <w:r>
              <w:rPr>
                <w:rFonts w:hint="eastAsia"/>
                <w:sz w:val="21"/>
                <w:szCs w:val="21"/>
                <w:lang w:eastAsia="zh-CN"/>
              </w:rPr>
              <w:t>厂区内生产废水车间预处理措施包括隔油沉淀、氧化和精馏等处理工艺，经车间预处理后的生产废水、生活污水经化粪池预处理后进入废水处理站处理，处理达标后排至德山污水处理厂，经德山污水处理厂深度处理后排入东风河，最终入沅江</w:t>
            </w:r>
            <w:r>
              <w:rPr>
                <w:rFonts w:hint="eastAsia"/>
                <w:sz w:val="21"/>
                <w:szCs w:val="21"/>
                <w:lang w:val="en-US" w:eastAsia="zh-CN"/>
              </w:rPr>
              <w:t>。</w:t>
            </w:r>
          </w:p>
          <w:p>
            <w:pPr>
              <w:spacing w:line="276" w:lineRule="auto"/>
              <w:ind w:firstLine="420"/>
              <w:rPr>
                <w:rFonts w:hint="eastAsia"/>
                <w:sz w:val="21"/>
                <w:szCs w:val="21"/>
                <w:lang w:val="en-US" w:eastAsia="zh-CN"/>
              </w:rPr>
            </w:pPr>
            <w:r>
              <w:rPr>
                <w:rFonts w:hint="eastAsia"/>
                <w:color w:val="000000" w:themeColor="text1"/>
                <w:sz w:val="21"/>
                <w:szCs w:val="21"/>
                <w:lang w:val="en-US" w:eastAsia="zh-CN"/>
                <w14:textFill>
                  <w14:solidFill>
                    <w14:schemeClr w14:val="tx1"/>
                  </w14:solidFill>
                </w14:textFill>
              </w:rPr>
              <w:t>厂区内设立有2座污水处理站：1座2500m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/d的废水处理站，采用“石灰石中和+厌氧兼氧预处理+二级好氧活性污泥+二级混合沉淀”的废水处理工艺；1座10000m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/d污水处理站，采用A</w:t>
            </w:r>
            <w:r>
              <w:rPr>
                <w:rFonts w:hint="eastAsia"/>
                <w:color w:val="000000" w:themeColor="text1"/>
                <w:sz w:val="21"/>
                <w:szCs w:val="21"/>
                <w:vertAlign w:val="super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/O工艺。其中硫双车间废水通过专管排入10000m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/d污水处理站处理，其余废水经集水池收集后，分别经两座污水处理站处理，污水处理站出水口均设立排污口标志牌，且安装有在线监测装置</w:t>
            </w:r>
            <w:r>
              <w:rPr>
                <w:rFonts w:hint="eastAsia"/>
                <w:sz w:val="21"/>
                <w:szCs w:val="21"/>
                <w:lang w:val="en-US" w:eastAsia="zh-CN"/>
              </w:rPr>
              <w:t>，对外排废水水量、pH、化学需氧量、氨氮、总磷、总氮进行实时监控。</w:t>
            </w:r>
          </w:p>
          <w:p>
            <w:pPr>
              <w:spacing w:line="276" w:lineRule="auto"/>
              <w:ind w:firstLine="420"/>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此外，湖南海利常德农药化工有限公司定期委托湖南德环检测中心对厂区总排口处五日生化需氧量、全盐量、三氯甲烷、苯、甲苯、二甲苯、甲醛、苯胺类、挥发酚、吡啶、有机磷农药等因子进行了现场采样检测。</w:t>
            </w:r>
          </w:p>
          <w:p>
            <w:pPr>
              <w:spacing w:line="276" w:lineRule="auto"/>
              <w:ind w:firstLine="42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根据</w:t>
            </w:r>
            <w:r>
              <w:rPr>
                <w:rFonts w:hint="eastAsia"/>
                <w:sz w:val="21"/>
                <w:szCs w:val="21"/>
                <w:lang w:val="en-US" w:eastAsia="zh-CN"/>
              </w:rPr>
              <w:t>湖南德环检测中心监测报告（DHJC20242205）</w:t>
            </w:r>
            <w:r>
              <w:rPr>
                <w:rFonts w:hint="eastAsia"/>
                <w:color w:val="000000" w:themeColor="text1"/>
                <w:sz w:val="21"/>
                <w:szCs w:val="21"/>
                <w:lang w:val="en-US" w:eastAsia="zh-CN"/>
                <w14:textFill>
                  <w14:solidFill>
                    <w14:schemeClr w14:val="tx1"/>
                  </w14:solidFill>
                </w14:textFill>
              </w:rPr>
              <w:t>，监测时间为2024年4月17日，开展的现场监测，废水的监测结果如下表所示。</w:t>
            </w:r>
          </w:p>
          <w:p>
            <w:pPr>
              <w:spacing w:line="276" w:lineRule="auto"/>
              <w:ind w:firstLine="2108" w:firstLineChars="1000"/>
              <w:rPr>
                <w:rFonts w:hint="default"/>
                <w:b/>
                <w:bCs/>
                <w:sz w:val="21"/>
                <w:szCs w:val="21"/>
                <w:lang w:val="en-US" w:eastAsia="zh-CN"/>
              </w:rPr>
            </w:pPr>
            <w:r>
              <w:rPr>
                <w:rFonts w:hint="eastAsia"/>
                <w:b/>
                <w:bCs/>
                <w:sz w:val="21"/>
                <w:szCs w:val="21"/>
                <w:lang w:val="en-US" w:eastAsia="zh-CN"/>
              </w:rPr>
              <w:t xml:space="preserve">表2-9   现有项目废水排放监测结果表  </w:t>
            </w:r>
          </w:p>
          <w:tbl>
            <w:tblPr>
              <w:tblStyle w:val="17"/>
              <w:tblW w:w="48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2404"/>
              <w:gridCol w:w="2280"/>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6" w:type="pct"/>
                  <w:vMerge w:val="restart"/>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监测点位</w:t>
                  </w:r>
                </w:p>
              </w:tc>
              <w:tc>
                <w:tcPr>
                  <w:tcW w:w="1570" w:type="pct"/>
                  <w:vMerge w:val="restart"/>
                  <w:vAlign w:val="center"/>
                </w:tcPr>
                <w:p>
                  <w:pPr>
                    <w:spacing w:line="240" w:lineRule="auto"/>
                    <w:ind w:firstLine="0" w:firstLineChars="0"/>
                    <w:jc w:val="center"/>
                    <w:rPr>
                      <w:sz w:val="21"/>
                      <w:szCs w:val="21"/>
                    </w:rPr>
                  </w:pPr>
                  <w:r>
                    <w:rPr>
                      <w:rFonts w:hint="eastAsia"/>
                      <w:sz w:val="21"/>
                      <w:szCs w:val="21"/>
                      <w:lang w:eastAsia="zh-CN"/>
                    </w:rPr>
                    <w:t>监测项目</w:t>
                  </w:r>
                </w:p>
              </w:tc>
              <w:tc>
                <w:tcPr>
                  <w:tcW w:w="1489"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监测时间：2024.4.17</w:t>
                  </w:r>
                </w:p>
              </w:tc>
              <w:tc>
                <w:tcPr>
                  <w:tcW w:w="864" w:type="pct"/>
                  <w:vMerge w:val="restart"/>
                  <w:vAlign w:val="center"/>
                </w:tcPr>
                <w:p>
                  <w:pPr>
                    <w:spacing w:line="240" w:lineRule="auto"/>
                    <w:ind w:firstLine="0" w:firstLineChars="0"/>
                    <w:jc w:val="center"/>
                    <w:rPr>
                      <w:rFonts w:hint="eastAsia"/>
                      <w:sz w:val="21"/>
                      <w:szCs w:val="21"/>
                      <w:lang w:eastAsia="zh-CN"/>
                    </w:rPr>
                  </w:pPr>
                  <w:r>
                    <w:rPr>
                      <w:rFonts w:hint="eastAsia"/>
                      <w:sz w:val="21"/>
                      <w:szCs w:val="21"/>
                      <w:lang w:eastAsia="zh-CN"/>
                    </w:rPr>
                    <w:t>标准</w:t>
                  </w:r>
                </w:p>
                <w:p>
                  <w:pPr>
                    <w:spacing w:line="240" w:lineRule="auto"/>
                    <w:ind w:firstLine="0" w:firstLineChars="0"/>
                    <w:jc w:val="center"/>
                    <w:rPr>
                      <w:rFonts w:hint="eastAsia" w:eastAsia="宋体"/>
                      <w:sz w:val="21"/>
                      <w:szCs w:val="21"/>
                      <w:lang w:eastAsia="zh-CN"/>
                    </w:rPr>
                  </w:pPr>
                  <w:r>
                    <w:rPr>
                      <w:rFonts w:hint="eastAsia"/>
                      <w:sz w:val="21"/>
                      <w:szCs w:val="21"/>
                      <w:lang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076" w:type="pct"/>
                  <w:vMerge w:val="continue"/>
                  <w:vAlign w:val="center"/>
                </w:tcPr>
                <w:p>
                  <w:pPr>
                    <w:spacing w:line="240" w:lineRule="auto"/>
                    <w:ind w:firstLine="0" w:firstLineChars="0"/>
                    <w:jc w:val="center"/>
                    <w:rPr>
                      <w:rFonts w:hint="eastAsia"/>
                      <w:sz w:val="21"/>
                      <w:szCs w:val="21"/>
                      <w:lang w:eastAsia="zh-CN"/>
                    </w:rPr>
                  </w:pPr>
                </w:p>
              </w:tc>
              <w:tc>
                <w:tcPr>
                  <w:tcW w:w="1570" w:type="pct"/>
                  <w:vMerge w:val="continue"/>
                  <w:vAlign w:val="center"/>
                </w:tcPr>
                <w:p>
                  <w:pPr>
                    <w:spacing w:line="240" w:lineRule="auto"/>
                    <w:ind w:firstLine="0" w:firstLineChars="0"/>
                    <w:jc w:val="center"/>
                    <w:rPr>
                      <w:sz w:val="21"/>
                      <w:szCs w:val="21"/>
                    </w:rPr>
                  </w:pPr>
                </w:p>
              </w:tc>
              <w:tc>
                <w:tcPr>
                  <w:tcW w:w="1489" w:type="pct"/>
                  <w:vAlign w:val="center"/>
                </w:tcPr>
                <w:p>
                  <w:pPr>
                    <w:spacing w:line="240" w:lineRule="auto"/>
                    <w:ind w:firstLine="0" w:firstLineChars="0"/>
                    <w:jc w:val="center"/>
                    <w:rPr>
                      <w:sz w:val="21"/>
                      <w:szCs w:val="21"/>
                    </w:rPr>
                  </w:pPr>
                  <w:r>
                    <w:rPr>
                      <w:rFonts w:hint="eastAsia"/>
                      <w:sz w:val="21"/>
                      <w:szCs w:val="21"/>
                      <w:lang w:eastAsia="zh-CN"/>
                    </w:rPr>
                    <w:t>日均值</w:t>
                  </w:r>
                </w:p>
              </w:tc>
              <w:tc>
                <w:tcPr>
                  <w:tcW w:w="864" w:type="pct"/>
                  <w:vMerge w:val="continue"/>
                  <w:vAlign w:val="center"/>
                </w:tcPr>
                <w:p>
                  <w:pPr>
                    <w:spacing w:line="240" w:lineRule="auto"/>
                    <w:ind w:firstLine="0" w:firstLineChars="0"/>
                    <w:jc w:val="center"/>
                    <w:rPr>
                      <w:rFonts w:hint="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pct"/>
                  <w:vMerge w:val="restar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厂区废水总排口（DA001）</w:t>
                  </w:r>
                </w:p>
              </w:tc>
              <w:tc>
                <w:tcPr>
                  <w:tcW w:w="1570" w:type="pct"/>
                  <w:vAlign w:val="center"/>
                </w:tcPr>
                <w:p>
                  <w:pPr>
                    <w:spacing w:line="240" w:lineRule="auto"/>
                    <w:ind w:firstLine="0" w:firstLineChars="0"/>
                    <w:jc w:val="left"/>
                    <w:rPr>
                      <w:rFonts w:hint="default" w:eastAsia="宋体"/>
                      <w:sz w:val="21"/>
                      <w:szCs w:val="21"/>
                      <w:lang w:val="en-US" w:eastAsia="zh-CN"/>
                    </w:rPr>
                  </w:pPr>
                  <w:r>
                    <w:rPr>
                      <w:rFonts w:hint="eastAsia"/>
                      <w:sz w:val="21"/>
                      <w:szCs w:val="21"/>
                      <w:lang w:val="en-US" w:eastAsia="zh-CN"/>
                    </w:rPr>
                    <w:t>五日生化需氧量（mg/L）</w:t>
                  </w:r>
                </w:p>
              </w:tc>
              <w:tc>
                <w:tcPr>
                  <w:tcW w:w="1489"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7.9</w:t>
                  </w:r>
                </w:p>
              </w:tc>
              <w:tc>
                <w:tcPr>
                  <w:tcW w:w="864"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076" w:type="pct"/>
                  <w:vMerge w:val="continue"/>
                  <w:vAlign w:val="center"/>
                </w:tcPr>
                <w:p>
                  <w:pPr>
                    <w:spacing w:line="240" w:lineRule="auto"/>
                    <w:ind w:firstLine="0" w:firstLineChars="0"/>
                    <w:jc w:val="center"/>
                    <w:rPr>
                      <w:rFonts w:hint="eastAsia" w:eastAsia="宋体"/>
                      <w:sz w:val="21"/>
                      <w:szCs w:val="21"/>
                      <w:lang w:eastAsia="zh-CN"/>
                    </w:rPr>
                  </w:pPr>
                </w:p>
              </w:tc>
              <w:tc>
                <w:tcPr>
                  <w:tcW w:w="1570"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全盐量（mg/L）</w:t>
                  </w:r>
                </w:p>
              </w:tc>
              <w:tc>
                <w:tcPr>
                  <w:tcW w:w="1489"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278</w:t>
                  </w:r>
                </w:p>
              </w:tc>
              <w:tc>
                <w:tcPr>
                  <w:tcW w:w="864"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3740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pct"/>
                  <w:vMerge w:val="continue"/>
                  <w:vAlign w:val="center"/>
                </w:tcPr>
                <w:p>
                  <w:pPr>
                    <w:spacing w:line="240" w:lineRule="auto"/>
                    <w:ind w:firstLine="0" w:firstLineChars="0"/>
                    <w:jc w:val="center"/>
                    <w:rPr>
                      <w:rFonts w:hint="eastAsia" w:eastAsia="宋体"/>
                      <w:sz w:val="21"/>
                      <w:szCs w:val="21"/>
                      <w:lang w:eastAsia="zh-CN"/>
                    </w:rPr>
                  </w:pPr>
                </w:p>
              </w:tc>
              <w:tc>
                <w:tcPr>
                  <w:tcW w:w="1570"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挥发酚（mg/L）</w:t>
                  </w:r>
                </w:p>
              </w:tc>
              <w:tc>
                <w:tcPr>
                  <w:tcW w:w="1489"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0.01L</w:t>
                  </w:r>
                </w:p>
              </w:tc>
              <w:tc>
                <w:tcPr>
                  <w:tcW w:w="864"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76" w:type="pct"/>
                  <w:vMerge w:val="continue"/>
                  <w:vAlign w:val="center"/>
                </w:tcPr>
                <w:p>
                  <w:pPr>
                    <w:spacing w:line="240" w:lineRule="auto"/>
                    <w:ind w:firstLine="0" w:firstLineChars="0"/>
                    <w:jc w:val="center"/>
                    <w:rPr>
                      <w:rFonts w:hint="eastAsia" w:eastAsia="宋体"/>
                      <w:sz w:val="21"/>
                      <w:szCs w:val="21"/>
                      <w:lang w:eastAsia="zh-CN"/>
                    </w:rPr>
                  </w:pPr>
                </w:p>
              </w:tc>
              <w:tc>
                <w:tcPr>
                  <w:tcW w:w="1570" w:type="pc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甲醛（mg/L）</w:t>
                  </w:r>
                </w:p>
              </w:tc>
              <w:tc>
                <w:tcPr>
                  <w:tcW w:w="1489"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0.05L</w:t>
                  </w:r>
                </w:p>
              </w:tc>
              <w:tc>
                <w:tcPr>
                  <w:tcW w:w="864"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pct"/>
                  <w:vMerge w:val="continue"/>
                  <w:vAlign w:val="center"/>
                </w:tcPr>
                <w:p>
                  <w:pPr>
                    <w:spacing w:line="240" w:lineRule="auto"/>
                    <w:ind w:firstLine="0" w:firstLineChars="0"/>
                    <w:jc w:val="center"/>
                    <w:rPr>
                      <w:rFonts w:hint="default" w:eastAsia="宋体"/>
                      <w:sz w:val="21"/>
                      <w:szCs w:val="21"/>
                      <w:lang w:val="en-US" w:eastAsia="zh-CN"/>
                    </w:rPr>
                  </w:pPr>
                </w:p>
              </w:tc>
              <w:tc>
                <w:tcPr>
                  <w:tcW w:w="1570"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 xml:space="preserve">三氯甲烷（ug/L） </w:t>
                  </w:r>
                </w:p>
              </w:tc>
              <w:tc>
                <w:tcPr>
                  <w:tcW w:w="1489"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0.02L</w:t>
                  </w:r>
                </w:p>
              </w:tc>
              <w:tc>
                <w:tcPr>
                  <w:tcW w:w="864"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pct"/>
                  <w:vMerge w:val="continue"/>
                  <w:vAlign w:val="center"/>
                </w:tcPr>
                <w:p>
                  <w:pPr>
                    <w:spacing w:line="240" w:lineRule="auto"/>
                    <w:ind w:firstLine="0" w:firstLineChars="0"/>
                    <w:jc w:val="center"/>
                    <w:rPr>
                      <w:rFonts w:hint="eastAsia" w:eastAsia="宋体"/>
                      <w:sz w:val="21"/>
                      <w:szCs w:val="21"/>
                      <w:lang w:eastAsia="zh-CN"/>
                    </w:rPr>
                  </w:pPr>
                </w:p>
              </w:tc>
              <w:tc>
                <w:tcPr>
                  <w:tcW w:w="1570" w:type="pct"/>
                  <w:vAlign w:val="center"/>
                </w:tcPr>
                <w:p>
                  <w:pPr>
                    <w:spacing w:line="240" w:lineRule="auto"/>
                    <w:ind w:firstLine="0" w:firstLineChars="0"/>
                    <w:jc w:val="center"/>
                    <w:rPr>
                      <w:rFonts w:hint="eastAsia" w:eastAsia="宋体"/>
                      <w:sz w:val="21"/>
                      <w:szCs w:val="21"/>
                      <w:lang w:eastAsia="zh-CN"/>
                    </w:rPr>
                  </w:pPr>
                  <w:r>
                    <w:rPr>
                      <w:rFonts w:hint="eastAsia"/>
                      <w:sz w:val="21"/>
                      <w:szCs w:val="21"/>
                      <w:lang w:val="en-US" w:eastAsia="zh-CN"/>
                    </w:rPr>
                    <w:t>苯（mg/L）</w:t>
                  </w:r>
                </w:p>
              </w:tc>
              <w:tc>
                <w:tcPr>
                  <w:tcW w:w="1489"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0.002L</w:t>
                  </w:r>
                </w:p>
              </w:tc>
              <w:tc>
                <w:tcPr>
                  <w:tcW w:w="864"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pct"/>
                  <w:vMerge w:val="continue"/>
                  <w:vAlign w:val="center"/>
                </w:tcPr>
                <w:p>
                  <w:pPr>
                    <w:spacing w:line="240" w:lineRule="auto"/>
                    <w:ind w:firstLine="0" w:firstLineChars="0"/>
                    <w:jc w:val="center"/>
                    <w:rPr>
                      <w:rFonts w:hint="eastAsia" w:eastAsia="宋体"/>
                      <w:sz w:val="21"/>
                      <w:szCs w:val="21"/>
                      <w:lang w:eastAsia="zh-CN"/>
                    </w:rPr>
                  </w:pPr>
                </w:p>
              </w:tc>
              <w:tc>
                <w:tcPr>
                  <w:tcW w:w="1570" w:type="pc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二甲苯（mg/L）</w:t>
                  </w:r>
                </w:p>
              </w:tc>
              <w:tc>
                <w:tcPr>
                  <w:tcW w:w="1489" w:type="pc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0.002L</w:t>
                  </w:r>
                </w:p>
              </w:tc>
              <w:tc>
                <w:tcPr>
                  <w:tcW w:w="864"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pct"/>
                  <w:vMerge w:val="continue"/>
                  <w:vAlign w:val="center"/>
                </w:tcPr>
                <w:p>
                  <w:pPr>
                    <w:spacing w:line="240" w:lineRule="auto"/>
                    <w:ind w:firstLine="0" w:firstLineChars="0"/>
                    <w:jc w:val="center"/>
                    <w:rPr>
                      <w:rFonts w:hint="eastAsia" w:eastAsia="宋体"/>
                      <w:sz w:val="21"/>
                      <w:szCs w:val="21"/>
                      <w:lang w:eastAsia="zh-CN"/>
                    </w:rPr>
                  </w:pPr>
                </w:p>
              </w:tc>
              <w:tc>
                <w:tcPr>
                  <w:tcW w:w="1570" w:type="pc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甲苯（mg/L）</w:t>
                  </w:r>
                </w:p>
              </w:tc>
              <w:tc>
                <w:tcPr>
                  <w:tcW w:w="1489" w:type="pc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0.002L</w:t>
                  </w:r>
                </w:p>
              </w:tc>
              <w:tc>
                <w:tcPr>
                  <w:tcW w:w="864"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pct"/>
                  <w:vMerge w:val="continue"/>
                  <w:vAlign w:val="center"/>
                </w:tcPr>
                <w:p>
                  <w:pPr>
                    <w:spacing w:line="240" w:lineRule="auto"/>
                    <w:ind w:firstLine="0" w:firstLineChars="0"/>
                    <w:jc w:val="center"/>
                    <w:rPr>
                      <w:rFonts w:hint="eastAsia" w:eastAsia="宋体"/>
                      <w:sz w:val="21"/>
                      <w:szCs w:val="21"/>
                      <w:lang w:eastAsia="zh-CN"/>
                    </w:rPr>
                  </w:pPr>
                </w:p>
              </w:tc>
              <w:tc>
                <w:tcPr>
                  <w:tcW w:w="1570" w:type="pc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苯胺类（mg/L）</w:t>
                  </w:r>
                </w:p>
              </w:tc>
              <w:tc>
                <w:tcPr>
                  <w:tcW w:w="1489"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0.04</w:t>
                  </w:r>
                </w:p>
              </w:tc>
              <w:tc>
                <w:tcPr>
                  <w:tcW w:w="864"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pct"/>
                  <w:vMerge w:val="continue"/>
                  <w:vAlign w:val="center"/>
                </w:tcPr>
                <w:p>
                  <w:pPr>
                    <w:spacing w:line="240" w:lineRule="auto"/>
                    <w:ind w:firstLine="0" w:firstLineChars="0"/>
                    <w:jc w:val="center"/>
                    <w:rPr>
                      <w:rFonts w:hint="eastAsia" w:eastAsia="宋体"/>
                      <w:sz w:val="21"/>
                      <w:szCs w:val="21"/>
                      <w:lang w:eastAsia="zh-CN"/>
                    </w:rPr>
                  </w:pPr>
                </w:p>
              </w:tc>
              <w:tc>
                <w:tcPr>
                  <w:tcW w:w="1570" w:type="pc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吡啶（mg/L）</w:t>
                  </w:r>
                </w:p>
              </w:tc>
              <w:tc>
                <w:tcPr>
                  <w:tcW w:w="1489"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0.03L</w:t>
                  </w:r>
                </w:p>
              </w:tc>
              <w:tc>
                <w:tcPr>
                  <w:tcW w:w="864"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pct"/>
                  <w:vMerge w:val="continue"/>
                  <w:vAlign w:val="center"/>
                </w:tcPr>
                <w:p>
                  <w:pPr>
                    <w:spacing w:line="240" w:lineRule="auto"/>
                    <w:ind w:firstLine="0" w:firstLineChars="0"/>
                    <w:jc w:val="center"/>
                    <w:rPr>
                      <w:rFonts w:hint="eastAsia" w:eastAsia="宋体"/>
                      <w:sz w:val="21"/>
                      <w:szCs w:val="21"/>
                      <w:lang w:eastAsia="zh-CN"/>
                    </w:rPr>
                  </w:pPr>
                </w:p>
              </w:tc>
              <w:tc>
                <w:tcPr>
                  <w:tcW w:w="1570" w:type="pc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对硫磷（mg/L）</w:t>
                  </w:r>
                </w:p>
              </w:tc>
              <w:tc>
                <w:tcPr>
                  <w:tcW w:w="1489"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5.4×10</w:t>
                  </w:r>
                  <w:r>
                    <w:rPr>
                      <w:rFonts w:hint="eastAsia"/>
                      <w:sz w:val="21"/>
                      <w:szCs w:val="21"/>
                      <w:vertAlign w:val="superscript"/>
                      <w:lang w:val="en-US" w:eastAsia="zh-CN"/>
                    </w:rPr>
                    <w:t>-6</w:t>
                  </w:r>
                  <w:r>
                    <w:rPr>
                      <w:rFonts w:hint="eastAsia"/>
                      <w:sz w:val="21"/>
                      <w:szCs w:val="21"/>
                      <w:lang w:val="en-US" w:eastAsia="zh-CN"/>
                    </w:rPr>
                    <w:t>L</w:t>
                  </w:r>
                </w:p>
              </w:tc>
              <w:tc>
                <w:tcPr>
                  <w:tcW w:w="864" w:type="pc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pct"/>
                  <w:vMerge w:val="continue"/>
                  <w:vAlign w:val="center"/>
                </w:tcPr>
                <w:p>
                  <w:pPr>
                    <w:spacing w:line="240" w:lineRule="auto"/>
                    <w:ind w:firstLine="0" w:firstLineChars="0"/>
                    <w:jc w:val="center"/>
                    <w:rPr>
                      <w:rFonts w:hint="eastAsia" w:eastAsia="宋体"/>
                      <w:sz w:val="21"/>
                      <w:szCs w:val="21"/>
                      <w:lang w:eastAsia="zh-CN"/>
                    </w:rPr>
                  </w:pPr>
                </w:p>
              </w:tc>
              <w:tc>
                <w:tcPr>
                  <w:tcW w:w="1570" w:type="pc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甲基对硫磷（mg/L）</w:t>
                  </w:r>
                </w:p>
              </w:tc>
              <w:tc>
                <w:tcPr>
                  <w:tcW w:w="1489"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4.2×10</w:t>
                  </w:r>
                  <w:r>
                    <w:rPr>
                      <w:rFonts w:hint="eastAsia"/>
                      <w:sz w:val="21"/>
                      <w:szCs w:val="21"/>
                      <w:vertAlign w:val="superscript"/>
                      <w:lang w:val="en-US" w:eastAsia="zh-CN"/>
                    </w:rPr>
                    <w:t>-6</w:t>
                  </w:r>
                  <w:r>
                    <w:rPr>
                      <w:rFonts w:hint="eastAsia"/>
                      <w:sz w:val="21"/>
                      <w:szCs w:val="21"/>
                      <w:lang w:val="en-US" w:eastAsia="zh-CN"/>
                    </w:rPr>
                    <w:t>L</w:t>
                  </w:r>
                </w:p>
              </w:tc>
              <w:tc>
                <w:tcPr>
                  <w:tcW w:w="864" w:type="pct"/>
                  <w:vAlign w:val="center"/>
                </w:tcPr>
                <w:p>
                  <w:pPr>
                    <w:spacing w:line="240" w:lineRule="auto"/>
                    <w:ind w:left="0" w:leftChars="0" w:firstLine="0" w:firstLineChars="0"/>
                    <w:jc w:val="both"/>
                    <w:rPr>
                      <w:rFonts w:hint="eastAsia"/>
                      <w:sz w:val="21"/>
                      <w:szCs w:val="21"/>
                      <w:lang w:val="en-US" w:eastAsia="zh-CN"/>
                    </w:rPr>
                  </w:pPr>
                  <w:r>
                    <w:rPr>
                      <w:rFonts w:hint="eastAsia"/>
                      <w:sz w:val="21"/>
                      <w:szCs w:val="21"/>
                      <w:lang w:val="en-US" w:eastAsia="zh-CN"/>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pct"/>
                  <w:vMerge w:val="continue"/>
                  <w:vAlign w:val="center"/>
                </w:tcPr>
                <w:p>
                  <w:pPr>
                    <w:spacing w:line="240" w:lineRule="auto"/>
                    <w:ind w:firstLine="0" w:firstLineChars="0"/>
                    <w:jc w:val="center"/>
                    <w:rPr>
                      <w:rFonts w:hint="eastAsia" w:eastAsia="宋体"/>
                      <w:sz w:val="21"/>
                      <w:szCs w:val="21"/>
                      <w:lang w:eastAsia="zh-CN"/>
                    </w:rPr>
                  </w:pPr>
                </w:p>
              </w:tc>
              <w:tc>
                <w:tcPr>
                  <w:tcW w:w="1570" w:type="pc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马拉硫磷（mg/L）</w:t>
                  </w:r>
                </w:p>
              </w:tc>
              <w:tc>
                <w:tcPr>
                  <w:tcW w:w="1489"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6.4×10</w:t>
                  </w:r>
                  <w:r>
                    <w:rPr>
                      <w:rFonts w:hint="eastAsia"/>
                      <w:sz w:val="21"/>
                      <w:szCs w:val="21"/>
                      <w:vertAlign w:val="superscript"/>
                      <w:lang w:val="en-US" w:eastAsia="zh-CN"/>
                    </w:rPr>
                    <w:t>-6</w:t>
                  </w:r>
                  <w:r>
                    <w:rPr>
                      <w:rFonts w:hint="eastAsia"/>
                      <w:sz w:val="21"/>
                      <w:szCs w:val="21"/>
                      <w:lang w:val="en-US" w:eastAsia="zh-CN"/>
                    </w:rPr>
                    <w:t>L</w:t>
                  </w:r>
                </w:p>
              </w:tc>
              <w:tc>
                <w:tcPr>
                  <w:tcW w:w="864" w:type="pct"/>
                  <w:vAlign w:val="center"/>
                </w:tcPr>
                <w:p>
                  <w:pPr>
                    <w:spacing w:line="240" w:lineRule="auto"/>
                    <w:ind w:left="0" w:leftChars="0" w:firstLine="0" w:firstLineChars="0"/>
                    <w:jc w:val="both"/>
                    <w:rPr>
                      <w:rFonts w:hint="eastAsia"/>
                      <w:sz w:val="21"/>
                      <w:szCs w:val="21"/>
                      <w:lang w:val="en-US" w:eastAsia="zh-CN"/>
                    </w:rPr>
                  </w:pPr>
                  <w:r>
                    <w:rPr>
                      <w:rFonts w:hint="eastAsia"/>
                      <w:sz w:val="21"/>
                      <w:szCs w:val="21"/>
                      <w:lang w:val="en-US" w:eastAsia="zh-CN"/>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pct"/>
                  <w:vMerge w:val="continue"/>
                  <w:vAlign w:val="center"/>
                </w:tcPr>
                <w:p>
                  <w:pPr>
                    <w:spacing w:line="240" w:lineRule="auto"/>
                    <w:ind w:firstLine="0" w:firstLineChars="0"/>
                    <w:jc w:val="center"/>
                    <w:rPr>
                      <w:rFonts w:hint="eastAsia" w:eastAsia="宋体"/>
                      <w:sz w:val="21"/>
                      <w:szCs w:val="21"/>
                      <w:lang w:eastAsia="zh-CN"/>
                    </w:rPr>
                  </w:pPr>
                </w:p>
              </w:tc>
              <w:tc>
                <w:tcPr>
                  <w:tcW w:w="1570" w:type="pc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乐果（mg/L）</w:t>
                  </w:r>
                </w:p>
              </w:tc>
              <w:tc>
                <w:tcPr>
                  <w:tcW w:w="1489"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5.7×10</w:t>
                  </w:r>
                  <w:r>
                    <w:rPr>
                      <w:rFonts w:hint="eastAsia"/>
                      <w:sz w:val="21"/>
                      <w:szCs w:val="21"/>
                      <w:vertAlign w:val="superscript"/>
                      <w:lang w:val="en-US" w:eastAsia="zh-CN"/>
                    </w:rPr>
                    <w:t>-6</w:t>
                  </w:r>
                  <w:r>
                    <w:rPr>
                      <w:rFonts w:hint="eastAsia"/>
                      <w:sz w:val="21"/>
                      <w:szCs w:val="21"/>
                      <w:lang w:val="en-US" w:eastAsia="zh-CN"/>
                    </w:rPr>
                    <w:t>L</w:t>
                  </w:r>
                </w:p>
              </w:tc>
              <w:tc>
                <w:tcPr>
                  <w:tcW w:w="864" w:type="pct"/>
                  <w:vAlign w:val="center"/>
                </w:tcPr>
                <w:p>
                  <w:pPr>
                    <w:spacing w:line="240" w:lineRule="auto"/>
                    <w:ind w:left="0" w:leftChars="0" w:firstLine="0" w:firstLineChars="0"/>
                    <w:jc w:val="both"/>
                    <w:rPr>
                      <w:rFonts w:hint="eastAsia"/>
                      <w:sz w:val="21"/>
                      <w:szCs w:val="21"/>
                      <w:lang w:val="en-US" w:eastAsia="zh-CN"/>
                    </w:rPr>
                  </w:pPr>
                  <w:r>
                    <w:rPr>
                      <w:rFonts w:hint="eastAsia"/>
                      <w:sz w:val="21"/>
                      <w:szCs w:val="21"/>
                      <w:lang w:val="en-US" w:eastAsia="zh-CN"/>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pPr>
                    <w:spacing w:line="240" w:lineRule="auto"/>
                    <w:ind w:firstLine="0" w:firstLineChars="0"/>
                    <w:jc w:val="center"/>
                    <w:rPr>
                      <w:rFonts w:hint="default"/>
                      <w:sz w:val="21"/>
                      <w:szCs w:val="21"/>
                      <w:lang w:val="en-US" w:eastAsia="zh-CN"/>
                    </w:rPr>
                  </w:pPr>
                  <w:r>
                    <w:rPr>
                      <w:rFonts w:hint="eastAsia"/>
                      <w:sz w:val="21"/>
                      <w:szCs w:val="21"/>
                      <w:lang w:eastAsia="zh-CN"/>
                    </w:rPr>
                    <w:t>备注：吡啶执行《杂环类农药工业水污染物排放标准》</w:t>
                  </w:r>
                  <w:r>
                    <w:rPr>
                      <w:rFonts w:hint="eastAsia"/>
                      <w:sz w:val="21"/>
                      <w:szCs w:val="21"/>
                      <w:lang w:val="en-US" w:eastAsia="zh-CN"/>
                    </w:rPr>
                    <w:t>GB21523-2008表2；五日生化需氧量、全盐量执行园区污水厂接管标准；其他因子执行《污水综合排放标准》（GB8978-1996）表4三级。</w:t>
                  </w:r>
                </w:p>
              </w:tc>
            </w:tr>
          </w:tbl>
          <w:p>
            <w:pPr>
              <w:spacing w:line="276" w:lineRule="auto"/>
              <w:ind w:firstLine="420" w:firstLineChars="200"/>
              <w:rPr>
                <w:rFonts w:hint="default"/>
                <w:sz w:val="21"/>
                <w:szCs w:val="21"/>
                <w:lang w:val="en-US" w:eastAsia="zh-CN"/>
              </w:rPr>
            </w:pPr>
            <w:r>
              <w:rPr>
                <w:rFonts w:hint="eastAsia"/>
                <w:sz w:val="21"/>
                <w:szCs w:val="21"/>
                <w:lang w:val="en-US" w:eastAsia="zh-CN"/>
              </w:rPr>
              <w:t>以上监测结果表明：企业废水排放口中：</w:t>
            </w:r>
            <w:r>
              <w:rPr>
                <w:rFonts w:hint="eastAsia"/>
                <w:sz w:val="21"/>
                <w:szCs w:val="21"/>
                <w:lang w:eastAsia="zh-CN"/>
              </w:rPr>
              <w:t>吡啶监测浓度值符合《杂环类农药工业水污染物排放标准》</w:t>
            </w:r>
            <w:r>
              <w:rPr>
                <w:rFonts w:hint="eastAsia"/>
                <w:sz w:val="21"/>
                <w:szCs w:val="21"/>
                <w:lang w:val="en-US" w:eastAsia="zh-CN"/>
              </w:rPr>
              <w:t>GB21523-2008表2标准限值要求；五日生化需氧量、全盐量监测浓度值符合</w:t>
            </w:r>
            <w:r>
              <w:rPr>
                <w:rFonts w:hint="eastAsia"/>
                <w:sz w:val="21"/>
                <w:szCs w:val="21"/>
                <w:lang w:eastAsia="zh-CN"/>
              </w:rPr>
              <w:t>德山</w:t>
            </w:r>
            <w:r>
              <w:rPr>
                <w:rFonts w:hint="eastAsia"/>
                <w:sz w:val="21"/>
                <w:szCs w:val="21"/>
              </w:rPr>
              <w:t>污水处理厂的进水水质要求</w:t>
            </w:r>
            <w:r>
              <w:rPr>
                <w:rFonts w:hint="eastAsia"/>
                <w:sz w:val="21"/>
                <w:szCs w:val="21"/>
                <w:lang w:eastAsia="zh-CN"/>
              </w:rPr>
              <w:t>；其他</w:t>
            </w:r>
            <w:r>
              <w:rPr>
                <w:rFonts w:hint="eastAsia"/>
                <w:sz w:val="21"/>
                <w:szCs w:val="21"/>
                <w:lang w:val="en-US" w:eastAsia="zh-CN"/>
              </w:rPr>
              <w:t>污染物监测浓度值均符合</w:t>
            </w:r>
            <w:r>
              <w:rPr>
                <w:rFonts w:hint="eastAsia"/>
                <w:sz w:val="21"/>
                <w:szCs w:val="21"/>
              </w:rPr>
              <w:t>《污水综合排放标准》（GB8978-1996）三级标准</w:t>
            </w:r>
            <w:r>
              <w:rPr>
                <w:rFonts w:hint="eastAsia"/>
                <w:sz w:val="21"/>
                <w:szCs w:val="21"/>
                <w:lang w:eastAsia="zh-CN"/>
              </w:rPr>
              <w:t>限值</w:t>
            </w:r>
            <w:r>
              <w:rPr>
                <w:rFonts w:hint="eastAsia"/>
                <w:sz w:val="21"/>
                <w:szCs w:val="21"/>
              </w:rPr>
              <w:t>要求</w:t>
            </w:r>
            <w:r>
              <w:rPr>
                <w:rFonts w:hint="eastAsia"/>
                <w:sz w:val="21"/>
                <w:szCs w:val="21"/>
                <w:lang w:val="en-US" w:eastAsia="zh-CN"/>
              </w:rPr>
              <w:t>。</w:t>
            </w:r>
          </w:p>
          <w:p>
            <w:pPr>
              <w:numPr>
                <w:ilvl w:val="0"/>
                <w:numId w:val="0"/>
              </w:numPr>
              <w:spacing w:line="276" w:lineRule="auto"/>
              <w:ind w:left="480" w:leftChars="0"/>
              <w:rPr>
                <w:rFonts w:hint="eastAsia"/>
                <w:sz w:val="21"/>
                <w:szCs w:val="21"/>
                <w:lang w:val="en-US" w:eastAsia="zh-CN"/>
              </w:rPr>
            </w:pPr>
            <w:r>
              <w:rPr>
                <w:rFonts w:hint="eastAsia"/>
                <w:sz w:val="21"/>
                <w:szCs w:val="21"/>
                <w:lang w:val="en-US" w:eastAsia="zh-CN"/>
              </w:rPr>
              <w:t>（3）噪声</w:t>
            </w:r>
          </w:p>
          <w:p>
            <w:pPr>
              <w:numPr>
                <w:ilvl w:val="0"/>
                <w:numId w:val="0"/>
              </w:numPr>
              <w:spacing w:line="276" w:lineRule="auto"/>
              <w:ind w:firstLine="420" w:firstLineChars="200"/>
              <w:rPr>
                <w:rFonts w:hint="eastAsia"/>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本企业</w:t>
            </w:r>
            <w:r>
              <w:rPr>
                <w:rFonts w:hint="eastAsia"/>
                <w:sz w:val="21"/>
                <w:szCs w:val="21"/>
                <w:lang w:val="en-US" w:eastAsia="zh-CN"/>
              </w:rPr>
              <w:t>定期委托湖南德环检测中心对厂界环境噪声开展自行监测，根据湖南德环检测中心监测报告（编号：DHJC20242205）</w:t>
            </w:r>
            <w:r>
              <w:rPr>
                <w:rFonts w:hint="eastAsia"/>
                <w:color w:val="000000" w:themeColor="text1"/>
                <w:sz w:val="21"/>
                <w:szCs w:val="21"/>
                <w:lang w:val="en-US" w:eastAsia="zh-CN"/>
                <w14:textFill>
                  <w14:solidFill>
                    <w14:schemeClr w14:val="tx1"/>
                  </w14:solidFill>
                </w14:textFill>
              </w:rPr>
              <w:t>，现有厂区厂界环境噪声现场监测结果如下表所示。</w:t>
            </w:r>
          </w:p>
          <w:p>
            <w:pPr>
              <w:numPr>
                <w:ilvl w:val="0"/>
                <w:numId w:val="0"/>
              </w:numPr>
              <w:spacing w:line="276" w:lineRule="auto"/>
              <w:ind w:firstLine="422" w:firstLineChars="200"/>
              <w:jc w:val="center"/>
              <w:rPr>
                <w:rFonts w:hint="eastAsia"/>
                <w:b/>
                <w:bCs/>
                <w:sz w:val="21"/>
                <w:szCs w:val="21"/>
                <w:lang w:val="en-US" w:eastAsia="zh-CN"/>
              </w:rPr>
            </w:pPr>
            <w:r>
              <w:rPr>
                <w:rFonts w:hint="eastAsia"/>
                <w:b/>
                <w:bCs/>
                <w:sz w:val="21"/>
                <w:szCs w:val="21"/>
                <w:lang w:val="en-US" w:eastAsia="zh-CN"/>
              </w:rPr>
              <w:t>表2-10   现有厂区厂界环境噪声排放监测结果表</w:t>
            </w:r>
          </w:p>
          <w:tbl>
            <w:tblPr>
              <w:tblStyle w:val="16"/>
              <w:tblW w:w="7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1395"/>
              <w:gridCol w:w="1464"/>
              <w:gridCol w:w="1227"/>
              <w:gridCol w:w="1242"/>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8" w:type="dxa"/>
                  <w:vMerge w:val="restart"/>
                  <w:shd w:val="clear" w:color="auto" w:fill="auto"/>
                  <w:vAlign w:val="center"/>
                </w:tcPr>
                <w:p>
                  <w:pPr>
                    <w:spacing w:line="240" w:lineRule="auto"/>
                    <w:ind w:firstLine="0" w:firstLineChars="0"/>
                    <w:jc w:val="center"/>
                    <w:rPr>
                      <w:bCs/>
                      <w:sz w:val="21"/>
                      <w:szCs w:val="21"/>
                    </w:rPr>
                  </w:pPr>
                  <w:r>
                    <w:rPr>
                      <w:rFonts w:hint="eastAsia"/>
                      <w:bCs/>
                      <w:sz w:val="21"/>
                      <w:szCs w:val="21"/>
                    </w:rPr>
                    <w:t>类别</w:t>
                  </w:r>
                </w:p>
              </w:tc>
              <w:tc>
                <w:tcPr>
                  <w:tcW w:w="1395" w:type="dxa"/>
                  <w:vMerge w:val="restart"/>
                  <w:shd w:val="clear" w:color="auto" w:fill="auto"/>
                  <w:vAlign w:val="center"/>
                </w:tcPr>
                <w:p>
                  <w:pPr>
                    <w:spacing w:line="240" w:lineRule="auto"/>
                    <w:ind w:firstLine="0" w:firstLineChars="0"/>
                    <w:jc w:val="center"/>
                    <w:rPr>
                      <w:bCs/>
                      <w:sz w:val="21"/>
                      <w:szCs w:val="21"/>
                    </w:rPr>
                  </w:pPr>
                  <w:r>
                    <w:rPr>
                      <w:rFonts w:hint="eastAsia"/>
                      <w:bCs/>
                      <w:sz w:val="21"/>
                      <w:szCs w:val="21"/>
                      <w:lang w:eastAsia="zh-CN"/>
                    </w:rPr>
                    <w:t>监测</w:t>
                  </w:r>
                  <w:r>
                    <w:rPr>
                      <w:rFonts w:hint="eastAsia"/>
                      <w:bCs/>
                      <w:sz w:val="21"/>
                      <w:szCs w:val="21"/>
                    </w:rPr>
                    <w:t>点</w:t>
                  </w:r>
                </w:p>
              </w:tc>
              <w:tc>
                <w:tcPr>
                  <w:tcW w:w="2691" w:type="dxa"/>
                  <w:gridSpan w:val="2"/>
                  <w:shd w:val="clear" w:color="auto" w:fill="auto"/>
                  <w:vAlign w:val="center"/>
                </w:tcPr>
                <w:p>
                  <w:pPr>
                    <w:spacing w:line="240" w:lineRule="auto"/>
                    <w:ind w:firstLine="0" w:firstLineChars="0"/>
                    <w:jc w:val="center"/>
                    <w:rPr>
                      <w:rFonts w:hint="default"/>
                      <w:bCs/>
                      <w:sz w:val="21"/>
                      <w:szCs w:val="21"/>
                      <w:lang w:val="en-US"/>
                    </w:rPr>
                  </w:pPr>
                  <w:r>
                    <w:rPr>
                      <w:rFonts w:hint="eastAsia"/>
                      <w:bCs/>
                      <w:sz w:val="21"/>
                      <w:szCs w:val="21"/>
                      <w:lang w:val="en-US" w:eastAsia="zh-CN"/>
                    </w:rPr>
                    <w:t>监测时间：2024.4.17</w:t>
                  </w:r>
                </w:p>
              </w:tc>
              <w:tc>
                <w:tcPr>
                  <w:tcW w:w="1242" w:type="dxa"/>
                  <w:vMerge w:val="restart"/>
                  <w:shd w:val="clear" w:color="auto" w:fill="auto"/>
                  <w:vAlign w:val="center"/>
                </w:tcPr>
                <w:p>
                  <w:pPr>
                    <w:spacing w:line="240" w:lineRule="auto"/>
                    <w:ind w:firstLine="0" w:firstLineChars="0"/>
                    <w:jc w:val="center"/>
                    <w:rPr>
                      <w:rFonts w:hint="eastAsia"/>
                      <w:bCs/>
                      <w:sz w:val="21"/>
                      <w:szCs w:val="21"/>
                    </w:rPr>
                  </w:pPr>
                  <w:r>
                    <w:rPr>
                      <w:rFonts w:hint="eastAsia"/>
                      <w:bCs/>
                      <w:sz w:val="21"/>
                      <w:szCs w:val="21"/>
                    </w:rPr>
                    <w:t>标准限值</w:t>
                  </w:r>
                </w:p>
                <w:p>
                  <w:pPr>
                    <w:spacing w:line="240" w:lineRule="auto"/>
                    <w:ind w:firstLine="0" w:firstLineChars="0"/>
                    <w:jc w:val="center"/>
                    <w:rPr>
                      <w:rFonts w:hint="eastAsia"/>
                      <w:bCs/>
                      <w:sz w:val="21"/>
                      <w:szCs w:val="21"/>
                    </w:rPr>
                  </w:pPr>
                  <w:r>
                    <w:rPr>
                      <w:rFonts w:hint="eastAsia"/>
                      <w:bCs/>
                      <w:sz w:val="21"/>
                      <w:szCs w:val="21"/>
                      <w:lang w:val="en-US" w:eastAsia="zh-CN"/>
                    </w:rPr>
                    <w:t>dB（A</w:t>
                  </w:r>
                  <w:r>
                    <w:rPr>
                      <w:rFonts w:hint="eastAsia"/>
                      <w:bCs/>
                      <w:sz w:val="21"/>
                      <w:szCs w:val="21"/>
                      <w:lang w:eastAsia="zh-CN"/>
                    </w:rPr>
                    <w:t>）</w:t>
                  </w:r>
                </w:p>
              </w:tc>
              <w:tc>
                <w:tcPr>
                  <w:tcW w:w="1228" w:type="dxa"/>
                  <w:vMerge w:val="restart"/>
                  <w:shd w:val="clear" w:color="auto" w:fill="auto"/>
                  <w:vAlign w:val="center"/>
                </w:tcPr>
                <w:p>
                  <w:pPr>
                    <w:spacing w:line="240" w:lineRule="auto"/>
                    <w:ind w:firstLine="0" w:firstLineChars="0"/>
                    <w:jc w:val="center"/>
                    <w:rPr>
                      <w:bCs/>
                      <w:sz w:val="21"/>
                      <w:szCs w:val="21"/>
                    </w:rPr>
                  </w:pPr>
                  <w:r>
                    <w:rPr>
                      <w:rFonts w:hint="eastAsia"/>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8" w:type="dxa"/>
                  <w:vMerge w:val="continue"/>
                  <w:shd w:val="clear" w:color="auto" w:fill="auto"/>
                  <w:vAlign w:val="center"/>
                </w:tcPr>
                <w:p>
                  <w:pPr>
                    <w:spacing w:line="240" w:lineRule="auto"/>
                    <w:ind w:firstLine="0" w:firstLineChars="0"/>
                    <w:jc w:val="center"/>
                    <w:rPr>
                      <w:rFonts w:hint="eastAsia"/>
                      <w:bCs/>
                      <w:sz w:val="21"/>
                      <w:szCs w:val="21"/>
                    </w:rPr>
                  </w:pPr>
                </w:p>
              </w:tc>
              <w:tc>
                <w:tcPr>
                  <w:tcW w:w="1395" w:type="dxa"/>
                  <w:vMerge w:val="continue"/>
                  <w:shd w:val="clear" w:color="auto" w:fill="auto"/>
                  <w:vAlign w:val="center"/>
                </w:tcPr>
                <w:p>
                  <w:pPr>
                    <w:spacing w:line="240" w:lineRule="auto"/>
                    <w:ind w:firstLine="0" w:firstLineChars="0"/>
                    <w:jc w:val="center"/>
                    <w:rPr>
                      <w:rFonts w:hint="eastAsia"/>
                      <w:bCs/>
                      <w:sz w:val="21"/>
                      <w:szCs w:val="21"/>
                      <w:lang w:eastAsia="zh-CN"/>
                    </w:rPr>
                  </w:pPr>
                </w:p>
              </w:tc>
              <w:tc>
                <w:tcPr>
                  <w:tcW w:w="1464" w:type="dxa"/>
                  <w:shd w:val="clear" w:color="auto" w:fill="auto"/>
                  <w:vAlign w:val="center"/>
                </w:tcPr>
                <w:p>
                  <w:pPr>
                    <w:spacing w:line="240" w:lineRule="auto"/>
                    <w:ind w:firstLine="0" w:firstLineChars="0"/>
                    <w:jc w:val="center"/>
                    <w:rPr>
                      <w:rFonts w:hint="eastAsia" w:eastAsia="宋体"/>
                      <w:bCs/>
                      <w:sz w:val="21"/>
                      <w:szCs w:val="21"/>
                      <w:lang w:eastAsia="zh-CN"/>
                    </w:rPr>
                  </w:pPr>
                  <w:r>
                    <w:rPr>
                      <w:rFonts w:hint="eastAsia"/>
                      <w:bCs/>
                      <w:sz w:val="21"/>
                      <w:szCs w:val="21"/>
                      <w:lang w:eastAsia="zh-CN"/>
                    </w:rPr>
                    <w:t>时段</w:t>
                  </w:r>
                </w:p>
              </w:tc>
              <w:tc>
                <w:tcPr>
                  <w:tcW w:w="1227" w:type="dxa"/>
                  <w:shd w:val="clear" w:color="auto" w:fill="auto"/>
                  <w:vAlign w:val="center"/>
                </w:tcPr>
                <w:p>
                  <w:pPr>
                    <w:spacing w:line="240" w:lineRule="auto"/>
                    <w:ind w:firstLine="0" w:firstLineChars="0"/>
                    <w:jc w:val="center"/>
                    <w:rPr>
                      <w:rFonts w:hint="eastAsia" w:eastAsia="宋体"/>
                      <w:bCs/>
                      <w:sz w:val="21"/>
                      <w:szCs w:val="21"/>
                      <w:lang w:eastAsia="zh-CN"/>
                    </w:rPr>
                  </w:pPr>
                  <w:r>
                    <w:rPr>
                      <w:rFonts w:hint="eastAsia"/>
                      <w:bCs/>
                      <w:sz w:val="21"/>
                      <w:szCs w:val="21"/>
                      <w:lang w:eastAsia="zh-CN"/>
                    </w:rPr>
                    <w:t>监测结果</w:t>
                  </w:r>
                  <w:r>
                    <w:rPr>
                      <w:rFonts w:hint="eastAsia"/>
                      <w:bCs/>
                      <w:sz w:val="21"/>
                      <w:szCs w:val="21"/>
                      <w:lang w:val="en-US" w:eastAsia="zh-CN"/>
                    </w:rPr>
                    <w:t>dB（A</w:t>
                  </w:r>
                  <w:r>
                    <w:rPr>
                      <w:rFonts w:hint="eastAsia"/>
                      <w:bCs/>
                      <w:sz w:val="21"/>
                      <w:szCs w:val="21"/>
                      <w:lang w:eastAsia="zh-CN"/>
                    </w:rPr>
                    <w:t>）</w:t>
                  </w:r>
                </w:p>
              </w:tc>
              <w:tc>
                <w:tcPr>
                  <w:tcW w:w="1242" w:type="dxa"/>
                  <w:vMerge w:val="continue"/>
                  <w:shd w:val="clear" w:color="auto" w:fill="auto"/>
                  <w:vAlign w:val="center"/>
                </w:tcPr>
                <w:p>
                  <w:pPr>
                    <w:spacing w:line="240" w:lineRule="auto"/>
                    <w:ind w:firstLine="0" w:firstLineChars="0"/>
                    <w:jc w:val="center"/>
                    <w:rPr>
                      <w:rFonts w:hint="eastAsia"/>
                      <w:bCs/>
                      <w:sz w:val="21"/>
                      <w:szCs w:val="21"/>
                    </w:rPr>
                  </w:pPr>
                </w:p>
              </w:tc>
              <w:tc>
                <w:tcPr>
                  <w:tcW w:w="1228" w:type="dxa"/>
                  <w:vMerge w:val="continue"/>
                  <w:shd w:val="clear" w:color="auto" w:fill="auto"/>
                  <w:vAlign w:val="center"/>
                </w:tcPr>
                <w:p>
                  <w:pPr>
                    <w:spacing w:line="240" w:lineRule="auto"/>
                    <w:ind w:firstLine="0" w:firstLineChars="0"/>
                    <w:jc w:val="center"/>
                    <w:rPr>
                      <w:rFonts w:hint="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8" w:type="dxa"/>
                  <w:vMerge w:val="restart"/>
                  <w:shd w:val="clear" w:color="auto" w:fill="auto"/>
                  <w:vAlign w:val="center"/>
                </w:tcPr>
                <w:p>
                  <w:pPr>
                    <w:spacing w:line="240" w:lineRule="auto"/>
                    <w:ind w:firstLine="0" w:firstLineChars="0"/>
                    <w:jc w:val="center"/>
                    <w:rPr>
                      <w:sz w:val="21"/>
                      <w:szCs w:val="21"/>
                    </w:rPr>
                  </w:pPr>
                  <w:r>
                    <w:rPr>
                      <w:rFonts w:hint="eastAsia"/>
                      <w:sz w:val="21"/>
                      <w:szCs w:val="21"/>
                    </w:rPr>
                    <w:t>厂界</w:t>
                  </w:r>
                </w:p>
              </w:tc>
              <w:tc>
                <w:tcPr>
                  <w:tcW w:w="1395" w:type="dxa"/>
                  <w:vMerge w:val="restart"/>
                  <w:shd w:val="clear" w:color="auto" w:fill="auto"/>
                  <w:vAlign w:val="center"/>
                </w:tcPr>
                <w:p>
                  <w:pPr>
                    <w:spacing w:line="240" w:lineRule="auto"/>
                    <w:ind w:firstLine="0" w:firstLineChars="0"/>
                    <w:jc w:val="center"/>
                    <w:rPr>
                      <w:sz w:val="21"/>
                      <w:szCs w:val="21"/>
                    </w:rPr>
                  </w:pPr>
                  <w:r>
                    <w:rPr>
                      <w:rFonts w:hint="eastAsia"/>
                      <w:sz w:val="21"/>
                      <w:szCs w:val="21"/>
                    </w:rPr>
                    <w:t>厂界东侧</w:t>
                  </w:r>
                </w:p>
              </w:tc>
              <w:tc>
                <w:tcPr>
                  <w:tcW w:w="1464" w:type="dxa"/>
                  <w:shd w:val="clear" w:color="auto" w:fill="auto"/>
                  <w:vAlign w:val="center"/>
                </w:tcPr>
                <w:p>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昼间</w:t>
                  </w:r>
                </w:p>
              </w:tc>
              <w:tc>
                <w:tcPr>
                  <w:tcW w:w="1227" w:type="dxa"/>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56.2</w:t>
                  </w:r>
                </w:p>
              </w:tc>
              <w:tc>
                <w:tcPr>
                  <w:tcW w:w="1242" w:type="dxa"/>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1228" w:type="dxa"/>
                  <w:shd w:val="clear" w:color="auto" w:fill="auto"/>
                  <w:vAlign w:val="center"/>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shd w:val="clear" w:color="auto" w:fill="auto"/>
                  <w:vAlign w:val="center"/>
                </w:tcPr>
                <w:p>
                  <w:pPr>
                    <w:spacing w:line="240" w:lineRule="auto"/>
                    <w:ind w:firstLine="0" w:firstLineChars="0"/>
                    <w:jc w:val="center"/>
                    <w:rPr>
                      <w:rFonts w:hint="eastAsia"/>
                      <w:sz w:val="21"/>
                      <w:szCs w:val="21"/>
                    </w:rPr>
                  </w:pPr>
                </w:p>
              </w:tc>
              <w:tc>
                <w:tcPr>
                  <w:tcW w:w="1395" w:type="dxa"/>
                  <w:vMerge w:val="continue"/>
                  <w:shd w:val="clear" w:color="auto" w:fill="auto"/>
                  <w:vAlign w:val="center"/>
                </w:tcPr>
                <w:p>
                  <w:pPr>
                    <w:spacing w:line="240" w:lineRule="auto"/>
                    <w:ind w:firstLine="0" w:firstLineChars="0"/>
                    <w:jc w:val="center"/>
                    <w:rPr>
                      <w:rFonts w:hint="eastAsia"/>
                      <w:sz w:val="21"/>
                      <w:szCs w:val="21"/>
                    </w:rPr>
                  </w:pPr>
                </w:p>
              </w:tc>
              <w:tc>
                <w:tcPr>
                  <w:tcW w:w="1464" w:type="dxa"/>
                  <w:shd w:val="clear" w:color="auto" w:fill="auto"/>
                  <w:vAlign w:val="center"/>
                </w:tcPr>
                <w:p>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夜间</w:t>
                  </w:r>
                </w:p>
              </w:tc>
              <w:tc>
                <w:tcPr>
                  <w:tcW w:w="1227" w:type="dxa"/>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45.2</w:t>
                  </w:r>
                </w:p>
              </w:tc>
              <w:tc>
                <w:tcPr>
                  <w:tcW w:w="1242" w:type="dxa"/>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1228" w:type="dxa"/>
                  <w:shd w:val="clear" w:color="auto" w:fill="auto"/>
                  <w:vAlign w:val="center"/>
                </w:tcPr>
                <w:p>
                  <w:pPr>
                    <w:spacing w:line="240" w:lineRule="auto"/>
                    <w:ind w:firstLine="0" w:firstLineChars="0"/>
                    <w:jc w:val="center"/>
                    <w:rPr>
                      <w:rFonts w:hint="eastAsia"/>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8" w:type="dxa"/>
                  <w:vMerge w:val="continue"/>
                  <w:shd w:val="clear" w:color="auto" w:fill="auto"/>
                  <w:vAlign w:val="center"/>
                </w:tcPr>
                <w:p>
                  <w:pPr>
                    <w:spacing w:line="240" w:lineRule="auto"/>
                    <w:ind w:firstLine="0" w:firstLineChars="0"/>
                    <w:jc w:val="center"/>
                    <w:rPr>
                      <w:sz w:val="21"/>
                      <w:szCs w:val="21"/>
                    </w:rPr>
                  </w:pPr>
                </w:p>
              </w:tc>
              <w:tc>
                <w:tcPr>
                  <w:tcW w:w="1395" w:type="dxa"/>
                  <w:vMerge w:val="restart"/>
                  <w:shd w:val="clear" w:color="auto" w:fill="auto"/>
                  <w:vAlign w:val="center"/>
                </w:tcPr>
                <w:p>
                  <w:pPr>
                    <w:spacing w:line="240" w:lineRule="auto"/>
                    <w:ind w:firstLine="0" w:firstLineChars="0"/>
                    <w:jc w:val="center"/>
                    <w:rPr>
                      <w:sz w:val="21"/>
                      <w:szCs w:val="21"/>
                    </w:rPr>
                  </w:pPr>
                  <w:r>
                    <w:rPr>
                      <w:rFonts w:hint="eastAsia"/>
                      <w:sz w:val="21"/>
                      <w:szCs w:val="21"/>
                    </w:rPr>
                    <w:t>厂界南侧</w:t>
                  </w:r>
                </w:p>
              </w:tc>
              <w:tc>
                <w:tcPr>
                  <w:tcW w:w="1464" w:type="dxa"/>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昼间</w:t>
                  </w:r>
                </w:p>
              </w:tc>
              <w:tc>
                <w:tcPr>
                  <w:tcW w:w="1227" w:type="dxa"/>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58.3</w:t>
                  </w:r>
                </w:p>
              </w:tc>
              <w:tc>
                <w:tcPr>
                  <w:tcW w:w="1242" w:type="dxa"/>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1228" w:type="dxa"/>
                  <w:shd w:val="clear" w:color="auto" w:fill="auto"/>
                  <w:vAlign w:val="center"/>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8" w:type="dxa"/>
                  <w:vMerge w:val="continue"/>
                  <w:shd w:val="clear" w:color="auto" w:fill="auto"/>
                  <w:vAlign w:val="center"/>
                </w:tcPr>
                <w:p>
                  <w:pPr>
                    <w:spacing w:line="240" w:lineRule="auto"/>
                    <w:ind w:firstLine="0" w:firstLineChars="0"/>
                    <w:jc w:val="center"/>
                    <w:rPr>
                      <w:sz w:val="21"/>
                      <w:szCs w:val="21"/>
                    </w:rPr>
                  </w:pPr>
                </w:p>
              </w:tc>
              <w:tc>
                <w:tcPr>
                  <w:tcW w:w="1395" w:type="dxa"/>
                  <w:vMerge w:val="continue"/>
                  <w:shd w:val="clear" w:color="auto" w:fill="auto"/>
                  <w:vAlign w:val="center"/>
                </w:tcPr>
                <w:p>
                  <w:pPr>
                    <w:spacing w:line="240" w:lineRule="auto"/>
                    <w:ind w:firstLine="0" w:firstLineChars="0"/>
                    <w:jc w:val="center"/>
                    <w:rPr>
                      <w:rFonts w:hint="eastAsia"/>
                      <w:sz w:val="21"/>
                      <w:szCs w:val="21"/>
                    </w:rPr>
                  </w:pPr>
                </w:p>
              </w:tc>
              <w:tc>
                <w:tcPr>
                  <w:tcW w:w="1464" w:type="dxa"/>
                  <w:shd w:val="clear" w:color="auto" w:fill="auto"/>
                  <w:vAlign w:val="center"/>
                </w:tcPr>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夜间</w:t>
                  </w:r>
                </w:p>
              </w:tc>
              <w:tc>
                <w:tcPr>
                  <w:tcW w:w="1227" w:type="dxa"/>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48.3</w:t>
                  </w:r>
                </w:p>
              </w:tc>
              <w:tc>
                <w:tcPr>
                  <w:tcW w:w="1242" w:type="dxa"/>
                  <w:shd w:val="clear" w:color="auto" w:fill="auto"/>
                  <w:vAlign w:val="center"/>
                </w:tcPr>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1228" w:type="dxa"/>
                  <w:shd w:val="clear" w:color="auto" w:fill="auto"/>
                  <w:vAlign w:val="center"/>
                </w:tcPr>
                <w:p>
                  <w:pPr>
                    <w:spacing w:line="240" w:lineRule="auto"/>
                    <w:ind w:firstLine="0" w:firstLineChars="0"/>
                    <w:jc w:val="center"/>
                    <w:rPr>
                      <w:rFonts w:hint="eastAsia"/>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shd w:val="clear" w:color="auto" w:fill="auto"/>
                  <w:vAlign w:val="center"/>
                </w:tcPr>
                <w:p>
                  <w:pPr>
                    <w:spacing w:line="240" w:lineRule="auto"/>
                    <w:ind w:firstLine="0" w:firstLineChars="0"/>
                    <w:jc w:val="center"/>
                    <w:rPr>
                      <w:sz w:val="21"/>
                      <w:szCs w:val="21"/>
                    </w:rPr>
                  </w:pPr>
                </w:p>
              </w:tc>
              <w:tc>
                <w:tcPr>
                  <w:tcW w:w="1395" w:type="dxa"/>
                  <w:vMerge w:val="restart"/>
                  <w:shd w:val="clear" w:color="auto" w:fill="auto"/>
                  <w:vAlign w:val="center"/>
                </w:tcPr>
                <w:p>
                  <w:pPr>
                    <w:spacing w:line="240" w:lineRule="auto"/>
                    <w:ind w:firstLine="0" w:firstLineChars="0"/>
                    <w:jc w:val="center"/>
                    <w:rPr>
                      <w:sz w:val="21"/>
                      <w:szCs w:val="21"/>
                    </w:rPr>
                  </w:pPr>
                  <w:r>
                    <w:rPr>
                      <w:rFonts w:hint="eastAsia"/>
                      <w:sz w:val="21"/>
                      <w:szCs w:val="21"/>
                    </w:rPr>
                    <w:t>厂界西侧</w:t>
                  </w:r>
                </w:p>
              </w:tc>
              <w:tc>
                <w:tcPr>
                  <w:tcW w:w="1464" w:type="dxa"/>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昼间</w:t>
                  </w:r>
                </w:p>
              </w:tc>
              <w:tc>
                <w:tcPr>
                  <w:tcW w:w="1227" w:type="dxa"/>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55.6</w:t>
                  </w:r>
                </w:p>
              </w:tc>
              <w:tc>
                <w:tcPr>
                  <w:tcW w:w="1242" w:type="dxa"/>
                  <w:shd w:val="clear" w:color="auto" w:fill="auto"/>
                  <w:vAlign w:val="center"/>
                </w:tcPr>
                <w:p>
                  <w:pPr>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1228" w:type="dxa"/>
                  <w:shd w:val="clear" w:color="auto" w:fill="auto"/>
                  <w:vAlign w:val="center"/>
                </w:tcPr>
                <w:p>
                  <w:pPr>
                    <w:spacing w:line="240" w:lineRule="auto"/>
                    <w:ind w:firstLine="0" w:firstLineChars="0"/>
                    <w:jc w:val="center"/>
                    <w:rPr>
                      <w:rFonts w:hint="eastAsia"/>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shd w:val="clear" w:color="auto" w:fill="auto"/>
                  <w:vAlign w:val="center"/>
                </w:tcPr>
                <w:p>
                  <w:pPr>
                    <w:spacing w:line="240" w:lineRule="auto"/>
                    <w:ind w:firstLine="0" w:firstLineChars="0"/>
                    <w:jc w:val="center"/>
                    <w:rPr>
                      <w:sz w:val="21"/>
                      <w:szCs w:val="21"/>
                    </w:rPr>
                  </w:pPr>
                </w:p>
              </w:tc>
              <w:tc>
                <w:tcPr>
                  <w:tcW w:w="1395" w:type="dxa"/>
                  <w:vMerge w:val="continue"/>
                  <w:shd w:val="clear" w:color="auto" w:fill="auto"/>
                  <w:vAlign w:val="center"/>
                </w:tcPr>
                <w:p>
                  <w:pPr>
                    <w:spacing w:line="240" w:lineRule="auto"/>
                    <w:ind w:firstLine="0" w:firstLineChars="0"/>
                    <w:jc w:val="center"/>
                    <w:rPr>
                      <w:rFonts w:hint="eastAsia"/>
                      <w:sz w:val="21"/>
                      <w:szCs w:val="21"/>
                    </w:rPr>
                  </w:pPr>
                </w:p>
              </w:tc>
              <w:tc>
                <w:tcPr>
                  <w:tcW w:w="1464" w:type="dxa"/>
                  <w:shd w:val="clear" w:color="auto" w:fill="auto"/>
                  <w:vAlign w:val="center"/>
                </w:tcPr>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夜间</w:t>
                  </w:r>
                </w:p>
              </w:tc>
              <w:tc>
                <w:tcPr>
                  <w:tcW w:w="1227" w:type="dxa"/>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43.5</w:t>
                  </w:r>
                </w:p>
              </w:tc>
              <w:tc>
                <w:tcPr>
                  <w:tcW w:w="1242" w:type="dxa"/>
                  <w:shd w:val="clear" w:color="auto" w:fill="auto"/>
                  <w:vAlign w:val="center"/>
                </w:tcPr>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1228" w:type="dxa"/>
                  <w:shd w:val="clear" w:color="auto" w:fill="auto"/>
                  <w:vAlign w:val="center"/>
                </w:tcPr>
                <w:p>
                  <w:pPr>
                    <w:spacing w:line="240" w:lineRule="auto"/>
                    <w:ind w:firstLine="0" w:firstLineChars="0"/>
                    <w:jc w:val="center"/>
                    <w:rPr>
                      <w:rFonts w:hint="eastAsia"/>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shd w:val="clear" w:color="auto" w:fill="auto"/>
                  <w:vAlign w:val="center"/>
                </w:tcPr>
                <w:p>
                  <w:pPr>
                    <w:spacing w:line="240" w:lineRule="auto"/>
                    <w:ind w:firstLine="0" w:firstLineChars="0"/>
                    <w:jc w:val="center"/>
                    <w:rPr>
                      <w:sz w:val="21"/>
                      <w:szCs w:val="21"/>
                    </w:rPr>
                  </w:pPr>
                </w:p>
              </w:tc>
              <w:tc>
                <w:tcPr>
                  <w:tcW w:w="1395" w:type="dxa"/>
                  <w:vMerge w:val="restart"/>
                  <w:shd w:val="clear" w:color="auto" w:fill="auto"/>
                  <w:vAlign w:val="center"/>
                </w:tcPr>
                <w:p>
                  <w:pPr>
                    <w:spacing w:line="240" w:lineRule="auto"/>
                    <w:ind w:firstLine="0" w:firstLineChars="0"/>
                    <w:jc w:val="center"/>
                    <w:rPr>
                      <w:sz w:val="21"/>
                      <w:szCs w:val="21"/>
                    </w:rPr>
                  </w:pPr>
                  <w:r>
                    <w:rPr>
                      <w:rFonts w:hint="eastAsia"/>
                      <w:sz w:val="21"/>
                      <w:szCs w:val="21"/>
                    </w:rPr>
                    <w:t>厂界北侧</w:t>
                  </w:r>
                </w:p>
              </w:tc>
              <w:tc>
                <w:tcPr>
                  <w:tcW w:w="1464" w:type="dxa"/>
                  <w:shd w:val="clear" w:color="auto" w:fill="auto"/>
                  <w:vAlign w:val="center"/>
                </w:tcPr>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昼间</w:t>
                  </w:r>
                </w:p>
              </w:tc>
              <w:tc>
                <w:tcPr>
                  <w:tcW w:w="1227" w:type="dxa"/>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57.8</w:t>
                  </w:r>
                </w:p>
              </w:tc>
              <w:tc>
                <w:tcPr>
                  <w:tcW w:w="1242" w:type="dxa"/>
                  <w:shd w:val="clear" w:color="auto" w:fill="auto"/>
                  <w:vAlign w:val="center"/>
                </w:tcPr>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1228" w:type="dxa"/>
                  <w:shd w:val="clear" w:color="auto" w:fill="auto"/>
                  <w:vAlign w:val="center"/>
                </w:tcPr>
                <w:p>
                  <w:pPr>
                    <w:spacing w:line="240" w:lineRule="auto"/>
                    <w:ind w:firstLine="0" w:firstLineChars="0"/>
                    <w:jc w:val="center"/>
                    <w:rPr>
                      <w:rFonts w:hint="eastAsia"/>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shd w:val="clear" w:color="auto" w:fill="auto"/>
                  <w:vAlign w:val="center"/>
                </w:tcPr>
                <w:p>
                  <w:pPr>
                    <w:spacing w:line="240" w:lineRule="auto"/>
                    <w:ind w:firstLine="0" w:firstLineChars="0"/>
                    <w:jc w:val="center"/>
                    <w:rPr>
                      <w:sz w:val="21"/>
                      <w:szCs w:val="21"/>
                    </w:rPr>
                  </w:pPr>
                </w:p>
              </w:tc>
              <w:tc>
                <w:tcPr>
                  <w:tcW w:w="1395" w:type="dxa"/>
                  <w:vMerge w:val="continue"/>
                  <w:shd w:val="clear" w:color="auto" w:fill="auto"/>
                  <w:vAlign w:val="center"/>
                </w:tcPr>
                <w:p>
                  <w:pPr>
                    <w:spacing w:line="240" w:lineRule="auto"/>
                    <w:ind w:firstLine="0" w:firstLineChars="0"/>
                    <w:jc w:val="center"/>
                    <w:rPr>
                      <w:sz w:val="21"/>
                      <w:szCs w:val="21"/>
                    </w:rPr>
                  </w:pPr>
                </w:p>
              </w:tc>
              <w:tc>
                <w:tcPr>
                  <w:tcW w:w="1464" w:type="dxa"/>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夜间</w:t>
                  </w:r>
                </w:p>
              </w:tc>
              <w:tc>
                <w:tcPr>
                  <w:tcW w:w="1227" w:type="dxa"/>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47.0</w:t>
                  </w:r>
                </w:p>
              </w:tc>
              <w:tc>
                <w:tcPr>
                  <w:tcW w:w="1242" w:type="dxa"/>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1228" w:type="dxa"/>
                  <w:shd w:val="clear" w:color="auto" w:fill="auto"/>
                  <w:vAlign w:val="center"/>
                </w:tcPr>
                <w:p>
                  <w:pPr>
                    <w:spacing w:line="240" w:lineRule="auto"/>
                    <w:ind w:firstLine="0" w:firstLineChars="0"/>
                    <w:jc w:val="center"/>
                    <w:rPr>
                      <w:sz w:val="21"/>
                      <w:szCs w:val="21"/>
                    </w:rPr>
                  </w:pPr>
                  <w:r>
                    <w:rPr>
                      <w:rFonts w:hint="eastAsia"/>
                      <w:sz w:val="21"/>
                      <w:szCs w:val="21"/>
                    </w:rPr>
                    <w:t>达标</w:t>
                  </w:r>
                </w:p>
              </w:tc>
            </w:tr>
          </w:tbl>
          <w:p>
            <w:pPr>
              <w:spacing w:line="276" w:lineRule="auto"/>
              <w:ind w:firstLine="420"/>
              <w:rPr>
                <w:rFonts w:hint="default"/>
                <w:sz w:val="21"/>
                <w:szCs w:val="21"/>
                <w:lang w:val="en-US" w:eastAsia="zh-CN"/>
              </w:rPr>
            </w:pPr>
            <w:r>
              <w:rPr>
                <w:rFonts w:hint="eastAsia"/>
                <w:sz w:val="21"/>
                <w:szCs w:val="21"/>
                <w:lang w:val="en-US" w:eastAsia="zh-CN"/>
              </w:rPr>
              <w:t>以上监测结果表明：现有厂区东、南、西、北侧厂界环境噪声排放的昼间、夜间监测值均符合</w:t>
            </w:r>
            <w:r>
              <w:rPr>
                <w:rFonts w:hint="eastAsia"/>
                <w:sz w:val="21"/>
                <w:szCs w:val="21"/>
              </w:rPr>
              <w:t>《工业企业厂界环境噪声排放标准》（GB12348-2008）</w:t>
            </w:r>
            <w:r>
              <w:rPr>
                <w:rFonts w:hint="eastAsia"/>
                <w:sz w:val="21"/>
                <w:szCs w:val="21"/>
                <w:lang w:val="en-US" w:eastAsia="zh-CN"/>
              </w:rPr>
              <w:t>3</w:t>
            </w:r>
            <w:r>
              <w:rPr>
                <w:rFonts w:hint="eastAsia"/>
                <w:sz w:val="21"/>
                <w:szCs w:val="21"/>
              </w:rPr>
              <w:t>类标准</w:t>
            </w:r>
            <w:r>
              <w:rPr>
                <w:rFonts w:hint="eastAsia"/>
                <w:sz w:val="21"/>
                <w:szCs w:val="21"/>
                <w:lang w:eastAsia="zh-CN"/>
              </w:rPr>
              <w:t>限值要求</w:t>
            </w:r>
            <w:r>
              <w:rPr>
                <w:rFonts w:hint="eastAsia"/>
                <w:sz w:val="21"/>
                <w:szCs w:val="21"/>
                <w:lang w:val="en-US" w:eastAsia="zh-CN"/>
              </w:rPr>
              <w:t>。现有项目厂界环境噪声排放达标，厂区周围50m无噪声敏感目标，现有厂区噪声对周边声环境影响较小。</w:t>
            </w:r>
          </w:p>
          <w:p>
            <w:pPr>
              <w:spacing w:line="276" w:lineRule="auto"/>
              <w:ind w:firstLine="420"/>
              <w:rPr>
                <w:rFonts w:hint="eastAsia"/>
                <w:sz w:val="21"/>
                <w:szCs w:val="21"/>
                <w:lang w:val="en-US" w:eastAsia="zh-CN"/>
              </w:rPr>
            </w:pPr>
            <w:r>
              <w:rPr>
                <w:rFonts w:hint="eastAsia"/>
                <w:sz w:val="21"/>
                <w:szCs w:val="21"/>
                <w:lang w:val="en-US" w:eastAsia="zh-CN"/>
              </w:rPr>
              <w:t xml:space="preserve"> （4）固体废物</w:t>
            </w:r>
          </w:p>
          <w:p>
            <w:pPr>
              <w:spacing w:line="276" w:lineRule="auto"/>
              <w:ind w:firstLine="420"/>
              <w:rPr>
                <w:rFonts w:hint="eastAsia"/>
                <w:sz w:val="21"/>
                <w:szCs w:val="21"/>
                <w:lang w:val="en-US" w:eastAsia="zh-CN"/>
              </w:rPr>
            </w:pPr>
            <w:r>
              <w:rPr>
                <w:rFonts w:hint="eastAsia"/>
                <w:sz w:val="21"/>
                <w:szCs w:val="21"/>
                <w:lang w:val="en-US" w:eastAsia="zh-CN"/>
              </w:rPr>
              <w:t>现有项目厂区产生的各种固体废物均得到妥善处理处置，不外排周围环境。厂区内危险废物分为液体危险废物与固态危险废物，分别暂存于厂区液废仓库与固废仓库内，仓库内均设置为微负压气体收集装置，收集的废气均通至固废焚烧炉内焚烧处理。危废仓库地面均采取防腐、防渗处理，堆存物料均为分区、分类堆放，且建立有台账，仓库内设置有监控系统，仓库内设置有地漏，并与个仓库单独建立的收集池（容积为 500L）相连。</w:t>
            </w:r>
          </w:p>
          <w:p>
            <w:pPr>
              <w:spacing w:line="276" w:lineRule="auto"/>
              <w:ind w:firstLine="420"/>
              <w:rPr>
                <w:rFonts w:hint="eastAsia"/>
                <w:sz w:val="21"/>
                <w:szCs w:val="21"/>
                <w:lang w:val="en-US" w:eastAsia="zh-CN"/>
              </w:rPr>
            </w:pPr>
            <w:r>
              <w:rPr>
                <w:rFonts w:hint="eastAsia"/>
                <w:sz w:val="21"/>
                <w:szCs w:val="21"/>
                <w:lang w:val="en-US" w:eastAsia="zh-CN"/>
              </w:rPr>
              <w:t>现有项目厂区2023年固体废物具体处置情况见下表：</w:t>
            </w:r>
          </w:p>
          <w:p>
            <w:pPr>
              <w:spacing w:line="276" w:lineRule="auto"/>
              <w:ind w:firstLine="420"/>
              <w:jc w:val="center"/>
              <w:rPr>
                <w:rFonts w:hint="default" w:eastAsia="宋体"/>
                <w:b w:val="0"/>
                <w:bCs w:val="0"/>
                <w:color w:val="000000" w:themeColor="text1"/>
                <w:sz w:val="21"/>
                <w:szCs w:val="21"/>
                <w:lang w:val="en-US" w:eastAsia="zh-CN"/>
                <w14:textFill>
                  <w14:solidFill>
                    <w14:schemeClr w14:val="tx1"/>
                  </w14:solidFill>
                </w14:textFill>
              </w:rPr>
            </w:pPr>
            <w:r>
              <w:rPr>
                <w:rFonts w:hint="default"/>
                <w:b/>
                <w:bCs/>
                <w:sz w:val="21"/>
                <w:szCs w:val="21"/>
                <w:lang w:val="en-US" w:eastAsia="zh-CN"/>
              </w:rPr>
              <w:t>表2-</w:t>
            </w:r>
            <w:r>
              <w:rPr>
                <w:rFonts w:hint="eastAsia"/>
                <w:b/>
                <w:bCs/>
                <w:sz w:val="21"/>
                <w:szCs w:val="21"/>
                <w:lang w:val="en-US" w:eastAsia="zh-CN"/>
              </w:rPr>
              <w:t>11</w:t>
            </w:r>
            <w:r>
              <w:rPr>
                <w:rFonts w:hint="default"/>
                <w:b/>
                <w:bCs/>
                <w:sz w:val="21"/>
                <w:szCs w:val="21"/>
                <w:lang w:val="en-US" w:eastAsia="zh-CN"/>
              </w:rPr>
              <w:t xml:space="preserve">   现有厂区</w:t>
            </w:r>
            <w:r>
              <w:rPr>
                <w:rFonts w:hint="eastAsia"/>
                <w:b/>
                <w:bCs/>
                <w:sz w:val="21"/>
                <w:szCs w:val="21"/>
                <w:lang w:val="en-US" w:eastAsia="zh-CN"/>
              </w:rPr>
              <w:t>2023年固体废物处置情况</w:t>
            </w:r>
            <w:r>
              <w:rPr>
                <w:rFonts w:hint="default"/>
                <w:b/>
                <w:bCs/>
                <w:sz w:val="21"/>
                <w:szCs w:val="21"/>
                <w:lang w:val="en-US" w:eastAsia="zh-CN"/>
              </w:rPr>
              <w:t>表</w:t>
            </w:r>
            <w:r>
              <w:rPr>
                <w:rFonts w:hint="eastAsia"/>
                <w:b/>
                <w:bCs/>
                <w:sz w:val="21"/>
                <w:szCs w:val="21"/>
                <w:lang w:val="en-US" w:eastAsia="zh-CN"/>
              </w:rPr>
              <w:t xml:space="preserve"> </w:t>
            </w:r>
            <w:r>
              <w:rPr>
                <w:rFonts w:hint="eastAsia"/>
                <w:b w:val="0"/>
                <w:bCs w:val="0"/>
                <w:sz w:val="21"/>
                <w:szCs w:val="21"/>
                <w:lang w:val="en-US" w:eastAsia="zh-CN"/>
              </w:rPr>
              <w:t xml:space="preserve">  </w:t>
            </w:r>
            <w:r>
              <w:rPr>
                <w:rFonts w:hint="eastAsia"/>
                <w:b/>
                <w:bCs/>
                <w:color w:val="000000" w:themeColor="text1"/>
                <w:sz w:val="21"/>
                <w:szCs w:val="21"/>
                <w:lang w:val="en-US" w:eastAsia="zh-CN"/>
                <w14:textFill>
                  <w14:solidFill>
                    <w14:schemeClr w14:val="tx1"/>
                  </w14:solidFill>
                </w14:textFill>
              </w:rPr>
              <w:t>单位：t/a</w:t>
            </w:r>
          </w:p>
          <w:tbl>
            <w:tblPr>
              <w:tblStyle w:val="17"/>
              <w:tblW w:w="7731" w:type="dxa"/>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350"/>
              <w:gridCol w:w="1050"/>
              <w:gridCol w:w="1027"/>
              <w:gridCol w:w="1004"/>
              <w:gridCol w:w="946"/>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废物名称</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危废类别</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2023年产生量</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存量</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储存方式</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OP渣盐</w:t>
                  </w:r>
                </w:p>
              </w:tc>
              <w:tc>
                <w:tcPr>
                  <w:tcW w:w="10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HW04</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241.15</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吨袋装</w:t>
                  </w:r>
                </w:p>
              </w:tc>
              <w:tc>
                <w:tcPr>
                  <w:tcW w:w="1835" w:type="dxa"/>
                  <w:vAlign w:val="center"/>
                </w:tcPr>
                <w:p>
                  <w:pPr>
                    <w:spacing w:line="240" w:lineRule="auto"/>
                    <w:ind w:left="0" w:leftChars="0" w:firstLine="0" w:firstLineChars="0"/>
                    <w:jc w:val="center"/>
                    <w:rPr>
                      <w:rFonts w:hint="default"/>
                      <w:b w:val="0"/>
                      <w:bCs w:val="0"/>
                      <w:sz w:val="21"/>
                      <w:szCs w:val="21"/>
                      <w:vertAlign w:val="baseline"/>
                      <w:lang w:val="en-US" w:eastAsia="zh-CN"/>
                    </w:rPr>
                  </w:pPr>
                  <w:r>
                    <w:rPr>
                      <w:rFonts w:hint="eastAsia"/>
                      <w:sz w:val="21"/>
                      <w:szCs w:val="21"/>
                      <w:lang w:val="en-US" w:eastAsia="zh-CN"/>
                    </w:rPr>
                    <w:t>委托桃江南方新奥环保技术有限责任公司处置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异酯盐渣</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127</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8.9</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袋装</w:t>
                  </w:r>
                </w:p>
              </w:tc>
              <w:tc>
                <w:tcPr>
                  <w:tcW w:w="18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危险废物焚烧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炉焚烧处理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3</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废原辅液</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6.58</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桶装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4</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回收废液</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300.28</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11.71</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桶装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硫双废液</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514.6</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51.246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罐装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6</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OP 釜残</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60.6</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2.18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桶装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7</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抗蚜威釜残</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106</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0.89</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罐装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8</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原药釜残</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370</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31.76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罐装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9</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丁硫废液</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37.65</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8.37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罐装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10</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甲嘧废液</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131.39</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29.43</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罐装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11</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生化污泥</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2661</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139</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袋装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12</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废矿物油</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HW08</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8.55</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桶装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13</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废催化剂</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HW50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0.301</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纸桶装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14</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生化污泥</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HW04</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400</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袋装</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委托临澧冀东</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水泥有限公司</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15</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危险废物焚烧炉飞灰</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HW18</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13.793</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吨袋装</w:t>
                  </w:r>
                </w:p>
              </w:tc>
              <w:tc>
                <w:tcPr>
                  <w:tcW w:w="18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sz w:val="21"/>
                      <w:szCs w:val="21"/>
                      <w:lang w:val="en-US" w:eastAsia="zh-CN"/>
                    </w:rPr>
                    <w:t>委托桃江南方新奥环保技术有限责任公司处置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16</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铅蓄电池</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HW31</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17</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涂料废物</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HW12</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w:t>
                  </w:r>
                </w:p>
              </w:tc>
              <w:tc>
                <w:tcPr>
                  <w:tcW w:w="18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危险废物焚烧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炉焚烧处理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18</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废劳保用品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（沾染废物）</w:t>
                  </w:r>
                </w:p>
              </w:tc>
              <w:tc>
                <w:tcPr>
                  <w:tcW w:w="10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HW49</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495.101</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20.45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袋装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19</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废玻璃瓶</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1.9</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桶装</w:t>
                  </w: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20</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生活垃圾</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6</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垃圾桶</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交由园区环卫</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default"/>
                      <w:b w:val="0"/>
                      <w:bCs w:val="0"/>
                      <w:sz w:val="21"/>
                      <w:szCs w:val="21"/>
                      <w:vertAlign w:val="baseline"/>
                      <w:lang w:val="en-US" w:eastAsia="zh-CN"/>
                    </w:rPr>
                    <w:t>部门收</w:t>
                  </w:r>
                  <w:r>
                    <w:rPr>
                      <w:rFonts w:hint="eastAsia"/>
                      <w:b w:val="0"/>
                      <w:bCs w:val="0"/>
                      <w:sz w:val="21"/>
                      <w:szCs w:val="21"/>
                      <w:vertAlign w:val="baseline"/>
                      <w:lang w:val="en-US" w:eastAsia="zh-CN"/>
                    </w:rPr>
                    <w:t>集</w:t>
                  </w:r>
                  <w:r>
                    <w:rPr>
                      <w:rFonts w:hint="default"/>
                      <w:b w:val="0"/>
                      <w:bCs w:val="0"/>
                      <w:sz w:val="21"/>
                      <w:szCs w:val="21"/>
                      <w:vertAlign w:val="baseline"/>
                      <w:lang w:val="en-US" w:eastAsia="zh-CN"/>
                    </w:rPr>
                    <w:t>处置</w:t>
                  </w:r>
                </w:p>
              </w:tc>
            </w:tr>
          </w:tbl>
          <w:p>
            <w:pPr>
              <w:spacing w:line="276" w:lineRule="auto"/>
              <w:ind w:firstLine="420"/>
              <w:rPr>
                <w:sz w:val="21"/>
                <w:szCs w:val="21"/>
              </w:rPr>
            </w:pPr>
          </w:p>
          <w:p>
            <w:pPr>
              <w:spacing w:line="276" w:lineRule="auto"/>
              <w:ind w:left="0" w:leftChars="0" w:firstLine="0" w:firstLineChars="0"/>
              <w:rPr>
                <w:sz w:val="21"/>
                <w:szCs w:val="21"/>
              </w:rPr>
            </w:pPr>
          </w:p>
        </w:tc>
      </w:tr>
    </w:tbl>
    <w:p>
      <w:pPr>
        <w:ind w:firstLine="0" w:firstLineChars="0"/>
        <w:jc w:val="both"/>
        <w:sectPr>
          <w:pgSz w:w="11906" w:h="16838"/>
          <w:pgMar w:top="1418" w:right="1588" w:bottom="1418" w:left="1588" w:header="851" w:footer="992" w:gutter="0"/>
          <w:pgNumType w:fmt="numberInDash"/>
          <w:cols w:space="425" w:num="1"/>
          <w:docGrid w:type="lines" w:linePitch="326" w:charSpace="0"/>
        </w:sectPr>
      </w:pPr>
    </w:p>
    <w:p>
      <w:pPr>
        <w:ind w:left="0" w:leftChars="0" w:firstLine="0" w:firstLineChars="0"/>
        <w:jc w:val="both"/>
        <w:rPr>
          <w:b/>
          <w:bCs/>
        </w:rPr>
      </w:pPr>
      <w:r>
        <w:rPr>
          <w:rFonts w:hint="eastAsia"/>
          <w:b/>
          <w:bCs/>
        </w:rPr>
        <w:t>三、区域环境质量现状、环境保护目标及评价标准</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40" w:lineRule="auto"/>
              <w:ind w:firstLine="0" w:firstLineChars="0"/>
              <w:jc w:val="center"/>
              <w:rPr>
                <w:rFonts w:hint="eastAsia" w:ascii="宋体" w:hAnsi="宋体" w:cs="宋体"/>
                <w:sz w:val="21"/>
                <w:szCs w:val="21"/>
              </w:rPr>
            </w:pPr>
          </w:p>
          <w:p>
            <w:pPr>
              <w:spacing w:line="240" w:lineRule="auto"/>
              <w:ind w:firstLine="0" w:firstLineChars="0"/>
              <w:jc w:val="center"/>
              <w:rPr>
                <w:rFonts w:ascii="宋体" w:hAnsi="宋体" w:cs="宋体"/>
                <w:sz w:val="21"/>
                <w:szCs w:val="21"/>
              </w:rPr>
            </w:pPr>
            <w:r>
              <w:rPr>
                <w:rFonts w:hint="eastAsia" w:ascii="宋体" w:hAnsi="宋体" w:cs="宋体"/>
                <w:sz w:val="21"/>
                <w:szCs w:val="21"/>
              </w:rPr>
              <w:t>环境</w:t>
            </w:r>
          </w:p>
          <w:p>
            <w:pPr>
              <w:spacing w:line="240" w:lineRule="auto"/>
              <w:ind w:firstLine="0" w:firstLineChars="0"/>
              <w:jc w:val="center"/>
              <w:rPr>
                <w:rFonts w:ascii="宋体" w:hAnsi="宋体" w:cs="宋体"/>
                <w:sz w:val="21"/>
                <w:szCs w:val="21"/>
              </w:rPr>
            </w:pPr>
            <w:r>
              <w:rPr>
                <w:rFonts w:hint="eastAsia" w:ascii="宋体" w:hAnsi="宋体" w:cs="宋体"/>
                <w:sz w:val="21"/>
                <w:szCs w:val="21"/>
              </w:rPr>
              <w:t>保护</w:t>
            </w:r>
          </w:p>
          <w:p>
            <w:pPr>
              <w:spacing w:line="240" w:lineRule="auto"/>
              <w:ind w:firstLine="0" w:firstLineChars="0"/>
              <w:jc w:val="center"/>
              <w:rPr>
                <w:sz w:val="21"/>
                <w:szCs w:val="21"/>
              </w:rPr>
            </w:pPr>
            <w:r>
              <w:rPr>
                <w:rFonts w:hint="eastAsia" w:ascii="宋体" w:hAnsi="宋体" w:cs="宋体"/>
                <w:sz w:val="21"/>
                <w:szCs w:val="21"/>
              </w:rPr>
              <w:t>目标</w:t>
            </w:r>
          </w:p>
        </w:tc>
        <w:tc>
          <w:tcPr>
            <w:tcW w:w="8243" w:type="dxa"/>
          </w:tcPr>
          <w:p>
            <w:pPr>
              <w:numPr>
                <w:ilvl w:val="0"/>
                <w:numId w:val="5"/>
              </w:numPr>
              <w:spacing w:line="276" w:lineRule="auto"/>
              <w:ind w:firstLine="0" w:firstLineChars="0"/>
              <w:rPr>
                <w:rFonts w:hint="eastAsia"/>
                <w:b/>
                <w:bCs/>
                <w:sz w:val="21"/>
                <w:szCs w:val="21"/>
              </w:rPr>
            </w:pPr>
            <w:r>
              <w:rPr>
                <w:rFonts w:hint="eastAsia"/>
                <w:b/>
                <w:bCs/>
                <w:sz w:val="21"/>
                <w:szCs w:val="21"/>
              </w:rPr>
              <w:t>大气环境保护目标</w:t>
            </w:r>
          </w:p>
          <w:p>
            <w:pPr>
              <w:numPr>
                <w:ilvl w:val="0"/>
                <w:numId w:val="0"/>
              </w:numPr>
              <w:spacing w:line="276" w:lineRule="auto"/>
              <w:ind w:firstLine="420" w:firstLineChars="200"/>
              <w:rPr>
                <w:rFonts w:hint="eastAsia"/>
                <w:b/>
                <w:bCs/>
                <w:sz w:val="21"/>
                <w:szCs w:val="21"/>
              </w:rPr>
            </w:pPr>
            <w:r>
              <w:rPr>
                <w:rFonts w:hint="eastAsia"/>
                <w:sz w:val="21"/>
                <w:szCs w:val="21"/>
                <w:lang w:val="en-US" w:eastAsia="zh-CN"/>
              </w:rPr>
              <w:t>湖南海利常德农药化工有限公司北面为望江路与沅江，东侧为盐田港港航发展（常德）有限公司；南侧隔海利路为空置地块，空地以南有湖南瑞冠生物化工科技有限公司、常德市德山民建包装有限公司、常德昆宇新能源科技有限公司，常德恒通石化助剂有限公司；西侧隔枫林路为常德市德源混凝土有限公司，西南侧湖南高德建材有限公司。本项目的大气环境保护目标如下表所示：</w:t>
            </w:r>
          </w:p>
          <w:p>
            <w:pPr>
              <w:spacing w:line="276" w:lineRule="auto"/>
              <w:ind w:firstLine="0" w:firstLineChars="0"/>
              <w:jc w:val="center"/>
              <w:rPr>
                <w:sz w:val="21"/>
                <w:szCs w:val="21"/>
              </w:rPr>
            </w:pPr>
            <w:r>
              <w:rPr>
                <w:sz w:val="21"/>
                <w:szCs w:val="21"/>
              </w:rPr>
              <w:t>表</w:t>
            </w:r>
            <w:r>
              <w:rPr>
                <w:rFonts w:hint="eastAsia"/>
                <w:sz w:val="21"/>
                <w:szCs w:val="21"/>
              </w:rPr>
              <w:t>3-</w:t>
            </w:r>
            <w:r>
              <w:rPr>
                <w:rFonts w:hint="eastAsia"/>
                <w:sz w:val="21"/>
                <w:szCs w:val="21"/>
                <w:lang w:val="en-US" w:eastAsia="zh-CN"/>
              </w:rPr>
              <w:t xml:space="preserve">5 </w:t>
            </w:r>
            <w:r>
              <w:rPr>
                <w:sz w:val="21"/>
                <w:szCs w:val="21"/>
              </w:rPr>
              <w:t xml:space="preserve"> 环境空气保护目标</w:t>
            </w:r>
          </w:p>
          <w:tbl>
            <w:tblPr>
              <w:tblStyle w:val="17"/>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721"/>
              <w:gridCol w:w="975"/>
              <w:gridCol w:w="1211"/>
              <w:gridCol w:w="850"/>
              <w:gridCol w:w="990"/>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spacing w:line="240" w:lineRule="auto"/>
                    <w:ind w:firstLine="0" w:firstLineChars="0"/>
                    <w:jc w:val="center"/>
                    <w:rPr>
                      <w:sz w:val="21"/>
                      <w:szCs w:val="21"/>
                    </w:rPr>
                  </w:pPr>
                  <w:r>
                    <w:rPr>
                      <w:sz w:val="21"/>
                      <w:szCs w:val="21"/>
                    </w:rPr>
                    <w:t>名称</w:t>
                  </w:r>
                </w:p>
              </w:tc>
              <w:tc>
                <w:tcPr>
                  <w:tcW w:w="1087" w:type="pct"/>
                  <w:vAlign w:val="center"/>
                </w:tcPr>
                <w:p>
                  <w:pPr>
                    <w:spacing w:line="240" w:lineRule="auto"/>
                    <w:ind w:firstLine="0" w:firstLineChars="0"/>
                    <w:jc w:val="center"/>
                    <w:rPr>
                      <w:sz w:val="21"/>
                      <w:szCs w:val="21"/>
                    </w:rPr>
                  </w:pPr>
                  <w:r>
                    <w:rPr>
                      <w:sz w:val="21"/>
                      <w:szCs w:val="21"/>
                    </w:rPr>
                    <w:t>坐标</w:t>
                  </w:r>
                </w:p>
              </w:tc>
              <w:tc>
                <w:tcPr>
                  <w:tcW w:w="616" w:type="pct"/>
                  <w:vAlign w:val="center"/>
                </w:tcPr>
                <w:p>
                  <w:pPr>
                    <w:spacing w:line="240" w:lineRule="auto"/>
                    <w:ind w:firstLine="0" w:firstLineChars="0"/>
                    <w:jc w:val="center"/>
                    <w:rPr>
                      <w:sz w:val="21"/>
                      <w:szCs w:val="21"/>
                    </w:rPr>
                  </w:pPr>
                  <w:r>
                    <w:rPr>
                      <w:sz w:val="21"/>
                      <w:szCs w:val="21"/>
                    </w:rPr>
                    <w:t>保护对象</w:t>
                  </w:r>
                </w:p>
              </w:tc>
              <w:tc>
                <w:tcPr>
                  <w:tcW w:w="765" w:type="pct"/>
                  <w:vAlign w:val="center"/>
                </w:tcPr>
                <w:p>
                  <w:pPr>
                    <w:spacing w:line="240" w:lineRule="auto"/>
                    <w:ind w:firstLine="0" w:firstLineChars="0"/>
                    <w:jc w:val="center"/>
                    <w:rPr>
                      <w:sz w:val="21"/>
                      <w:szCs w:val="21"/>
                    </w:rPr>
                  </w:pPr>
                  <w:r>
                    <w:rPr>
                      <w:sz w:val="21"/>
                      <w:szCs w:val="21"/>
                    </w:rPr>
                    <w:t>保护内容</w:t>
                  </w:r>
                </w:p>
              </w:tc>
              <w:tc>
                <w:tcPr>
                  <w:tcW w:w="537" w:type="pct"/>
                  <w:vAlign w:val="center"/>
                </w:tcPr>
                <w:p>
                  <w:pPr>
                    <w:spacing w:line="240" w:lineRule="auto"/>
                    <w:ind w:firstLine="0" w:firstLineChars="0"/>
                    <w:jc w:val="center"/>
                    <w:rPr>
                      <w:sz w:val="21"/>
                      <w:szCs w:val="21"/>
                    </w:rPr>
                  </w:pPr>
                  <w:r>
                    <w:rPr>
                      <w:sz w:val="21"/>
                      <w:szCs w:val="21"/>
                    </w:rPr>
                    <w:t>保护功能区</w:t>
                  </w:r>
                </w:p>
              </w:tc>
              <w:tc>
                <w:tcPr>
                  <w:tcW w:w="625" w:type="pct"/>
                  <w:vAlign w:val="center"/>
                </w:tcPr>
                <w:p>
                  <w:pPr>
                    <w:spacing w:line="240" w:lineRule="auto"/>
                    <w:ind w:firstLine="0" w:firstLineChars="0"/>
                    <w:jc w:val="center"/>
                    <w:rPr>
                      <w:sz w:val="21"/>
                      <w:szCs w:val="21"/>
                    </w:rPr>
                  </w:pPr>
                  <w:r>
                    <w:rPr>
                      <w:sz w:val="21"/>
                      <w:szCs w:val="21"/>
                    </w:rPr>
                    <w:t>相对厂址方位</w:t>
                  </w:r>
                </w:p>
              </w:tc>
              <w:tc>
                <w:tcPr>
                  <w:tcW w:w="675" w:type="pct"/>
                  <w:vAlign w:val="center"/>
                </w:tcPr>
                <w:p>
                  <w:pPr>
                    <w:spacing w:line="240" w:lineRule="auto"/>
                    <w:ind w:firstLine="0" w:firstLineChars="0"/>
                    <w:jc w:val="center"/>
                    <w:rPr>
                      <w:sz w:val="21"/>
                      <w:szCs w:val="21"/>
                    </w:rPr>
                  </w:pPr>
                  <w:r>
                    <w:rPr>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苏家渡社区居民</w:t>
                  </w:r>
                </w:p>
              </w:tc>
              <w:tc>
                <w:tcPr>
                  <w:tcW w:w="1087"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E：</w:t>
                  </w:r>
                  <w:r>
                    <w:rPr>
                      <w:rFonts w:hint="eastAsia"/>
                      <w:sz w:val="21"/>
                      <w:szCs w:val="21"/>
                    </w:rPr>
                    <w:t>111.</w:t>
                  </w:r>
                  <w:r>
                    <w:rPr>
                      <w:rFonts w:hint="eastAsia"/>
                      <w:sz w:val="21"/>
                      <w:szCs w:val="21"/>
                      <w:lang w:val="en-US" w:eastAsia="zh-CN"/>
                    </w:rPr>
                    <w:t>736826</w:t>
                  </w:r>
                </w:p>
                <w:p>
                  <w:pPr>
                    <w:spacing w:line="240" w:lineRule="auto"/>
                    <w:ind w:firstLine="0" w:firstLineChars="0"/>
                    <w:jc w:val="center"/>
                    <w:rPr>
                      <w:sz w:val="21"/>
                      <w:szCs w:val="21"/>
                    </w:rPr>
                  </w:pPr>
                  <w:r>
                    <w:rPr>
                      <w:rFonts w:hint="eastAsia"/>
                      <w:sz w:val="21"/>
                      <w:szCs w:val="21"/>
                      <w:lang w:val="en-US" w:eastAsia="zh-CN"/>
                    </w:rPr>
                    <w:t>N：</w:t>
                  </w:r>
                  <w:r>
                    <w:rPr>
                      <w:rFonts w:hint="eastAsia"/>
                      <w:sz w:val="21"/>
                      <w:szCs w:val="21"/>
                    </w:rPr>
                    <w:t>28.9</w:t>
                  </w:r>
                  <w:r>
                    <w:rPr>
                      <w:rFonts w:hint="eastAsia"/>
                      <w:sz w:val="21"/>
                      <w:szCs w:val="21"/>
                      <w:lang w:val="en-US" w:eastAsia="zh-CN"/>
                    </w:rPr>
                    <w:t>59626</w:t>
                  </w:r>
                  <w:r>
                    <w:rPr>
                      <w:rFonts w:hint="eastAsia"/>
                      <w:sz w:val="21"/>
                      <w:szCs w:val="21"/>
                    </w:rPr>
                    <w:t>0</w:t>
                  </w:r>
                </w:p>
              </w:tc>
              <w:tc>
                <w:tcPr>
                  <w:tcW w:w="616" w:type="pct"/>
                  <w:vAlign w:val="center"/>
                </w:tcPr>
                <w:p>
                  <w:pPr>
                    <w:spacing w:line="240" w:lineRule="auto"/>
                    <w:ind w:firstLine="0" w:firstLineChars="0"/>
                    <w:jc w:val="center"/>
                    <w:rPr>
                      <w:sz w:val="21"/>
                      <w:szCs w:val="21"/>
                    </w:rPr>
                  </w:pPr>
                  <w:r>
                    <w:rPr>
                      <w:rFonts w:hint="eastAsia"/>
                      <w:sz w:val="21"/>
                      <w:szCs w:val="21"/>
                    </w:rPr>
                    <w:t>居民</w:t>
                  </w:r>
                  <w:r>
                    <w:rPr>
                      <w:rFonts w:hint="eastAsia"/>
                      <w:sz w:val="21"/>
                      <w:szCs w:val="21"/>
                      <w:lang w:eastAsia="zh-CN"/>
                    </w:rPr>
                    <w:t>区</w:t>
                  </w:r>
                </w:p>
              </w:tc>
              <w:tc>
                <w:tcPr>
                  <w:tcW w:w="765" w:type="pct"/>
                  <w:vAlign w:val="center"/>
                </w:tcPr>
                <w:p>
                  <w:pPr>
                    <w:spacing w:line="240" w:lineRule="auto"/>
                    <w:ind w:firstLine="0" w:firstLineChars="0"/>
                    <w:jc w:val="center"/>
                    <w:rPr>
                      <w:sz w:val="21"/>
                      <w:szCs w:val="21"/>
                    </w:rPr>
                  </w:pPr>
                  <w:r>
                    <w:rPr>
                      <w:rFonts w:hint="eastAsia"/>
                      <w:sz w:val="21"/>
                      <w:szCs w:val="21"/>
                      <w:lang w:val="en-US" w:eastAsia="zh-CN"/>
                    </w:rPr>
                    <w:t>200</w:t>
                  </w:r>
                  <w:r>
                    <w:rPr>
                      <w:rFonts w:hint="eastAsia"/>
                      <w:sz w:val="21"/>
                      <w:szCs w:val="21"/>
                    </w:rPr>
                    <w:t>户</w:t>
                  </w:r>
                  <w:r>
                    <w:rPr>
                      <w:rFonts w:hint="eastAsia"/>
                      <w:sz w:val="21"/>
                      <w:szCs w:val="21"/>
                      <w:lang w:val="en-US" w:eastAsia="zh-CN"/>
                    </w:rPr>
                    <w:t>730</w:t>
                  </w:r>
                  <w:r>
                    <w:rPr>
                      <w:rFonts w:hint="eastAsia"/>
                      <w:sz w:val="21"/>
                      <w:szCs w:val="21"/>
                    </w:rPr>
                    <w:t>人</w:t>
                  </w:r>
                </w:p>
              </w:tc>
              <w:tc>
                <w:tcPr>
                  <w:tcW w:w="537" w:type="pct"/>
                  <w:vAlign w:val="center"/>
                </w:tcPr>
                <w:p>
                  <w:pPr>
                    <w:spacing w:line="240" w:lineRule="auto"/>
                    <w:ind w:firstLine="0" w:firstLineChars="0"/>
                    <w:jc w:val="center"/>
                    <w:rPr>
                      <w:sz w:val="21"/>
                      <w:szCs w:val="21"/>
                    </w:rPr>
                  </w:pPr>
                  <w:r>
                    <w:rPr>
                      <w:rFonts w:hint="eastAsia"/>
                      <w:sz w:val="21"/>
                      <w:szCs w:val="21"/>
                    </w:rPr>
                    <w:t>二级</w:t>
                  </w:r>
                </w:p>
              </w:tc>
              <w:tc>
                <w:tcPr>
                  <w:tcW w:w="625" w:type="pct"/>
                  <w:vAlign w:val="center"/>
                </w:tcPr>
                <w:p>
                  <w:pPr>
                    <w:spacing w:line="240" w:lineRule="auto"/>
                    <w:ind w:firstLine="0" w:firstLineChars="0"/>
                    <w:jc w:val="center"/>
                    <w:rPr>
                      <w:rFonts w:hint="eastAsia" w:eastAsia="宋体"/>
                      <w:sz w:val="21"/>
                      <w:szCs w:val="21"/>
                      <w:lang w:eastAsia="zh-CN"/>
                    </w:rPr>
                  </w:pPr>
                  <w:r>
                    <w:rPr>
                      <w:rFonts w:hint="eastAsia"/>
                      <w:sz w:val="21"/>
                      <w:szCs w:val="21"/>
                    </w:rPr>
                    <w:t>西</w:t>
                  </w:r>
                  <w:r>
                    <w:rPr>
                      <w:rFonts w:hint="eastAsia"/>
                      <w:sz w:val="21"/>
                      <w:szCs w:val="21"/>
                      <w:lang w:eastAsia="zh-CN"/>
                    </w:rPr>
                    <w:t>侧</w:t>
                  </w:r>
                </w:p>
              </w:tc>
              <w:tc>
                <w:tcPr>
                  <w:tcW w:w="675"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spacing w:line="240" w:lineRule="auto"/>
                    <w:ind w:firstLine="0" w:firstLineChars="0"/>
                    <w:jc w:val="center"/>
                    <w:rPr>
                      <w:rFonts w:hint="eastAsia"/>
                      <w:sz w:val="21"/>
                      <w:szCs w:val="21"/>
                      <w:lang w:eastAsia="zh-CN"/>
                    </w:rPr>
                  </w:pPr>
                  <w:r>
                    <w:rPr>
                      <w:rFonts w:hint="eastAsia"/>
                      <w:sz w:val="21"/>
                      <w:szCs w:val="21"/>
                      <w:lang w:eastAsia="zh-CN"/>
                    </w:rPr>
                    <w:t>常德市第九中学</w:t>
                  </w:r>
                </w:p>
              </w:tc>
              <w:tc>
                <w:tcPr>
                  <w:tcW w:w="1087"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E：111.734351</w:t>
                  </w:r>
                </w:p>
                <w:p>
                  <w:pPr>
                    <w:spacing w:line="240" w:lineRule="auto"/>
                    <w:ind w:firstLine="0" w:firstLineChars="0"/>
                    <w:jc w:val="center"/>
                    <w:rPr>
                      <w:rFonts w:hint="default"/>
                      <w:sz w:val="21"/>
                      <w:szCs w:val="21"/>
                      <w:lang w:val="en-US" w:eastAsia="zh-CN"/>
                    </w:rPr>
                  </w:pPr>
                  <w:r>
                    <w:rPr>
                      <w:rFonts w:hint="eastAsia"/>
                      <w:sz w:val="21"/>
                      <w:szCs w:val="21"/>
                      <w:lang w:val="en-US" w:eastAsia="zh-CN"/>
                    </w:rPr>
                    <w:t>N：28.959847</w:t>
                  </w:r>
                </w:p>
              </w:tc>
              <w:tc>
                <w:tcPr>
                  <w:tcW w:w="616" w:type="pct"/>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学校</w:t>
                  </w:r>
                </w:p>
              </w:tc>
              <w:tc>
                <w:tcPr>
                  <w:tcW w:w="765" w:type="pct"/>
                  <w:vAlign w:val="center"/>
                </w:tcPr>
                <w:p>
                  <w:pPr>
                    <w:spacing w:line="240" w:lineRule="auto"/>
                    <w:ind w:firstLine="0" w:firstLineChars="0"/>
                    <w:jc w:val="center"/>
                    <w:rPr>
                      <w:rFonts w:hint="eastAsia"/>
                      <w:sz w:val="21"/>
                      <w:szCs w:val="21"/>
                      <w:lang w:eastAsia="zh-CN"/>
                    </w:rPr>
                  </w:pPr>
                  <w:r>
                    <w:rPr>
                      <w:rFonts w:hint="eastAsia"/>
                      <w:sz w:val="21"/>
                      <w:szCs w:val="21"/>
                      <w:lang w:val="en-US" w:eastAsia="zh-CN"/>
                    </w:rPr>
                    <w:t>师生3000</w:t>
                  </w:r>
                  <w:r>
                    <w:rPr>
                      <w:rFonts w:hint="eastAsia"/>
                      <w:sz w:val="21"/>
                      <w:szCs w:val="21"/>
                    </w:rPr>
                    <w:t>人</w:t>
                  </w:r>
                </w:p>
              </w:tc>
              <w:tc>
                <w:tcPr>
                  <w:tcW w:w="537" w:type="pct"/>
                  <w:vAlign w:val="center"/>
                </w:tcPr>
                <w:p>
                  <w:pPr>
                    <w:spacing w:line="240" w:lineRule="auto"/>
                    <w:ind w:firstLine="0" w:firstLineChars="0"/>
                    <w:jc w:val="center"/>
                    <w:rPr>
                      <w:rFonts w:hint="eastAsia"/>
                      <w:sz w:val="21"/>
                      <w:szCs w:val="21"/>
                    </w:rPr>
                  </w:pPr>
                  <w:r>
                    <w:rPr>
                      <w:rFonts w:hint="eastAsia"/>
                      <w:sz w:val="21"/>
                      <w:szCs w:val="21"/>
                    </w:rPr>
                    <w:t>二级</w:t>
                  </w:r>
                </w:p>
              </w:tc>
              <w:tc>
                <w:tcPr>
                  <w:tcW w:w="625" w:type="pct"/>
                  <w:vAlign w:val="center"/>
                </w:tcPr>
                <w:p>
                  <w:pPr>
                    <w:spacing w:line="240" w:lineRule="auto"/>
                    <w:ind w:firstLine="0" w:firstLineChars="0"/>
                    <w:jc w:val="center"/>
                    <w:rPr>
                      <w:rFonts w:hint="eastAsia"/>
                      <w:sz w:val="21"/>
                      <w:szCs w:val="21"/>
                    </w:rPr>
                  </w:pPr>
                  <w:r>
                    <w:rPr>
                      <w:rFonts w:hint="eastAsia"/>
                      <w:sz w:val="21"/>
                      <w:szCs w:val="21"/>
                    </w:rPr>
                    <w:t>西</w:t>
                  </w:r>
                  <w:r>
                    <w:rPr>
                      <w:rFonts w:hint="eastAsia"/>
                      <w:sz w:val="21"/>
                      <w:szCs w:val="21"/>
                      <w:lang w:eastAsia="zh-CN"/>
                    </w:rPr>
                    <w:t>侧</w:t>
                  </w:r>
                </w:p>
              </w:tc>
              <w:tc>
                <w:tcPr>
                  <w:tcW w:w="675"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郑家坪村民</w:t>
                  </w:r>
                </w:p>
              </w:tc>
              <w:tc>
                <w:tcPr>
                  <w:tcW w:w="1087"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E：</w:t>
                  </w:r>
                  <w:r>
                    <w:rPr>
                      <w:rFonts w:hint="eastAsia"/>
                      <w:sz w:val="21"/>
                      <w:szCs w:val="21"/>
                    </w:rPr>
                    <w:t>111.7</w:t>
                  </w:r>
                  <w:r>
                    <w:rPr>
                      <w:rFonts w:hint="eastAsia"/>
                      <w:sz w:val="21"/>
                      <w:szCs w:val="21"/>
                      <w:lang w:val="en-US" w:eastAsia="zh-CN"/>
                    </w:rPr>
                    <w:t>47278</w:t>
                  </w:r>
                </w:p>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N：</w:t>
                  </w:r>
                  <w:r>
                    <w:rPr>
                      <w:rFonts w:hint="eastAsia"/>
                      <w:sz w:val="21"/>
                      <w:szCs w:val="21"/>
                    </w:rPr>
                    <w:t>28.9</w:t>
                  </w:r>
                  <w:r>
                    <w:rPr>
                      <w:rFonts w:hint="eastAsia"/>
                      <w:sz w:val="21"/>
                      <w:szCs w:val="21"/>
                      <w:lang w:val="en-US" w:eastAsia="zh-CN"/>
                    </w:rPr>
                    <w:t>53502</w:t>
                  </w:r>
                </w:p>
              </w:tc>
              <w:tc>
                <w:tcPr>
                  <w:tcW w:w="616" w:type="pct"/>
                  <w:vAlign w:val="center"/>
                </w:tcPr>
                <w:p>
                  <w:pPr>
                    <w:spacing w:line="240" w:lineRule="auto"/>
                    <w:ind w:firstLine="0" w:firstLineChars="0"/>
                    <w:jc w:val="center"/>
                    <w:rPr>
                      <w:rFonts w:hint="eastAsia" w:eastAsia="宋体"/>
                      <w:sz w:val="21"/>
                      <w:szCs w:val="21"/>
                      <w:lang w:eastAsia="zh-CN"/>
                    </w:rPr>
                  </w:pPr>
                  <w:r>
                    <w:rPr>
                      <w:rFonts w:hint="eastAsia"/>
                      <w:sz w:val="21"/>
                      <w:szCs w:val="21"/>
                    </w:rPr>
                    <w:t>居民</w:t>
                  </w:r>
                  <w:r>
                    <w:rPr>
                      <w:rFonts w:hint="eastAsia"/>
                      <w:sz w:val="21"/>
                      <w:szCs w:val="21"/>
                      <w:lang w:eastAsia="zh-CN"/>
                    </w:rPr>
                    <w:t>区</w:t>
                  </w:r>
                </w:p>
              </w:tc>
              <w:tc>
                <w:tcPr>
                  <w:tcW w:w="765"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50</w:t>
                  </w:r>
                  <w:r>
                    <w:rPr>
                      <w:rFonts w:hint="eastAsia"/>
                      <w:sz w:val="21"/>
                      <w:szCs w:val="21"/>
                    </w:rPr>
                    <w:t>户</w:t>
                  </w:r>
                  <w:r>
                    <w:rPr>
                      <w:rFonts w:hint="eastAsia"/>
                      <w:sz w:val="21"/>
                      <w:szCs w:val="21"/>
                      <w:lang w:val="en-US" w:eastAsia="zh-CN"/>
                    </w:rPr>
                    <w:t>150</w:t>
                  </w:r>
                  <w:r>
                    <w:rPr>
                      <w:rFonts w:hint="eastAsia"/>
                      <w:sz w:val="21"/>
                      <w:szCs w:val="21"/>
                    </w:rPr>
                    <w:t>人</w:t>
                  </w:r>
                </w:p>
              </w:tc>
              <w:tc>
                <w:tcPr>
                  <w:tcW w:w="537" w:type="pct"/>
                  <w:vAlign w:val="center"/>
                </w:tcPr>
                <w:p>
                  <w:pPr>
                    <w:spacing w:line="240" w:lineRule="auto"/>
                    <w:ind w:firstLine="0" w:firstLineChars="0"/>
                    <w:jc w:val="center"/>
                    <w:rPr>
                      <w:sz w:val="21"/>
                      <w:szCs w:val="21"/>
                    </w:rPr>
                  </w:pPr>
                  <w:r>
                    <w:rPr>
                      <w:rFonts w:hint="eastAsia"/>
                      <w:sz w:val="21"/>
                      <w:szCs w:val="21"/>
                    </w:rPr>
                    <w:t>二级</w:t>
                  </w:r>
                </w:p>
              </w:tc>
              <w:tc>
                <w:tcPr>
                  <w:tcW w:w="625" w:type="pct"/>
                  <w:vAlign w:val="center"/>
                </w:tcPr>
                <w:p>
                  <w:pPr>
                    <w:spacing w:line="240" w:lineRule="auto"/>
                    <w:ind w:firstLine="0" w:firstLineChars="0"/>
                    <w:jc w:val="center"/>
                    <w:rPr>
                      <w:sz w:val="21"/>
                      <w:szCs w:val="21"/>
                    </w:rPr>
                  </w:pPr>
                  <w:r>
                    <w:rPr>
                      <w:rFonts w:hint="eastAsia"/>
                      <w:sz w:val="21"/>
                      <w:szCs w:val="21"/>
                      <w:lang w:eastAsia="zh-CN"/>
                    </w:rPr>
                    <w:t>南侧</w:t>
                  </w:r>
                </w:p>
              </w:tc>
              <w:tc>
                <w:tcPr>
                  <w:tcW w:w="675"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500</w:t>
                  </w:r>
                </w:p>
              </w:tc>
            </w:tr>
          </w:tbl>
          <w:p>
            <w:pPr>
              <w:numPr>
                <w:ilvl w:val="0"/>
                <w:numId w:val="5"/>
              </w:numPr>
              <w:spacing w:line="240" w:lineRule="auto"/>
              <w:ind w:left="0" w:leftChars="0" w:firstLine="0" w:firstLineChars="0"/>
              <w:rPr>
                <w:rFonts w:hint="eastAsia"/>
                <w:b/>
                <w:bCs/>
                <w:sz w:val="21"/>
                <w:szCs w:val="21"/>
                <w:lang w:eastAsia="zh-CN"/>
              </w:rPr>
            </w:pPr>
            <w:r>
              <w:rPr>
                <w:rFonts w:hint="eastAsia"/>
                <w:b/>
                <w:bCs/>
                <w:sz w:val="21"/>
                <w:szCs w:val="21"/>
                <w:lang w:eastAsia="zh-CN"/>
              </w:rPr>
              <w:t>水环境保护目标</w:t>
            </w:r>
          </w:p>
          <w:p>
            <w:pPr>
              <w:pStyle w:val="3"/>
              <w:numPr>
                <w:ilvl w:val="0"/>
                <w:numId w:val="0"/>
              </w:numPr>
              <w:ind w:leftChars="0" w:firstLine="420" w:firstLineChars="200"/>
              <w:rPr>
                <w:rFonts w:hint="eastAsia"/>
                <w:lang w:val="en-US" w:eastAsia="zh-CN"/>
              </w:rPr>
            </w:pPr>
            <w:r>
              <w:rPr>
                <w:rFonts w:hint="eastAsia" w:ascii="Times New Roman" w:hAnsi="Times New Roman" w:eastAsia="宋体" w:cs="Times New Roman"/>
                <w:b w:val="0"/>
                <w:bCs w:val="0"/>
                <w:kern w:val="2"/>
                <w:sz w:val="21"/>
                <w:szCs w:val="21"/>
                <w:lang w:val="en-US" w:eastAsia="zh-CN" w:bidi="ar-SA"/>
              </w:rPr>
              <w:t>湖南海利常德农药化工有限公司废水经厂区内自建污水处理设施处理后排入德山污水处理厂深度处理，德山污水处理厂排口</w:t>
            </w:r>
            <w:r>
              <w:rPr>
                <w:rFonts w:hint="eastAsia" w:cs="Times New Roman"/>
                <w:b w:val="0"/>
                <w:bCs w:val="0"/>
                <w:kern w:val="2"/>
                <w:sz w:val="21"/>
                <w:szCs w:val="21"/>
                <w:lang w:val="en-US" w:eastAsia="zh-CN" w:bidi="ar-SA"/>
              </w:rPr>
              <w:t>入东风河下游，东风河入沅江口</w:t>
            </w:r>
            <w:r>
              <w:rPr>
                <w:rFonts w:hint="eastAsia" w:ascii="Times New Roman" w:hAnsi="Times New Roman" w:eastAsia="宋体" w:cs="Times New Roman"/>
                <w:b w:val="0"/>
                <w:bCs w:val="0"/>
                <w:kern w:val="2"/>
                <w:sz w:val="21"/>
                <w:szCs w:val="21"/>
                <w:lang w:val="en-US" w:eastAsia="zh-CN" w:bidi="ar-SA"/>
              </w:rPr>
              <w:t>位于沅水武陵段青虾中华鳖国家级水产种质资源保护区实验区内。沅水武陵段青虾中华鳖国家级水产种质资源保护区为地表水环境敏感保护目标。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污染</w:t>
            </w:r>
          </w:p>
          <w:p>
            <w:pPr>
              <w:spacing w:line="240" w:lineRule="auto"/>
              <w:ind w:firstLine="0" w:firstLineChars="0"/>
              <w:jc w:val="center"/>
              <w:rPr>
                <w:rFonts w:ascii="宋体" w:hAnsi="宋体" w:cs="宋体"/>
                <w:sz w:val="21"/>
                <w:szCs w:val="21"/>
              </w:rPr>
            </w:pPr>
            <w:r>
              <w:rPr>
                <w:rFonts w:hint="eastAsia" w:ascii="宋体" w:hAnsi="宋体" w:cs="宋体"/>
                <w:sz w:val="21"/>
                <w:szCs w:val="21"/>
              </w:rPr>
              <w:t>物排</w:t>
            </w:r>
          </w:p>
          <w:p>
            <w:pPr>
              <w:spacing w:line="240" w:lineRule="auto"/>
              <w:ind w:firstLine="0" w:firstLineChars="0"/>
              <w:jc w:val="center"/>
              <w:rPr>
                <w:rFonts w:ascii="宋体" w:hAnsi="宋体" w:cs="宋体"/>
                <w:sz w:val="21"/>
                <w:szCs w:val="21"/>
              </w:rPr>
            </w:pPr>
            <w:r>
              <w:rPr>
                <w:rFonts w:hint="eastAsia" w:ascii="宋体" w:hAnsi="宋体" w:cs="宋体"/>
                <w:sz w:val="21"/>
                <w:szCs w:val="21"/>
              </w:rPr>
              <w:t>放控</w:t>
            </w:r>
          </w:p>
          <w:p>
            <w:pPr>
              <w:spacing w:line="240" w:lineRule="auto"/>
              <w:ind w:firstLine="0" w:firstLineChars="0"/>
              <w:jc w:val="center"/>
              <w:rPr>
                <w:rFonts w:ascii="宋体" w:hAnsi="宋体" w:cs="宋体"/>
                <w:sz w:val="21"/>
                <w:szCs w:val="21"/>
              </w:rPr>
            </w:pPr>
            <w:r>
              <w:rPr>
                <w:rFonts w:hint="eastAsia" w:ascii="宋体" w:hAnsi="宋体" w:cs="宋体"/>
                <w:sz w:val="21"/>
                <w:szCs w:val="21"/>
              </w:rPr>
              <w:t>制标</w:t>
            </w:r>
          </w:p>
          <w:p>
            <w:pPr>
              <w:spacing w:line="240" w:lineRule="auto"/>
              <w:ind w:firstLine="0" w:firstLineChars="0"/>
              <w:jc w:val="center"/>
              <w:rPr>
                <w:sz w:val="21"/>
                <w:szCs w:val="21"/>
              </w:rPr>
            </w:pPr>
            <w:r>
              <w:rPr>
                <w:rFonts w:hint="eastAsia" w:ascii="宋体" w:hAnsi="宋体" w:cs="宋体"/>
                <w:sz w:val="21"/>
                <w:szCs w:val="21"/>
              </w:rPr>
              <w:t>准</w:t>
            </w:r>
          </w:p>
        </w:tc>
        <w:tc>
          <w:tcPr>
            <w:tcW w:w="8243" w:type="dxa"/>
          </w:tcPr>
          <w:p>
            <w:pPr>
              <w:spacing w:line="276" w:lineRule="auto"/>
              <w:ind w:firstLine="0" w:firstLineChars="0"/>
              <w:rPr>
                <w:b/>
                <w:bCs/>
                <w:sz w:val="21"/>
                <w:szCs w:val="21"/>
              </w:rPr>
            </w:pPr>
            <w:r>
              <w:rPr>
                <w:rFonts w:hint="eastAsia"/>
                <w:b/>
                <w:bCs/>
                <w:sz w:val="21"/>
                <w:szCs w:val="21"/>
              </w:rPr>
              <w:t>1、大气污染物排放标准</w:t>
            </w:r>
          </w:p>
          <w:p>
            <w:pPr>
              <w:spacing w:line="276" w:lineRule="auto"/>
              <w:ind w:firstLine="420" w:firstLineChars="200"/>
              <w:rPr>
                <w:rFonts w:hint="eastAsia" w:eastAsia="宋体"/>
                <w:sz w:val="21"/>
                <w:szCs w:val="21"/>
                <w:lang w:val="en-US" w:eastAsia="zh-CN"/>
              </w:rPr>
            </w:pPr>
            <w:r>
              <w:rPr>
                <w:rFonts w:hint="eastAsia"/>
                <w:sz w:val="21"/>
                <w:szCs w:val="21"/>
              </w:rPr>
              <w:t>施工期：</w:t>
            </w:r>
            <w:r>
              <w:rPr>
                <w:rFonts w:hint="eastAsia"/>
                <w:sz w:val="21"/>
                <w:szCs w:val="21"/>
                <w:lang w:eastAsia="zh-CN"/>
              </w:rPr>
              <w:t>本项目</w:t>
            </w:r>
            <w:r>
              <w:rPr>
                <w:rFonts w:hint="eastAsia"/>
                <w:sz w:val="21"/>
                <w:szCs w:val="21"/>
                <w:lang w:val="en-US" w:eastAsia="zh-CN"/>
              </w:rPr>
              <w:t>土方施工产生的颗粒物、厂房地面防渗涂漆工序产生的挥发性有机物等大气污染物排放执行《大气污染物综合排放标准》（GB16297-1996）表2中的无组织排放监控浓度限值</w:t>
            </w:r>
            <w:r>
              <w:rPr>
                <w:rFonts w:hint="eastAsia"/>
                <w:sz w:val="21"/>
                <w:szCs w:val="21"/>
                <w:lang w:eastAsia="zh-CN"/>
              </w:rPr>
              <w:t>。</w:t>
            </w:r>
          </w:p>
          <w:p>
            <w:pPr>
              <w:spacing w:line="276" w:lineRule="auto"/>
              <w:ind w:firstLine="420" w:firstLineChars="200"/>
              <w:rPr>
                <w:rFonts w:hint="eastAsia"/>
                <w:sz w:val="21"/>
                <w:szCs w:val="21"/>
                <w:lang w:val="en-US" w:eastAsia="zh-CN"/>
              </w:rPr>
            </w:pPr>
            <w:r>
              <w:rPr>
                <w:rFonts w:hint="eastAsia"/>
                <w:sz w:val="21"/>
                <w:szCs w:val="21"/>
                <w:u w:val="single"/>
              </w:rPr>
              <w:t>营运期：</w:t>
            </w:r>
            <w:r>
              <w:rPr>
                <w:rFonts w:hint="eastAsia"/>
                <w:sz w:val="21"/>
                <w:szCs w:val="21"/>
                <w:u w:val="single"/>
                <w:lang w:eastAsia="zh-CN"/>
              </w:rPr>
              <w:t>本项目</w:t>
            </w:r>
            <w:r>
              <w:rPr>
                <w:rFonts w:hint="eastAsia"/>
                <w:sz w:val="21"/>
                <w:szCs w:val="21"/>
                <w:u w:val="single"/>
                <w:lang w:val="en-US" w:eastAsia="zh-CN"/>
              </w:rPr>
              <w:t>营运期主要是丙类液态化学品的储存，液体物料基本上都是密闭储存，在储存过程中只有少量的挥发，通过负压收集后依托已建的RTO炉焚烧进行燃烧处理后，通过焚烧炉排气筒排放，污染物排放浓度执行《农药制造工业大气污染物排放标准》（GB39727-2020）表1、表2标准限值。挥发性有机物无组织排放执行《挥发性有机物无组织排放控制标准》（GB 37822-2019）表A.1中的排放限值。</w:t>
            </w:r>
          </w:p>
          <w:p>
            <w:pPr>
              <w:spacing w:line="276" w:lineRule="auto"/>
              <w:ind w:firstLine="420" w:firstLineChars="200"/>
              <w:rPr>
                <w:sz w:val="21"/>
                <w:szCs w:val="21"/>
              </w:rPr>
            </w:pPr>
            <w:r>
              <w:rPr>
                <w:rFonts w:hint="eastAsia"/>
                <w:sz w:val="21"/>
                <w:szCs w:val="21"/>
              </w:rPr>
              <w:t>具体标准值见表3-</w:t>
            </w:r>
            <w:r>
              <w:rPr>
                <w:rFonts w:hint="eastAsia"/>
                <w:sz w:val="21"/>
                <w:szCs w:val="21"/>
                <w:lang w:val="en-US" w:eastAsia="zh-CN"/>
              </w:rPr>
              <w:t>4</w:t>
            </w:r>
            <w:r>
              <w:rPr>
                <w:rFonts w:hint="eastAsia"/>
                <w:sz w:val="21"/>
                <w:szCs w:val="21"/>
              </w:rPr>
              <w:t>。</w:t>
            </w:r>
          </w:p>
          <w:p>
            <w:pPr>
              <w:spacing w:line="276" w:lineRule="auto"/>
              <w:ind w:firstLine="0" w:firstLineChars="0"/>
              <w:jc w:val="center"/>
              <w:rPr>
                <w:sz w:val="21"/>
                <w:szCs w:val="21"/>
              </w:rPr>
            </w:pPr>
            <w:r>
              <w:rPr>
                <w:rFonts w:hint="eastAsia"/>
                <w:sz w:val="21"/>
                <w:szCs w:val="21"/>
              </w:rPr>
              <w:t>表3-</w:t>
            </w:r>
            <w:r>
              <w:rPr>
                <w:rFonts w:hint="eastAsia"/>
                <w:sz w:val="21"/>
                <w:szCs w:val="21"/>
                <w:lang w:val="en-US" w:eastAsia="zh-CN"/>
              </w:rPr>
              <w:t xml:space="preserve">6 </w:t>
            </w:r>
            <w:r>
              <w:rPr>
                <w:rFonts w:hint="eastAsia"/>
                <w:sz w:val="21"/>
                <w:szCs w:val="21"/>
              </w:rPr>
              <w:t>大气污染物排放标准限值一览表</w:t>
            </w:r>
          </w:p>
          <w:tbl>
            <w:tblPr>
              <w:tblStyle w:val="17"/>
              <w:tblW w:w="7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200"/>
              <w:gridCol w:w="1057"/>
              <w:gridCol w:w="1703"/>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95" w:type="dxa"/>
                  <w:gridSpan w:val="2"/>
                  <w:vMerge w:val="restart"/>
                  <w:vAlign w:val="center"/>
                </w:tcPr>
                <w:p>
                  <w:pPr>
                    <w:spacing w:line="240" w:lineRule="auto"/>
                    <w:ind w:firstLine="0" w:firstLineChars="0"/>
                    <w:jc w:val="center"/>
                    <w:rPr>
                      <w:sz w:val="21"/>
                      <w:szCs w:val="21"/>
                    </w:rPr>
                  </w:pPr>
                  <w:r>
                    <w:rPr>
                      <w:rFonts w:hint="eastAsia"/>
                      <w:sz w:val="21"/>
                      <w:szCs w:val="21"/>
                    </w:rPr>
                    <w:t>污染源</w:t>
                  </w:r>
                </w:p>
              </w:tc>
              <w:tc>
                <w:tcPr>
                  <w:tcW w:w="1057" w:type="dxa"/>
                  <w:vMerge w:val="restart"/>
                  <w:vAlign w:val="center"/>
                </w:tcPr>
                <w:p>
                  <w:pPr>
                    <w:spacing w:line="240" w:lineRule="auto"/>
                    <w:ind w:firstLine="0" w:firstLineChars="0"/>
                    <w:jc w:val="center"/>
                    <w:rPr>
                      <w:bCs/>
                      <w:sz w:val="21"/>
                      <w:szCs w:val="21"/>
                    </w:rPr>
                  </w:pPr>
                  <w:r>
                    <w:rPr>
                      <w:rFonts w:hint="eastAsia"/>
                      <w:sz w:val="21"/>
                      <w:szCs w:val="21"/>
                    </w:rPr>
                    <w:t>污染物</w:t>
                  </w:r>
                </w:p>
              </w:tc>
              <w:tc>
                <w:tcPr>
                  <w:tcW w:w="1703" w:type="dxa"/>
                  <w:vMerge w:val="restart"/>
                  <w:vAlign w:val="center"/>
                </w:tcPr>
                <w:p>
                  <w:pPr>
                    <w:spacing w:line="240" w:lineRule="auto"/>
                    <w:ind w:firstLine="0" w:firstLineChars="0"/>
                    <w:jc w:val="center"/>
                    <w:rPr>
                      <w:rFonts w:hint="eastAsia" w:eastAsia="宋体"/>
                      <w:bCs/>
                      <w:sz w:val="21"/>
                      <w:szCs w:val="21"/>
                      <w:lang w:eastAsia="zh-CN"/>
                    </w:rPr>
                  </w:pPr>
                  <w:r>
                    <w:rPr>
                      <w:rFonts w:hint="eastAsia"/>
                      <w:sz w:val="21"/>
                      <w:szCs w:val="21"/>
                    </w:rPr>
                    <w:t>排放浓度</w:t>
                  </w:r>
                  <w:r>
                    <w:rPr>
                      <w:rFonts w:hint="eastAsia"/>
                      <w:sz w:val="21"/>
                      <w:szCs w:val="21"/>
                      <w:lang w:eastAsia="zh-CN"/>
                    </w:rPr>
                    <w:t>限值</w:t>
                  </w:r>
                  <w:r>
                    <w:rPr>
                      <w:rFonts w:hint="eastAsia"/>
                      <w:sz w:val="21"/>
                      <w:szCs w:val="21"/>
                    </w:rPr>
                    <w:t>mg/m</w:t>
                  </w:r>
                  <w:r>
                    <w:rPr>
                      <w:rFonts w:hint="eastAsia"/>
                      <w:sz w:val="21"/>
                      <w:szCs w:val="21"/>
                      <w:vertAlign w:val="superscript"/>
                    </w:rPr>
                    <w:t>3</w:t>
                  </w:r>
                </w:p>
              </w:tc>
              <w:tc>
                <w:tcPr>
                  <w:tcW w:w="3151" w:type="dxa"/>
                  <w:vMerge w:val="restart"/>
                  <w:vAlign w:val="center"/>
                </w:tcPr>
                <w:p>
                  <w:pPr>
                    <w:spacing w:line="240" w:lineRule="auto"/>
                    <w:ind w:firstLine="0" w:firstLineChars="0"/>
                    <w:jc w:val="center"/>
                    <w:rPr>
                      <w:rFonts w:hint="eastAsia" w:eastAsia="宋体"/>
                      <w:bCs/>
                      <w:sz w:val="21"/>
                      <w:szCs w:val="21"/>
                      <w:lang w:eastAsia="zh-CN"/>
                    </w:rPr>
                  </w:pPr>
                  <w:r>
                    <w:rPr>
                      <w:rFonts w:hint="eastAsia"/>
                      <w:sz w:val="21"/>
                      <w:szCs w:val="21"/>
                    </w:rPr>
                    <w:t>标准</w:t>
                  </w:r>
                  <w:r>
                    <w:rPr>
                      <w:rFonts w:hint="eastAsia"/>
                      <w:sz w:val="21"/>
                      <w:szCs w:val="21"/>
                      <w:lang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95" w:type="dxa"/>
                  <w:gridSpan w:val="2"/>
                  <w:vMerge w:val="continue"/>
                  <w:vAlign w:val="center"/>
                </w:tcPr>
                <w:p>
                  <w:pPr>
                    <w:spacing w:line="240" w:lineRule="auto"/>
                    <w:ind w:firstLine="0" w:firstLineChars="0"/>
                    <w:jc w:val="center"/>
                    <w:rPr>
                      <w:bCs/>
                      <w:sz w:val="21"/>
                      <w:szCs w:val="21"/>
                    </w:rPr>
                  </w:pPr>
                </w:p>
              </w:tc>
              <w:tc>
                <w:tcPr>
                  <w:tcW w:w="1057" w:type="dxa"/>
                  <w:vMerge w:val="continue"/>
                  <w:vAlign w:val="center"/>
                </w:tcPr>
                <w:p>
                  <w:pPr>
                    <w:spacing w:line="240" w:lineRule="auto"/>
                    <w:ind w:firstLine="0" w:firstLineChars="0"/>
                    <w:jc w:val="center"/>
                    <w:rPr>
                      <w:bCs/>
                      <w:sz w:val="21"/>
                      <w:szCs w:val="21"/>
                    </w:rPr>
                  </w:pPr>
                </w:p>
              </w:tc>
              <w:tc>
                <w:tcPr>
                  <w:tcW w:w="1703" w:type="dxa"/>
                  <w:vMerge w:val="continue"/>
                  <w:vAlign w:val="center"/>
                </w:tcPr>
                <w:p>
                  <w:pPr>
                    <w:spacing w:line="240" w:lineRule="auto"/>
                    <w:ind w:firstLine="0" w:firstLineChars="0"/>
                    <w:jc w:val="center"/>
                    <w:rPr>
                      <w:bCs/>
                      <w:sz w:val="21"/>
                      <w:szCs w:val="21"/>
                    </w:rPr>
                  </w:pPr>
                </w:p>
              </w:tc>
              <w:tc>
                <w:tcPr>
                  <w:tcW w:w="3151" w:type="dxa"/>
                  <w:vMerge w:val="continue"/>
                  <w:vAlign w:val="center"/>
                </w:tcPr>
                <w:p>
                  <w:pPr>
                    <w:spacing w:line="240" w:lineRule="auto"/>
                    <w:ind w:firstLine="0" w:firstLine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595" w:type="dxa"/>
                  <w:vMerge w:val="restart"/>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施工期</w:t>
                  </w:r>
                </w:p>
              </w:tc>
              <w:tc>
                <w:tcPr>
                  <w:tcW w:w="1200"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厂房土方施工</w:t>
                  </w:r>
                </w:p>
              </w:tc>
              <w:tc>
                <w:tcPr>
                  <w:tcW w:w="1057" w:type="dxa"/>
                  <w:vAlign w:val="center"/>
                </w:tcPr>
                <w:p>
                  <w:pPr>
                    <w:spacing w:line="240" w:lineRule="auto"/>
                    <w:ind w:firstLine="0" w:firstLineChars="0"/>
                    <w:jc w:val="center"/>
                    <w:rPr>
                      <w:sz w:val="21"/>
                      <w:szCs w:val="21"/>
                    </w:rPr>
                  </w:pPr>
                  <w:r>
                    <w:rPr>
                      <w:rFonts w:hint="eastAsia"/>
                      <w:sz w:val="21"/>
                      <w:szCs w:val="21"/>
                    </w:rPr>
                    <w:t>颗粒物</w:t>
                  </w:r>
                </w:p>
              </w:tc>
              <w:tc>
                <w:tcPr>
                  <w:tcW w:w="1703"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1.0</w:t>
                  </w:r>
                </w:p>
              </w:tc>
              <w:tc>
                <w:tcPr>
                  <w:tcW w:w="3151" w:type="dxa"/>
                  <w:vMerge w:val="restart"/>
                  <w:vAlign w:val="center"/>
                </w:tcPr>
                <w:p>
                  <w:pPr>
                    <w:spacing w:line="276" w:lineRule="auto"/>
                    <w:ind w:left="0" w:leftChars="0" w:firstLine="0" w:firstLineChars="0"/>
                    <w:rPr>
                      <w:sz w:val="21"/>
                      <w:szCs w:val="21"/>
                    </w:rPr>
                  </w:pPr>
                  <w:r>
                    <w:rPr>
                      <w:rFonts w:hint="eastAsia"/>
                      <w:sz w:val="21"/>
                      <w:szCs w:val="21"/>
                      <w:lang w:val="en-US" w:eastAsia="zh-CN"/>
                    </w:rPr>
                    <w:t>《大气污染物综合排放标准》（GB16297-1996）表2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595" w:type="dxa"/>
                  <w:vMerge w:val="continue"/>
                  <w:vAlign w:val="center"/>
                </w:tcPr>
                <w:p>
                  <w:pPr>
                    <w:spacing w:line="240" w:lineRule="auto"/>
                    <w:ind w:firstLine="0" w:firstLineChars="0"/>
                    <w:jc w:val="center"/>
                    <w:rPr>
                      <w:rFonts w:hint="default"/>
                      <w:sz w:val="21"/>
                      <w:szCs w:val="21"/>
                      <w:lang w:val="en-US" w:eastAsia="zh-CN"/>
                    </w:rPr>
                  </w:pPr>
                </w:p>
              </w:tc>
              <w:tc>
                <w:tcPr>
                  <w:tcW w:w="1200"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厂房装修阶段地面涂漆</w:t>
                  </w:r>
                </w:p>
              </w:tc>
              <w:tc>
                <w:tcPr>
                  <w:tcW w:w="1057" w:type="dxa"/>
                  <w:vMerge w:val="restar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非甲烷总烃</w:t>
                  </w:r>
                </w:p>
              </w:tc>
              <w:tc>
                <w:tcPr>
                  <w:tcW w:w="1703"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4.0</w:t>
                  </w:r>
                </w:p>
              </w:tc>
              <w:tc>
                <w:tcPr>
                  <w:tcW w:w="3151" w:type="dxa"/>
                  <w:vMerge w:val="continue"/>
                  <w:vAlign w:val="center"/>
                </w:tcPr>
                <w:p>
                  <w:pPr>
                    <w:spacing w:line="276" w:lineRule="auto"/>
                    <w:ind w:left="0" w:leftChars="0" w:firstLine="0" w:firstLineChars="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595" w:type="dxa"/>
                  <w:vMerge w:val="restar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营运期</w:t>
                  </w:r>
                </w:p>
              </w:tc>
              <w:tc>
                <w:tcPr>
                  <w:tcW w:w="1200" w:type="dxa"/>
                  <w:vMerge w:val="restar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仓库厂房外设置监控制</w:t>
                  </w:r>
                </w:p>
              </w:tc>
              <w:tc>
                <w:tcPr>
                  <w:tcW w:w="1057" w:type="dxa"/>
                  <w:vMerge w:val="continue"/>
                  <w:vAlign w:val="center"/>
                </w:tcPr>
                <w:p>
                  <w:pPr>
                    <w:spacing w:line="240" w:lineRule="auto"/>
                    <w:ind w:firstLine="0" w:firstLineChars="0"/>
                    <w:jc w:val="center"/>
                    <w:rPr>
                      <w:rFonts w:hint="eastAsia"/>
                      <w:sz w:val="21"/>
                      <w:szCs w:val="21"/>
                      <w:lang w:val="en-US" w:eastAsia="zh-CN"/>
                    </w:rPr>
                  </w:pPr>
                </w:p>
              </w:tc>
              <w:tc>
                <w:tcPr>
                  <w:tcW w:w="1703"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6（1h时平均浓度）</w:t>
                  </w:r>
                </w:p>
              </w:tc>
              <w:tc>
                <w:tcPr>
                  <w:tcW w:w="3151" w:type="dxa"/>
                  <w:vMerge w:val="restart"/>
                  <w:vAlign w:val="center"/>
                </w:tcPr>
                <w:p>
                  <w:pPr>
                    <w:tabs>
                      <w:tab w:val="left" w:pos="507"/>
                    </w:tabs>
                    <w:spacing w:line="276" w:lineRule="auto"/>
                    <w:ind w:left="0" w:leftChars="0" w:firstLine="0" w:firstLineChars="0"/>
                    <w:rPr>
                      <w:rFonts w:hint="default" w:eastAsia="宋体"/>
                      <w:sz w:val="21"/>
                      <w:szCs w:val="21"/>
                      <w:lang w:val="en-US" w:eastAsia="zh-CN"/>
                    </w:rPr>
                  </w:pPr>
                  <w:r>
                    <w:rPr>
                      <w:rFonts w:hint="eastAsia"/>
                      <w:sz w:val="21"/>
                      <w:szCs w:val="21"/>
                      <w:lang w:val="en-US" w:eastAsia="zh-CN"/>
                    </w:rPr>
                    <w:t>《挥发性有机物无组织排放控制标准》（GB 37822-2019）表A.1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595" w:type="dxa"/>
                  <w:vMerge w:val="continue"/>
                  <w:vAlign w:val="center"/>
                </w:tcPr>
                <w:p>
                  <w:pPr>
                    <w:spacing w:line="240" w:lineRule="auto"/>
                    <w:ind w:firstLine="0" w:firstLineChars="0"/>
                    <w:jc w:val="center"/>
                    <w:rPr>
                      <w:rFonts w:hint="eastAsia"/>
                      <w:sz w:val="21"/>
                      <w:szCs w:val="21"/>
                      <w:lang w:val="en-US" w:eastAsia="zh-CN"/>
                    </w:rPr>
                  </w:pPr>
                </w:p>
              </w:tc>
              <w:tc>
                <w:tcPr>
                  <w:tcW w:w="1200" w:type="dxa"/>
                  <w:vMerge w:val="continue"/>
                  <w:vAlign w:val="center"/>
                </w:tcPr>
                <w:p>
                  <w:pPr>
                    <w:spacing w:line="240" w:lineRule="auto"/>
                    <w:ind w:firstLine="0" w:firstLineChars="0"/>
                    <w:jc w:val="center"/>
                    <w:rPr>
                      <w:rFonts w:hint="eastAsia"/>
                      <w:sz w:val="21"/>
                      <w:szCs w:val="21"/>
                      <w:lang w:val="en-US" w:eastAsia="zh-CN"/>
                    </w:rPr>
                  </w:pPr>
                </w:p>
              </w:tc>
              <w:tc>
                <w:tcPr>
                  <w:tcW w:w="1057" w:type="dxa"/>
                  <w:vMerge w:val="continue"/>
                  <w:vAlign w:val="center"/>
                </w:tcPr>
                <w:p>
                  <w:pPr>
                    <w:spacing w:line="240" w:lineRule="auto"/>
                    <w:ind w:firstLine="0" w:firstLineChars="0"/>
                    <w:jc w:val="center"/>
                    <w:rPr>
                      <w:rFonts w:hint="eastAsia"/>
                      <w:sz w:val="21"/>
                      <w:szCs w:val="21"/>
                      <w:lang w:val="en-US" w:eastAsia="zh-CN"/>
                    </w:rPr>
                  </w:pPr>
                </w:p>
              </w:tc>
              <w:tc>
                <w:tcPr>
                  <w:tcW w:w="1703"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20（任意一次浓度）</w:t>
                  </w:r>
                </w:p>
              </w:tc>
              <w:tc>
                <w:tcPr>
                  <w:tcW w:w="3151" w:type="dxa"/>
                  <w:vMerge w:val="continue"/>
                  <w:vAlign w:val="center"/>
                </w:tcPr>
                <w:p>
                  <w:pPr>
                    <w:spacing w:line="276" w:lineRule="auto"/>
                    <w:ind w:left="0" w:leftChars="0" w:firstLine="0" w:firstLineChars="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5" w:type="dxa"/>
                  <w:vMerge w:val="continue"/>
                  <w:vAlign w:val="center"/>
                </w:tcPr>
                <w:p>
                  <w:pPr>
                    <w:spacing w:line="240" w:lineRule="auto"/>
                    <w:ind w:firstLine="0" w:firstLineChars="0"/>
                    <w:jc w:val="center"/>
                    <w:rPr>
                      <w:rFonts w:hint="eastAsia"/>
                      <w:sz w:val="21"/>
                      <w:szCs w:val="21"/>
                      <w:lang w:val="en-US" w:eastAsia="zh-CN"/>
                    </w:rPr>
                  </w:pPr>
                </w:p>
              </w:tc>
              <w:tc>
                <w:tcPr>
                  <w:tcW w:w="1200" w:type="dxa"/>
                  <w:vMerge w:val="restart"/>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焚烧炉排气筒</w:t>
                  </w:r>
                </w:p>
              </w:tc>
              <w:tc>
                <w:tcPr>
                  <w:tcW w:w="1057"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挥发性有机物</w:t>
                  </w:r>
                </w:p>
              </w:tc>
              <w:tc>
                <w:tcPr>
                  <w:tcW w:w="1703"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100</w:t>
                  </w:r>
                </w:p>
              </w:tc>
              <w:tc>
                <w:tcPr>
                  <w:tcW w:w="3151" w:type="dxa"/>
                  <w:vAlign w:val="center"/>
                </w:tcPr>
                <w:p>
                  <w:pPr>
                    <w:spacing w:line="276" w:lineRule="auto"/>
                    <w:ind w:left="0" w:leftChars="0" w:firstLine="0" w:firstLineChars="0"/>
                    <w:rPr>
                      <w:rFonts w:hint="default"/>
                      <w:sz w:val="21"/>
                      <w:szCs w:val="21"/>
                      <w:lang w:val="en-US" w:eastAsia="zh-CN"/>
                    </w:rPr>
                  </w:pPr>
                  <w:r>
                    <w:rPr>
                      <w:rFonts w:hint="eastAsia"/>
                      <w:sz w:val="21"/>
                      <w:szCs w:val="21"/>
                      <w:u w:val="single"/>
                      <w:lang w:val="en-US" w:eastAsia="zh-CN"/>
                    </w:rPr>
                    <w:t>《农药制造工业大气污染物排放标准》（GB39727-2020）表1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595" w:type="dxa"/>
                  <w:vMerge w:val="continue"/>
                  <w:vAlign w:val="center"/>
                </w:tcPr>
                <w:p>
                  <w:pPr>
                    <w:spacing w:line="240" w:lineRule="auto"/>
                    <w:ind w:firstLine="0" w:firstLineChars="0"/>
                    <w:jc w:val="center"/>
                    <w:rPr>
                      <w:rFonts w:hint="eastAsia"/>
                      <w:sz w:val="21"/>
                      <w:szCs w:val="21"/>
                      <w:lang w:val="en-US" w:eastAsia="zh-CN"/>
                    </w:rPr>
                  </w:pPr>
                </w:p>
              </w:tc>
              <w:tc>
                <w:tcPr>
                  <w:tcW w:w="1200" w:type="dxa"/>
                  <w:vMerge w:val="continue"/>
                  <w:vAlign w:val="center"/>
                </w:tcPr>
                <w:p>
                  <w:pPr>
                    <w:spacing w:line="240" w:lineRule="auto"/>
                    <w:ind w:firstLine="0" w:firstLineChars="0"/>
                    <w:jc w:val="center"/>
                    <w:rPr>
                      <w:rFonts w:hint="eastAsia"/>
                      <w:sz w:val="21"/>
                      <w:szCs w:val="21"/>
                      <w:lang w:val="en-US" w:eastAsia="zh-CN"/>
                    </w:rPr>
                  </w:pPr>
                </w:p>
              </w:tc>
              <w:tc>
                <w:tcPr>
                  <w:tcW w:w="1057"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二氧化硫</w:t>
                  </w:r>
                </w:p>
              </w:tc>
              <w:tc>
                <w:tcPr>
                  <w:tcW w:w="1703"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200</w:t>
                  </w:r>
                </w:p>
              </w:tc>
              <w:tc>
                <w:tcPr>
                  <w:tcW w:w="3151" w:type="dxa"/>
                  <w:vMerge w:val="restart"/>
                  <w:vAlign w:val="center"/>
                </w:tcPr>
                <w:p>
                  <w:pPr>
                    <w:spacing w:line="276" w:lineRule="auto"/>
                    <w:ind w:left="0" w:leftChars="0" w:firstLine="0" w:firstLineChars="0"/>
                    <w:rPr>
                      <w:rFonts w:hint="eastAsia"/>
                      <w:sz w:val="21"/>
                      <w:szCs w:val="21"/>
                      <w:u w:val="single"/>
                      <w:lang w:val="en-US" w:eastAsia="zh-CN"/>
                    </w:rPr>
                  </w:pPr>
                  <w:r>
                    <w:rPr>
                      <w:rFonts w:hint="eastAsia"/>
                      <w:sz w:val="21"/>
                      <w:szCs w:val="21"/>
                      <w:u w:val="single"/>
                      <w:lang w:val="en-US" w:eastAsia="zh-CN"/>
                    </w:rPr>
                    <w:t>《农药制造工业大气污染物排放标准》（GB39727-2020）表2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595" w:type="dxa"/>
                  <w:vMerge w:val="continue"/>
                  <w:vAlign w:val="center"/>
                </w:tcPr>
                <w:p>
                  <w:pPr>
                    <w:spacing w:line="240" w:lineRule="auto"/>
                    <w:ind w:firstLine="0" w:firstLineChars="0"/>
                    <w:jc w:val="center"/>
                    <w:rPr>
                      <w:rFonts w:hint="eastAsia"/>
                      <w:sz w:val="21"/>
                      <w:szCs w:val="21"/>
                      <w:lang w:val="en-US" w:eastAsia="zh-CN"/>
                    </w:rPr>
                  </w:pPr>
                </w:p>
              </w:tc>
              <w:tc>
                <w:tcPr>
                  <w:tcW w:w="1200" w:type="dxa"/>
                  <w:vMerge w:val="continue"/>
                  <w:vAlign w:val="center"/>
                </w:tcPr>
                <w:p>
                  <w:pPr>
                    <w:spacing w:line="240" w:lineRule="auto"/>
                    <w:ind w:firstLine="0" w:firstLineChars="0"/>
                    <w:jc w:val="center"/>
                    <w:rPr>
                      <w:rFonts w:hint="eastAsia"/>
                      <w:sz w:val="21"/>
                      <w:szCs w:val="21"/>
                      <w:lang w:val="en-US" w:eastAsia="zh-CN"/>
                    </w:rPr>
                  </w:pPr>
                </w:p>
              </w:tc>
              <w:tc>
                <w:tcPr>
                  <w:tcW w:w="1057"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二氧化氮</w:t>
                  </w:r>
                </w:p>
              </w:tc>
              <w:tc>
                <w:tcPr>
                  <w:tcW w:w="1703"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200</w:t>
                  </w:r>
                </w:p>
              </w:tc>
              <w:tc>
                <w:tcPr>
                  <w:tcW w:w="3151" w:type="dxa"/>
                  <w:vMerge w:val="continue"/>
                  <w:vAlign w:val="center"/>
                </w:tcPr>
                <w:p>
                  <w:pPr>
                    <w:spacing w:line="276" w:lineRule="auto"/>
                    <w:ind w:left="0" w:leftChars="0" w:firstLine="0" w:firstLineChars="0"/>
                    <w:rPr>
                      <w:rFonts w:hint="eastAsia"/>
                      <w:sz w:val="21"/>
                      <w:szCs w:val="21"/>
                      <w:u w:val="single"/>
                      <w:lang w:val="en-US" w:eastAsia="zh-CN"/>
                    </w:rPr>
                  </w:pPr>
                </w:p>
              </w:tc>
            </w:tr>
          </w:tbl>
          <w:p>
            <w:pPr>
              <w:spacing w:before="156" w:beforeLines="50" w:line="276" w:lineRule="auto"/>
              <w:ind w:firstLine="0" w:firstLineChars="0"/>
              <w:rPr>
                <w:b/>
                <w:bCs/>
                <w:sz w:val="21"/>
                <w:szCs w:val="21"/>
              </w:rPr>
            </w:pPr>
            <w:r>
              <w:rPr>
                <w:rFonts w:hint="eastAsia"/>
                <w:b/>
                <w:bCs/>
                <w:sz w:val="21"/>
                <w:szCs w:val="21"/>
              </w:rPr>
              <w:t>2、水污染物排放标准</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sz w:val="21"/>
                <w:szCs w:val="21"/>
                <w:lang w:eastAsia="zh-CN"/>
              </w:rPr>
            </w:pPr>
            <w:r>
              <w:rPr>
                <w:rFonts w:hint="eastAsia"/>
                <w:sz w:val="21"/>
                <w:szCs w:val="21"/>
                <w:lang w:val="en-US" w:eastAsia="zh-CN"/>
              </w:rPr>
              <w:t>施工期施工废水不外排，施工生活废水依托企业现有的生活废水处理设施处理。</w:t>
            </w:r>
            <w:r>
              <w:rPr>
                <w:rFonts w:hint="eastAsia"/>
                <w:sz w:val="21"/>
                <w:szCs w:val="21"/>
                <w:lang w:eastAsia="zh-CN"/>
              </w:rPr>
              <w:t>本</w:t>
            </w:r>
            <w:r>
              <w:rPr>
                <w:rFonts w:hint="eastAsia"/>
                <w:sz w:val="21"/>
                <w:szCs w:val="21"/>
                <w:lang w:val="en-US" w:eastAsia="zh-CN"/>
              </w:rPr>
              <w:t>项目营运期</w:t>
            </w:r>
            <w:r>
              <w:rPr>
                <w:rFonts w:hint="eastAsia"/>
                <w:sz w:val="21"/>
                <w:szCs w:val="21"/>
                <w:lang w:eastAsia="zh-CN"/>
              </w:rPr>
              <w:t>不涉及废水，</w:t>
            </w:r>
            <w:r>
              <w:rPr>
                <w:rFonts w:hint="eastAsia"/>
                <w:sz w:val="21"/>
                <w:szCs w:val="21"/>
                <w:lang w:val="en-US" w:eastAsia="zh-CN"/>
              </w:rPr>
              <w:t>不设</w:t>
            </w:r>
            <w:r>
              <w:rPr>
                <w:rFonts w:hint="eastAsia"/>
                <w:sz w:val="21"/>
                <w:szCs w:val="21"/>
                <w:lang w:eastAsia="zh-CN"/>
              </w:rPr>
              <w:t>废水排放执行标准。</w:t>
            </w:r>
          </w:p>
          <w:p>
            <w:pPr>
              <w:spacing w:before="156" w:beforeLines="50" w:line="276" w:lineRule="auto"/>
              <w:ind w:firstLine="0" w:firstLineChars="0"/>
              <w:rPr>
                <w:b/>
                <w:bCs/>
                <w:sz w:val="21"/>
                <w:szCs w:val="21"/>
              </w:rPr>
            </w:pPr>
            <w:r>
              <w:rPr>
                <w:rFonts w:hint="eastAsia"/>
                <w:b/>
                <w:bCs/>
                <w:sz w:val="21"/>
                <w:szCs w:val="21"/>
              </w:rPr>
              <w:t>3、噪声排放标准</w:t>
            </w:r>
          </w:p>
          <w:p>
            <w:pPr>
              <w:spacing w:line="276" w:lineRule="auto"/>
              <w:ind w:firstLine="420" w:firstLineChars="200"/>
              <w:rPr>
                <w:rFonts w:hint="eastAsia" w:eastAsia="宋体"/>
                <w:sz w:val="21"/>
                <w:szCs w:val="21"/>
                <w:lang w:val="en-US" w:eastAsia="zh-CN"/>
              </w:rPr>
            </w:pPr>
            <w:r>
              <w:rPr>
                <w:rFonts w:hint="eastAsia"/>
                <w:sz w:val="21"/>
                <w:szCs w:val="21"/>
              </w:rPr>
              <w:t>施工期：</w:t>
            </w:r>
            <w:r>
              <w:rPr>
                <w:rFonts w:hint="eastAsia"/>
                <w:sz w:val="21"/>
                <w:szCs w:val="21"/>
                <w:lang w:val="en-US" w:eastAsia="zh-CN"/>
              </w:rPr>
              <w:t>本项目施工过程中场界环境噪声执行</w:t>
            </w:r>
            <w:r>
              <w:rPr>
                <w:rFonts w:hint="eastAsia"/>
                <w:sz w:val="21"/>
                <w:szCs w:val="21"/>
                <w:lang w:eastAsia="zh-CN"/>
              </w:rPr>
              <w:t>《建筑施工场界环境噪声排放标准》（GB12523-2011）</w:t>
            </w:r>
            <w:r>
              <w:rPr>
                <w:rFonts w:hint="eastAsia"/>
                <w:sz w:val="21"/>
                <w:szCs w:val="21"/>
                <w:lang w:val="en-US" w:eastAsia="zh-CN"/>
              </w:rPr>
              <w:t>表1规定的排放限值：昼间70</w:t>
            </w:r>
            <w:r>
              <w:rPr>
                <w:rFonts w:hint="eastAsia"/>
                <w:sz w:val="21"/>
                <w:szCs w:val="21"/>
              </w:rPr>
              <w:t>dB（A）</w:t>
            </w:r>
            <w:r>
              <w:rPr>
                <w:rFonts w:hint="eastAsia"/>
                <w:sz w:val="21"/>
                <w:szCs w:val="21"/>
                <w:lang w:val="en-US" w:eastAsia="zh-CN"/>
              </w:rPr>
              <w:t>，夜间55dB（A）</w:t>
            </w:r>
            <w:r>
              <w:rPr>
                <w:rFonts w:hint="eastAsia"/>
                <w:sz w:val="21"/>
                <w:szCs w:val="21"/>
                <w:lang w:eastAsia="zh-CN"/>
              </w:rPr>
              <w:t>。</w:t>
            </w:r>
          </w:p>
          <w:p>
            <w:pPr>
              <w:spacing w:line="276" w:lineRule="auto"/>
              <w:ind w:firstLine="420" w:firstLineChars="200"/>
              <w:rPr>
                <w:rFonts w:hint="eastAsia" w:eastAsia="宋体"/>
                <w:sz w:val="21"/>
                <w:szCs w:val="21"/>
                <w:lang w:eastAsia="zh-CN"/>
              </w:rPr>
            </w:pPr>
            <w:r>
              <w:rPr>
                <w:rFonts w:hint="eastAsia"/>
                <w:sz w:val="21"/>
                <w:szCs w:val="21"/>
              </w:rPr>
              <w:t>营运期：项目</w:t>
            </w:r>
            <w:r>
              <w:rPr>
                <w:rFonts w:hint="eastAsia"/>
                <w:sz w:val="21"/>
                <w:szCs w:val="21"/>
                <w:lang w:val="en-US" w:eastAsia="zh-CN"/>
              </w:rPr>
              <w:t>运营期间，</w:t>
            </w:r>
            <w:r>
              <w:rPr>
                <w:rFonts w:hint="eastAsia"/>
                <w:sz w:val="21"/>
                <w:szCs w:val="21"/>
                <w:lang w:eastAsia="zh-CN"/>
              </w:rPr>
              <w:t>东</w:t>
            </w:r>
            <w:r>
              <w:rPr>
                <w:rFonts w:hint="eastAsia"/>
                <w:sz w:val="21"/>
                <w:szCs w:val="21"/>
              </w:rPr>
              <w:t>、南</w:t>
            </w:r>
            <w:r>
              <w:rPr>
                <w:rFonts w:hint="eastAsia"/>
                <w:sz w:val="21"/>
                <w:szCs w:val="21"/>
                <w:lang w:eastAsia="zh-CN"/>
              </w:rPr>
              <w:t>、</w:t>
            </w:r>
            <w:r>
              <w:rPr>
                <w:rFonts w:hint="eastAsia"/>
                <w:sz w:val="21"/>
                <w:szCs w:val="21"/>
                <w:lang w:val="en-US" w:eastAsia="zh-CN"/>
              </w:rPr>
              <w:t>西、北</w:t>
            </w:r>
            <w:r>
              <w:rPr>
                <w:rFonts w:hint="eastAsia"/>
                <w:sz w:val="21"/>
                <w:szCs w:val="21"/>
              </w:rPr>
              <w:t>厂界</w:t>
            </w:r>
            <w:r>
              <w:rPr>
                <w:rFonts w:hint="eastAsia"/>
                <w:sz w:val="21"/>
                <w:szCs w:val="21"/>
                <w:lang w:val="en-US" w:eastAsia="zh-CN"/>
              </w:rPr>
              <w:t>环境</w:t>
            </w:r>
            <w:r>
              <w:rPr>
                <w:rFonts w:hint="eastAsia"/>
                <w:sz w:val="21"/>
                <w:szCs w:val="21"/>
              </w:rPr>
              <w:t>噪声</w:t>
            </w:r>
            <w:r>
              <w:rPr>
                <w:rFonts w:hint="eastAsia"/>
                <w:sz w:val="21"/>
                <w:szCs w:val="21"/>
                <w:lang w:eastAsia="zh-CN"/>
              </w:rPr>
              <w:t>排放</w:t>
            </w:r>
            <w:r>
              <w:rPr>
                <w:rFonts w:hint="eastAsia"/>
                <w:sz w:val="21"/>
                <w:szCs w:val="21"/>
              </w:rPr>
              <w:t>执行《工业企业厂界环境噪声排放标准》（GB12348-2008）</w:t>
            </w:r>
            <w:r>
              <w:rPr>
                <w:rFonts w:hint="eastAsia"/>
                <w:sz w:val="21"/>
                <w:szCs w:val="21"/>
                <w:lang w:val="en-US" w:eastAsia="zh-CN"/>
              </w:rPr>
              <w:t>3</w:t>
            </w:r>
            <w:r>
              <w:rPr>
                <w:rFonts w:hint="eastAsia"/>
                <w:sz w:val="21"/>
                <w:szCs w:val="21"/>
              </w:rPr>
              <w:t>类标准</w:t>
            </w:r>
            <w:r>
              <w:rPr>
                <w:rFonts w:hint="eastAsia"/>
                <w:sz w:val="21"/>
                <w:szCs w:val="21"/>
                <w:lang w:val="en-US" w:eastAsia="zh-CN"/>
              </w:rPr>
              <w:t>限值</w:t>
            </w:r>
            <w:r>
              <w:rPr>
                <w:rFonts w:hint="eastAsia"/>
                <w:sz w:val="21"/>
                <w:szCs w:val="21"/>
                <w:lang w:eastAsia="zh-CN"/>
              </w:rPr>
              <w:t>。</w:t>
            </w:r>
          </w:p>
          <w:p>
            <w:pPr>
              <w:spacing w:line="276" w:lineRule="auto"/>
              <w:ind w:firstLine="0" w:firstLineChars="0"/>
              <w:jc w:val="center"/>
              <w:rPr>
                <w:sz w:val="21"/>
                <w:szCs w:val="21"/>
              </w:rPr>
            </w:pPr>
            <w:r>
              <w:rPr>
                <w:rFonts w:hint="eastAsia"/>
                <w:sz w:val="21"/>
                <w:szCs w:val="21"/>
              </w:rPr>
              <w:t>表3-</w:t>
            </w:r>
            <w:r>
              <w:rPr>
                <w:rFonts w:hint="eastAsia"/>
                <w:sz w:val="21"/>
                <w:szCs w:val="21"/>
                <w:lang w:val="en-US" w:eastAsia="zh-CN"/>
              </w:rPr>
              <w:t xml:space="preserve">7 </w:t>
            </w:r>
            <w:r>
              <w:rPr>
                <w:rFonts w:hint="eastAsia"/>
                <w:sz w:val="21"/>
                <w:szCs w:val="21"/>
              </w:rPr>
              <w:t xml:space="preserve">  噪声污染排放标准限值一览表</w:t>
            </w:r>
          </w:p>
          <w:tbl>
            <w:tblPr>
              <w:tblStyle w:val="17"/>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118"/>
              <w:gridCol w:w="1538"/>
              <w:gridCol w:w="1539"/>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45" w:type="pct"/>
                  <w:vAlign w:val="center"/>
                </w:tcPr>
                <w:p>
                  <w:pPr>
                    <w:spacing w:line="240" w:lineRule="auto"/>
                    <w:ind w:firstLine="0" w:firstLineChars="0"/>
                    <w:jc w:val="center"/>
                    <w:rPr>
                      <w:sz w:val="21"/>
                      <w:szCs w:val="21"/>
                    </w:rPr>
                  </w:pPr>
                  <w:r>
                    <w:rPr>
                      <w:rFonts w:hint="eastAsia"/>
                      <w:sz w:val="21"/>
                      <w:szCs w:val="21"/>
                    </w:rPr>
                    <w:t>时期</w:t>
                  </w:r>
                </w:p>
              </w:tc>
              <w:tc>
                <w:tcPr>
                  <w:tcW w:w="706" w:type="pct"/>
                  <w:vAlign w:val="center"/>
                </w:tcPr>
                <w:p>
                  <w:pPr>
                    <w:spacing w:line="240" w:lineRule="auto"/>
                    <w:ind w:firstLine="0" w:firstLineChars="0"/>
                    <w:jc w:val="center"/>
                    <w:rPr>
                      <w:bCs/>
                      <w:sz w:val="21"/>
                      <w:szCs w:val="21"/>
                    </w:rPr>
                  </w:pPr>
                  <w:r>
                    <w:rPr>
                      <w:rFonts w:hint="eastAsia"/>
                      <w:sz w:val="21"/>
                      <w:szCs w:val="21"/>
                    </w:rPr>
                    <w:t>类别</w:t>
                  </w:r>
                </w:p>
              </w:tc>
              <w:tc>
                <w:tcPr>
                  <w:tcW w:w="972" w:type="pct"/>
                  <w:vAlign w:val="center"/>
                </w:tcPr>
                <w:p>
                  <w:pPr>
                    <w:spacing w:line="240" w:lineRule="auto"/>
                    <w:ind w:firstLine="0" w:firstLineChars="0"/>
                    <w:jc w:val="center"/>
                    <w:rPr>
                      <w:bCs/>
                      <w:sz w:val="21"/>
                      <w:szCs w:val="21"/>
                    </w:rPr>
                  </w:pPr>
                  <w:r>
                    <w:rPr>
                      <w:rFonts w:hint="eastAsia"/>
                      <w:sz w:val="21"/>
                      <w:szCs w:val="21"/>
                    </w:rPr>
                    <w:t>昼间dB（A）</w:t>
                  </w:r>
                </w:p>
              </w:tc>
              <w:tc>
                <w:tcPr>
                  <w:tcW w:w="972" w:type="pct"/>
                  <w:vAlign w:val="center"/>
                </w:tcPr>
                <w:p>
                  <w:pPr>
                    <w:spacing w:line="240" w:lineRule="auto"/>
                    <w:ind w:firstLine="0" w:firstLineChars="0"/>
                    <w:jc w:val="center"/>
                    <w:rPr>
                      <w:bCs/>
                      <w:sz w:val="21"/>
                      <w:szCs w:val="21"/>
                    </w:rPr>
                  </w:pPr>
                  <w:r>
                    <w:rPr>
                      <w:rFonts w:hint="eastAsia"/>
                      <w:sz w:val="21"/>
                      <w:szCs w:val="21"/>
                    </w:rPr>
                    <w:t>夜间dB（A）</w:t>
                  </w:r>
                </w:p>
              </w:tc>
              <w:tc>
                <w:tcPr>
                  <w:tcW w:w="1702" w:type="pct"/>
                  <w:vAlign w:val="center"/>
                </w:tcPr>
                <w:p>
                  <w:pPr>
                    <w:spacing w:line="240" w:lineRule="auto"/>
                    <w:ind w:firstLine="0" w:firstLineChars="0"/>
                    <w:jc w:val="center"/>
                    <w:rPr>
                      <w:sz w:val="21"/>
                      <w:szCs w:val="21"/>
                    </w:rPr>
                  </w:pPr>
                  <w:r>
                    <w:rPr>
                      <w:rFonts w:hint="eastAsia"/>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pct"/>
                  <w:vAlign w:val="center"/>
                </w:tcPr>
                <w:p>
                  <w:pPr>
                    <w:spacing w:line="240" w:lineRule="auto"/>
                    <w:ind w:firstLine="0" w:firstLineChars="0"/>
                    <w:jc w:val="center"/>
                    <w:rPr>
                      <w:rFonts w:hint="default" w:eastAsia="宋体"/>
                      <w:bCs/>
                      <w:sz w:val="21"/>
                      <w:szCs w:val="21"/>
                      <w:lang w:val="en-US" w:eastAsia="zh-CN"/>
                    </w:rPr>
                  </w:pPr>
                  <w:r>
                    <w:rPr>
                      <w:rFonts w:hint="eastAsia"/>
                      <w:bCs/>
                      <w:sz w:val="21"/>
                      <w:szCs w:val="21"/>
                      <w:lang w:val="en-US" w:eastAsia="zh-CN"/>
                    </w:rPr>
                    <w:t>施工斯</w:t>
                  </w:r>
                </w:p>
              </w:tc>
              <w:tc>
                <w:tcPr>
                  <w:tcW w:w="706" w:type="pct"/>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972"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70</w:t>
                  </w:r>
                </w:p>
              </w:tc>
              <w:tc>
                <w:tcPr>
                  <w:tcW w:w="972"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55</w:t>
                  </w:r>
                </w:p>
              </w:tc>
              <w:tc>
                <w:tcPr>
                  <w:tcW w:w="1702" w:type="pct"/>
                  <w:vAlign w:val="center"/>
                </w:tcPr>
                <w:p>
                  <w:pPr>
                    <w:spacing w:line="240" w:lineRule="auto"/>
                    <w:ind w:firstLine="0" w:firstLineChars="0"/>
                    <w:jc w:val="center"/>
                    <w:rPr>
                      <w:sz w:val="21"/>
                      <w:szCs w:val="21"/>
                    </w:rPr>
                  </w:pPr>
                  <w:r>
                    <w:rPr>
                      <w:rFonts w:hint="eastAsia"/>
                      <w:sz w:val="21"/>
                      <w:szCs w:val="21"/>
                      <w:lang w:eastAsia="zh-CN"/>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Align w:val="center"/>
                </w:tcPr>
                <w:p>
                  <w:pPr>
                    <w:spacing w:line="240" w:lineRule="auto"/>
                    <w:ind w:firstLine="0" w:firstLineChars="0"/>
                    <w:jc w:val="center"/>
                    <w:rPr>
                      <w:sz w:val="21"/>
                      <w:szCs w:val="21"/>
                    </w:rPr>
                  </w:pPr>
                  <w:r>
                    <w:rPr>
                      <w:rFonts w:hint="eastAsia"/>
                      <w:sz w:val="21"/>
                      <w:szCs w:val="21"/>
                    </w:rPr>
                    <w:t>营运期</w:t>
                  </w:r>
                </w:p>
              </w:tc>
              <w:tc>
                <w:tcPr>
                  <w:tcW w:w="1118" w:type="dxa"/>
                  <w:vAlign w:val="center"/>
                </w:tcPr>
                <w:p>
                  <w:pPr>
                    <w:spacing w:line="240" w:lineRule="auto"/>
                    <w:ind w:firstLine="0" w:firstLineChars="0"/>
                    <w:jc w:val="center"/>
                    <w:rPr>
                      <w:sz w:val="21"/>
                      <w:szCs w:val="21"/>
                    </w:rPr>
                  </w:pPr>
                  <w:r>
                    <w:rPr>
                      <w:rFonts w:hint="eastAsia"/>
                      <w:sz w:val="21"/>
                      <w:szCs w:val="21"/>
                      <w:lang w:val="en-US" w:eastAsia="zh-CN"/>
                    </w:rPr>
                    <w:t>3</w:t>
                  </w:r>
                  <w:r>
                    <w:rPr>
                      <w:rFonts w:hint="eastAsia"/>
                      <w:sz w:val="21"/>
                      <w:szCs w:val="21"/>
                    </w:rPr>
                    <w:t>类</w:t>
                  </w:r>
                </w:p>
              </w:tc>
              <w:tc>
                <w:tcPr>
                  <w:tcW w:w="1538" w:type="dxa"/>
                  <w:vAlign w:val="center"/>
                </w:tcPr>
                <w:p>
                  <w:pPr>
                    <w:spacing w:line="240" w:lineRule="auto"/>
                    <w:ind w:firstLine="0" w:firstLineChars="0"/>
                    <w:jc w:val="center"/>
                    <w:rPr>
                      <w:sz w:val="21"/>
                      <w:szCs w:val="21"/>
                    </w:rPr>
                  </w:pPr>
                  <w:r>
                    <w:rPr>
                      <w:rFonts w:hint="eastAsia"/>
                      <w:sz w:val="21"/>
                      <w:szCs w:val="21"/>
                    </w:rPr>
                    <w:t>6</w:t>
                  </w:r>
                  <w:r>
                    <w:rPr>
                      <w:rFonts w:hint="eastAsia"/>
                      <w:sz w:val="21"/>
                      <w:szCs w:val="21"/>
                      <w:lang w:val="en-US" w:eastAsia="zh-CN"/>
                    </w:rPr>
                    <w:t>5</w:t>
                  </w:r>
                </w:p>
              </w:tc>
              <w:tc>
                <w:tcPr>
                  <w:tcW w:w="1539" w:type="dxa"/>
                  <w:vAlign w:val="center"/>
                </w:tcPr>
                <w:p>
                  <w:pPr>
                    <w:spacing w:line="240" w:lineRule="auto"/>
                    <w:ind w:firstLine="0" w:firstLineChars="0"/>
                    <w:jc w:val="center"/>
                    <w:rPr>
                      <w:sz w:val="21"/>
                      <w:szCs w:val="21"/>
                    </w:rPr>
                  </w:pPr>
                  <w:r>
                    <w:rPr>
                      <w:rFonts w:hint="eastAsia"/>
                      <w:sz w:val="21"/>
                      <w:szCs w:val="21"/>
                    </w:rPr>
                    <w:t>5</w:t>
                  </w:r>
                  <w:r>
                    <w:rPr>
                      <w:rFonts w:hint="eastAsia"/>
                      <w:sz w:val="21"/>
                      <w:szCs w:val="21"/>
                      <w:lang w:val="en-US" w:eastAsia="zh-CN"/>
                    </w:rPr>
                    <w:t>5</w:t>
                  </w:r>
                </w:p>
              </w:tc>
              <w:tc>
                <w:tcPr>
                  <w:tcW w:w="2694" w:type="dxa"/>
                  <w:vAlign w:val="center"/>
                </w:tcPr>
                <w:p>
                  <w:pPr>
                    <w:spacing w:line="240" w:lineRule="auto"/>
                    <w:ind w:firstLine="0" w:firstLineChars="0"/>
                    <w:jc w:val="center"/>
                    <w:rPr>
                      <w:sz w:val="21"/>
                      <w:szCs w:val="21"/>
                    </w:rPr>
                  </w:pPr>
                  <w:r>
                    <w:rPr>
                      <w:rFonts w:hint="eastAsia"/>
                      <w:sz w:val="21"/>
                      <w:szCs w:val="21"/>
                    </w:rPr>
                    <w:t>《工业企业厂界环境噪声排放标准》（GB12348-2008）</w:t>
                  </w:r>
                </w:p>
              </w:tc>
            </w:tr>
          </w:tbl>
          <w:p>
            <w:pPr>
              <w:ind w:firstLine="0" w:firstLineChars="0"/>
              <w:rPr>
                <w:b/>
                <w:bCs/>
                <w:sz w:val="21"/>
                <w:szCs w:val="21"/>
              </w:rPr>
            </w:pPr>
            <w:r>
              <w:rPr>
                <w:rFonts w:hint="eastAsia"/>
                <w:b/>
                <w:bCs/>
                <w:sz w:val="21"/>
                <w:szCs w:val="21"/>
              </w:rPr>
              <w:t>4、固体废物</w:t>
            </w:r>
          </w:p>
          <w:p>
            <w:pPr>
              <w:spacing w:line="276" w:lineRule="auto"/>
              <w:ind w:firstLine="420"/>
              <w:rPr>
                <w:sz w:val="21"/>
                <w:szCs w:val="21"/>
              </w:rPr>
            </w:pPr>
            <w:r>
              <w:rPr>
                <w:rFonts w:hint="eastAsia"/>
                <w:sz w:val="21"/>
                <w:szCs w:val="21"/>
              </w:rPr>
              <w:t>一般工业固体废物贮存场所执行《一般工业固体废物贮存和填埋污染控制标准》（GB18599-2020）中规定</w:t>
            </w:r>
            <w:r>
              <w:rPr>
                <w:rFonts w:hint="eastAsia"/>
                <w:sz w:val="21"/>
                <w:szCs w:val="21"/>
                <w:lang w:eastAsia="zh-CN"/>
              </w:rPr>
              <w:t>，</w:t>
            </w:r>
            <w:r>
              <w:rPr>
                <w:rFonts w:hint="eastAsia"/>
                <w:sz w:val="21"/>
                <w:szCs w:val="21"/>
              </w:rPr>
              <w:t>一般工业固体废物</w:t>
            </w:r>
            <w:r>
              <w:rPr>
                <w:rFonts w:hint="eastAsia"/>
                <w:sz w:val="21"/>
                <w:szCs w:val="21"/>
                <w:lang w:eastAsia="zh-CN"/>
              </w:rPr>
              <w:t>台帐记录执行《一般工业固体废物管理台账制定指南（试行）》（生态环境部公告 2021年 第82号）中的规定</w:t>
            </w:r>
            <w:r>
              <w:rPr>
                <w:rFonts w:hint="eastAsia"/>
                <w:sz w:val="21"/>
                <w:szCs w:val="21"/>
              </w:rPr>
              <w:t>。</w:t>
            </w:r>
          </w:p>
          <w:p>
            <w:pPr>
              <w:spacing w:line="276" w:lineRule="auto"/>
              <w:ind w:firstLine="42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1" w:hRule="atLeast"/>
        </w:trPr>
        <w:tc>
          <w:tcPr>
            <w:tcW w:w="817" w:type="dxa"/>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总量</w:t>
            </w:r>
          </w:p>
          <w:p>
            <w:pPr>
              <w:spacing w:line="240" w:lineRule="auto"/>
              <w:ind w:firstLine="0" w:firstLineChars="0"/>
              <w:jc w:val="center"/>
              <w:rPr>
                <w:rFonts w:ascii="宋体" w:hAnsi="宋体" w:cs="宋体"/>
                <w:sz w:val="21"/>
                <w:szCs w:val="21"/>
              </w:rPr>
            </w:pPr>
            <w:r>
              <w:rPr>
                <w:rFonts w:hint="eastAsia" w:ascii="宋体" w:hAnsi="宋体" w:cs="宋体"/>
                <w:sz w:val="21"/>
                <w:szCs w:val="21"/>
              </w:rPr>
              <w:t>控制</w:t>
            </w:r>
          </w:p>
          <w:p>
            <w:pPr>
              <w:spacing w:line="240" w:lineRule="auto"/>
              <w:ind w:firstLine="0" w:firstLineChars="0"/>
              <w:jc w:val="center"/>
              <w:rPr>
                <w:rFonts w:ascii="宋体" w:hAnsi="宋体" w:cs="宋体"/>
                <w:sz w:val="21"/>
                <w:szCs w:val="21"/>
              </w:rPr>
            </w:pPr>
            <w:r>
              <w:rPr>
                <w:rFonts w:hint="eastAsia" w:ascii="宋体" w:hAnsi="宋体" w:cs="宋体"/>
                <w:sz w:val="21"/>
                <w:szCs w:val="21"/>
              </w:rPr>
              <w:t>指标</w:t>
            </w:r>
          </w:p>
        </w:tc>
        <w:tc>
          <w:tcPr>
            <w:tcW w:w="8243" w:type="dxa"/>
          </w:tcPr>
          <w:p>
            <w:pPr>
              <w:spacing w:line="240" w:lineRule="auto"/>
              <w:ind w:firstLine="0" w:firstLineChars="0"/>
              <w:rPr>
                <w:sz w:val="21"/>
                <w:szCs w:val="21"/>
              </w:rPr>
            </w:pPr>
          </w:p>
          <w:p>
            <w:pPr>
              <w:numPr>
                <w:ilvl w:val="0"/>
                <w:numId w:val="0"/>
              </w:numPr>
              <w:spacing w:line="240" w:lineRule="auto"/>
              <w:ind w:firstLine="420" w:firstLineChars="200"/>
              <w:rPr>
                <w:rFonts w:hint="eastAsia"/>
                <w:sz w:val="21"/>
                <w:szCs w:val="21"/>
                <w:lang w:val="en-US" w:eastAsia="zh-CN"/>
              </w:rPr>
            </w:pPr>
            <w:r>
              <w:rPr>
                <w:rFonts w:hint="eastAsia"/>
                <w:sz w:val="21"/>
                <w:szCs w:val="21"/>
                <w:lang w:eastAsia="zh-CN"/>
              </w:rPr>
              <w:t>本项目</w:t>
            </w:r>
            <w:r>
              <w:rPr>
                <w:rFonts w:hint="eastAsia"/>
                <w:sz w:val="21"/>
                <w:szCs w:val="21"/>
                <w:lang w:val="en-US" w:eastAsia="zh-CN"/>
              </w:rPr>
              <w:t>为化学品储存仓库，正常运营状态下基本不产生废水、废气等污染。</w:t>
            </w:r>
          </w:p>
          <w:p>
            <w:pPr>
              <w:numPr>
                <w:ilvl w:val="0"/>
                <w:numId w:val="0"/>
              </w:numPr>
              <w:spacing w:line="240" w:lineRule="auto"/>
              <w:ind w:firstLine="420" w:firstLineChars="200"/>
              <w:rPr>
                <w:rFonts w:hint="default"/>
                <w:sz w:val="21"/>
                <w:szCs w:val="21"/>
                <w:lang w:val="en-US" w:eastAsia="zh-CN"/>
              </w:rPr>
            </w:pPr>
            <w:r>
              <w:rPr>
                <w:rFonts w:hint="eastAsia"/>
                <w:sz w:val="21"/>
                <w:szCs w:val="21"/>
                <w:lang w:val="en-US" w:eastAsia="zh-CN"/>
              </w:rPr>
              <w:t>现有项目的总量控制指标如下：</w:t>
            </w:r>
          </w:p>
          <w:p>
            <w:pPr>
              <w:numPr>
                <w:ilvl w:val="0"/>
                <w:numId w:val="0"/>
              </w:numPr>
              <w:spacing w:line="240" w:lineRule="auto"/>
              <w:ind w:firstLine="420" w:firstLineChars="200"/>
              <w:rPr>
                <w:rFonts w:hint="eastAsia"/>
                <w:sz w:val="21"/>
                <w:szCs w:val="21"/>
                <w:lang w:eastAsia="zh-CN"/>
              </w:rPr>
            </w:pPr>
            <w:r>
              <w:rPr>
                <w:rFonts w:hint="eastAsia"/>
                <w:sz w:val="21"/>
                <w:szCs w:val="21"/>
                <w:lang w:eastAsia="zh-CN"/>
              </w:rPr>
              <w:t>根据湖南海利常德农药化工有限公司排污许可证（许可证编号：914307007225592012001P）与厂区2023年排污许可证执行报告，厂区核定总量指标如下所示：</w:t>
            </w:r>
          </w:p>
          <w:p>
            <w:pPr>
              <w:spacing w:line="276" w:lineRule="auto"/>
              <w:ind w:firstLine="420"/>
              <w:jc w:val="center"/>
              <w:rPr>
                <w:rFonts w:hint="default" w:eastAsia="宋体"/>
                <w:color w:val="000000" w:themeColor="text1"/>
                <w:sz w:val="21"/>
                <w:szCs w:val="21"/>
                <w:lang w:val="en-US"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表</w:t>
            </w:r>
            <w:r>
              <w:rPr>
                <w:rFonts w:hint="eastAsia"/>
                <w:b/>
                <w:bCs/>
                <w:color w:val="000000" w:themeColor="text1"/>
                <w:sz w:val="21"/>
                <w:szCs w:val="21"/>
                <w:lang w:val="en-US" w:eastAsia="zh-CN"/>
                <w14:textFill>
                  <w14:solidFill>
                    <w14:schemeClr w14:val="tx1"/>
                  </w14:solidFill>
                </w14:textFill>
              </w:rPr>
              <w:t xml:space="preserve">3-8  厂区核定总量控制指标 </w:t>
            </w:r>
            <w:r>
              <w:rPr>
                <w:rFonts w:hint="eastAsia"/>
                <w:color w:val="000000" w:themeColor="text1"/>
                <w:sz w:val="21"/>
                <w:szCs w:val="21"/>
                <w:lang w:val="en-US" w:eastAsia="zh-CN"/>
                <w14:textFill>
                  <w14:solidFill>
                    <w14:schemeClr w14:val="tx1"/>
                  </w14:solidFill>
                </w14:textFill>
              </w:rPr>
              <w:t xml:space="preserve"> </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1339"/>
              <w:gridCol w:w="1546"/>
              <w:gridCol w:w="2045"/>
              <w:gridCol w:w="1793"/>
              <w:gridCol w:w="79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42" w:hRule="atLeast"/>
                <w:jc w:val="center"/>
              </w:trPr>
              <w:tc>
                <w:tcPr>
                  <w:tcW w:w="1339"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内容类型</w:t>
                  </w:r>
                </w:p>
              </w:tc>
              <w:tc>
                <w:tcPr>
                  <w:tcW w:w="1546"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污染物</w:t>
                  </w:r>
                </w:p>
              </w:tc>
              <w:tc>
                <w:tcPr>
                  <w:tcW w:w="2045"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现有工程排放量</w:t>
                  </w:r>
                  <w:r>
                    <w:rPr>
                      <w:rFonts w:hint="eastAsia" w:cs="Times New Roman"/>
                      <w:sz w:val="21"/>
                      <w:szCs w:val="21"/>
                      <w:lang w:eastAsia="zh-CN"/>
                    </w:rPr>
                    <w:t>（</w:t>
                  </w:r>
                  <w:r>
                    <w:rPr>
                      <w:rFonts w:hint="eastAsia"/>
                      <w:b w:val="0"/>
                      <w:bCs w:val="0"/>
                      <w:color w:val="000000" w:themeColor="text1"/>
                      <w:sz w:val="21"/>
                      <w:szCs w:val="21"/>
                      <w:lang w:val="en-US" w:eastAsia="zh-CN"/>
                      <w14:textFill>
                        <w14:solidFill>
                          <w14:schemeClr w14:val="tx1"/>
                        </w14:solidFill>
                      </w14:textFill>
                    </w:rPr>
                    <w:t>t/a</w:t>
                  </w:r>
                  <w:r>
                    <w:rPr>
                      <w:rFonts w:hint="eastAsia" w:cs="Times New Roman"/>
                      <w:sz w:val="21"/>
                      <w:szCs w:val="21"/>
                      <w:lang w:eastAsia="zh-CN"/>
                    </w:rPr>
                    <w:t>）</w:t>
                  </w:r>
                </w:p>
              </w:tc>
              <w:tc>
                <w:tcPr>
                  <w:tcW w:w="1793"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核定的总</w:t>
                  </w:r>
                  <w:r>
                    <w:rPr>
                      <w:rFonts w:hint="eastAsia" w:ascii="Times New Roman" w:hAnsi="Times New Roman" w:eastAsia="宋体" w:cs="Times New Roman"/>
                      <w:sz w:val="21"/>
                      <w:szCs w:val="21"/>
                      <w:lang w:eastAsia="zh-CN"/>
                    </w:rPr>
                    <w:t>量</w:t>
                  </w:r>
                  <w:r>
                    <w:rPr>
                      <w:rFonts w:hint="eastAsia" w:cs="Times New Roman"/>
                      <w:sz w:val="21"/>
                      <w:szCs w:val="21"/>
                      <w:lang w:eastAsia="zh-CN"/>
                    </w:rPr>
                    <w:t>指标</w:t>
                  </w:r>
                  <w:r>
                    <w:rPr>
                      <w:rFonts w:hint="eastAsia"/>
                      <w:b w:val="0"/>
                      <w:bCs w:val="0"/>
                      <w:color w:val="000000" w:themeColor="text1"/>
                      <w:sz w:val="21"/>
                      <w:szCs w:val="21"/>
                      <w:lang w:val="en-US" w:eastAsia="zh-CN"/>
                      <w14:textFill>
                        <w14:solidFill>
                          <w14:schemeClr w14:val="tx1"/>
                        </w14:solidFill>
                      </w14:textFill>
                    </w:rPr>
                    <w:t>t/a</w:t>
                  </w:r>
                </w:p>
              </w:tc>
              <w:tc>
                <w:tcPr>
                  <w:tcW w:w="792"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10" w:hRule="atLeast"/>
                <w:jc w:val="center"/>
              </w:trPr>
              <w:tc>
                <w:tcPr>
                  <w:tcW w:w="1339" w:type="dxa"/>
                  <w:vMerge w:val="restart"/>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大气污染物</w:t>
                  </w:r>
                </w:p>
              </w:tc>
              <w:tc>
                <w:tcPr>
                  <w:tcW w:w="1546"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VOC</w:t>
                  </w:r>
                  <w:r>
                    <w:rPr>
                      <w:rFonts w:hint="eastAsia" w:cs="Times New Roman"/>
                      <w:sz w:val="21"/>
                      <w:szCs w:val="21"/>
                      <w:vertAlign w:val="subscript"/>
                      <w:lang w:val="en-US" w:eastAsia="zh-CN"/>
                    </w:rPr>
                    <w:t>S</w:t>
                  </w:r>
                </w:p>
              </w:tc>
              <w:tc>
                <w:tcPr>
                  <w:tcW w:w="204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1.03</w:t>
                  </w:r>
                </w:p>
              </w:tc>
              <w:tc>
                <w:tcPr>
                  <w:tcW w:w="179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51.1</w:t>
                  </w:r>
                </w:p>
              </w:tc>
              <w:tc>
                <w:tcPr>
                  <w:tcW w:w="792"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10" w:hRule="atLeast"/>
                <w:jc w:val="center"/>
              </w:trPr>
              <w:tc>
                <w:tcPr>
                  <w:tcW w:w="1339" w:type="dxa"/>
                  <w:vMerge w:val="continue"/>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p>
              </w:tc>
              <w:tc>
                <w:tcPr>
                  <w:tcW w:w="1546"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二氧化硫</w:t>
                  </w:r>
                </w:p>
              </w:tc>
              <w:tc>
                <w:tcPr>
                  <w:tcW w:w="204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2.65</w:t>
                  </w:r>
                </w:p>
              </w:tc>
              <w:tc>
                <w:tcPr>
                  <w:tcW w:w="179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144</w:t>
                  </w:r>
                </w:p>
              </w:tc>
              <w:tc>
                <w:tcPr>
                  <w:tcW w:w="792"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10" w:hRule="atLeast"/>
                <w:jc w:val="center"/>
              </w:trPr>
              <w:tc>
                <w:tcPr>
                  <w:tcW w:w="1339" w:type="dxa"/>
                  <w:vMerge w:val="continue"/>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p>
              </w:tc>
              <w:tc>
                <w:tcPr>
                  <w:tcW w:w="1546"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氮氧化物</w:t>
                  </w:r>
                </w:p>
              </w:tc>
              <w:tc>
                <w:tcPr>
                  <w:tcW w:w="204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9.76</w:t>
                  </w:r>
                </w:p>
              </w:tc>
              <w:tc>
                <w:tcPr>
                  <w:tcW w:w="179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144.2</w:t>
                  </w:r>
                </w:p>
              </w:tc>
              <w:tc>
                <w:tcPr>
                  <w:tcW w:w="792"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10" w:hRule="atLeast"/>
                <w:jc w:val="center"/>
              </w:trPr>
              <w:tc>
                <w:tcPr>
                  <w:tcW w:w="1339" w:type="dxa"/>
                  <w:vMerge w:val="restart"/>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水污染物</w:t>
                  </w:r>
                </w:p>
              </w:tc>
              <w:tc>
                <w:tcPr>
                  <w:tcW w:w="1546"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TP</w:t>
                  </w:r>
                </w:p>
              </w:tc>
              <w:tc>
                <w:tcPr>
                  <w:tcW w:w="2045" w:type="dxa"/>
                  <w:noWrap w:val="0"/>
                  <w:vAlign w:val="center"/>
                </w:tcPr>
                <w:p>
                  <w:pPr>
                    <w:spacing w:line="240" w:lineRule="auto"/>
                    <w:ind w:firstLine="0" w:firstLineChars="0"/>
                    <w:jc w:val="center"/>
                    <w:rPr>
                      <w:rFonts w:hint="default" w:cs="Times New Roman"/>
                      <w:sz w:val="21"/>
                      <w:szCs w:val="21"/>
                      <w:lang w:val="en-US" w:eastAsia="zh-CN"/>
                    </w:rPr>
                  </w:pPr>
                  <w:r>
                    <w:rPr>
                      <w:rFonts w:hint="eastAsia"/>
                      <w:sz w:val="21"/>
                      <w:szCs w:val="21"/>
                      <w:lang w:val="en-US" w:eastAsia="zh-CN"/>
                    </w:rPr>
                    <w:t>0.54</w:t>
                  </w:r>
                </w:p>
              </w:tc>
              <w:tc>
                <w:tcPr>
                  <w:tcW w:w="1793" w:type="dxa"/>
                  <w:noWrap w:val="0"/>
                  <w:vAlign w:val="center"/>
                </w:tcPr>
                <w:p>
                  <w:pPr>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8.89</w:t>
                  </w:r>
                </w:p>
              </w:tc>
              <w:tc>
                <w:tcPr>
                  <w:tcW w:w="792" w:type="dxa"/>
                  <w:noWrap w:val="0"/>
                  <w:vAlign w:val="center"/>
                </w:tcPr>
                <w:p>
                  <w:pPr>
                    <w:spacing w:line="240" w:lineRule="auto"/>
                    <w:ind w:firstLine="0" w:firstLineChars="0"/>
                    <w:jc w:val="center"/>
                    <w:rPr>
                      <w:rFonts w:hint="default"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339" w:type="dxa"/>
                  <w:vMerge w:val="continue"/>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p>
              </w:tc>
              <w:tc>
                <w:tcPr>
                  <w:tcW w:w="1546"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COD</w:t>
                  </w:r>
                </w:p>
              </w:tc>
              <w:tc>
                <w:tcPr>
                  <w:tcW w:w="204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40.90</w:t>
                  </w:r>
                </w:p>
              </w:tc>
              <w:tc>
                <w:tcPr>
                  <w:tcW w:w="179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135.75</w:t>
                  </w:r>
                </w:p>
              </w:tc>
              <w:tc>
                <w:tcPr>
                  <w:tcW w:w="792"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10" w:hRule="atLeast"/>
                <w:jc w:val="center"/>
              </w:trPr>
              <w:tc>
                <w:tcPr>
                  <w:tcW w:w="1339" w:type="dxa"/>
                  <w:vMerge w:val="continue"/>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p>
              </w:tc>
              <w:tc>
                <w:tcPr>
                  <w:tcW w:w="1546"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氨氮</w:t>
                  </w:r>
                </w:p>
              </w:tc>
              <w:tc>
                <w:tcPr>
                  <w:tcW w:w="204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1.20</w:t>
                  </w:r>
                </w:p>
              </w:tc>
              <w:tc>
                <w:tcPr>
                  <w:tcW w:w="179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34.4</w:t>
                  </w:r>
                </w:p>
              </w:tc>
              <w:tc>
                <w:tcPr>
                  <w:tcW w:w="792"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10" w:hRule="atLeast"/>
                <w:jc w:val="center"/>
              </w:trPr>
              <w:tc>
                <w:tcPr>
                  <w:tcW w:w="1339" w:type="dxa"/>
                  <w:vMerge w:val="continue"/>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p>
              </w:tc>
              <w:tc>
                <w:tcPr>
                  <w:tcW w:w="1546"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TN</w:t>
                  </w:r>
                </w:p>
              </w:tc>
              <w:tc>
                <w:tcPr>
                  <w:tcW w:w="204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17.05</w:t>
                  </w:r>
                </w:p>
              </w:tc>
              <w:tc>
                <w:tcPr>
                  <w:tcW w:w="1793" w:type="dxa"/>
                  <w:noWrap w:val="0"/>
                  <w:vAlign w:val="center"/>
                </w:tcPr>
                <w:p>
                  <w:pPr>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88.95</w:t>
                  </w:r>
                </w:p>
              </w:tc>
              <w:tc>
                <w:tcPr>
                  <w:tcW w:w="792" w:type="dxa"/>
                  <w:noWrap w:val="0"/>
                  <w:vAlign w:val="center"/>
                </w:tcPr>
                <w:p>
                  <w:pPr>
                    <w:spacing w:line="240" w:lineRule="auto"/>
                    <w:ind w:firstLine="0" w:firstLineChars="0"/>
                    <w:jc w:val="center"/>
                    <w:rPr>
                      <w:rFonts w:hint="eastAsia" w:cs="Times New Roman"/>
                      <w:sz w:val="21"/>
                      <w:szCs w:val="21"/>
                      <w:lang w:val="en-US" w:eastAsia="zh-CN"/>
                    </w:rPr>
                  </w:pPr>
                </w:p>
              </w:tc>
            </w:tr>
          </w:tbl>
          <w:p>
            <w:pPr>
              <w:numPr>
                <w:ilvl w:val="0"/>
                <w:numId w:val="0"/>
              </w:numPr>
              <w:spacing w:line="240" w:lineRule="auto"/>
              <w:ind w:firstLine="420" w:firstLineChars="200"/>
              <w:rPr>
                <w:rFonts w:hint="eastAsia" w:eastAsia="宋体"/>
                <w:sz w:val="21"/>
                <w:szCs w:val="21"/>
                <w:u w:val="single"/>
                <w:lang w:eastAsia="zh-CN"/>
              </w:rPr>
            </w:pPr>
            <w:r>
              <w:rPr>
                <w:rFonts w:hint="eastAsia"/>
                <w:sz w:val="21"/>
                <w:szCs w:val="21"/>
                <w:u w:val="single"/>
                <w:lang w:eastAsia="zh-CN"/>
              </w:rPr>
              <w:t>本项目为规范储存丙类液体化学品仓库，</w:t>
            </w:r>
            <w:r>
              <w:rPr>
                <w:rFonts w:hint="eastAsia"/>
                <w:sz w:val="21"/>
                <w:szCs w:val="21"/>
                <w:u w:val="single"/>
                <w:lang w:val="en-US" w:eastAsia="zh-CN"/>
              </w:rPr>
              <w:t>不增加储存量，</w:t>
            </w:r>
            <w:r>
              <w:rPr>
                <w:rFonts w:hint="eastAsia"/>
                <w:sz w:val="21"/>
                <w:szCs w:val="21"/>
                <w:u w:val="single"/>
                <w:lang w:eastAsia="zh-CN"/>
              </w:rPr>
              <w:t>产生的少量挥发性有机物经负压收集后进入焚烧炉进行燃烧处理，不新增挥发性有机物的排放量，另外从上表看，本项目挥发性有机物的总量指标还有较大剩余容量，因此本项目的</w:t>
            </w:r>
            <w:r>
              <w:rPr>
                <w:rFonts w:hint="eastAsia"/>
                <w:sz w:val="21"/>
                <w:szCs w:val="21"/>
                <w:u w:val="single"/>
                <w:lang w:val="en-US" w:eastAsia="zh-CN"/>
              </w:rPr>
              <w:t>不增设挥发性有机物等的</w:t>
            </w:r>
            <w:r>
              <w:rPr>
                <w:rFonts w:hint="eastAsia"/>
                <w:sz w:val="21"/>
                <w:szCs w:val="21"/>
                <w:u w:val="single"/>
              </w:rPr>
              <w:t>总量控制指标</w:t>
            </w:r>
            <w:r>
              <w:rPr>
                <w:rFonts w:hint="eastAsia"/>
                <w:sz w:val="21"/>
                <w:szCs w:val="21"/>
                <w:u w:val="single"/>
                <w:lang w:eastAsia="zh-CN"/>
              </w:rPr>
              <w:t>。</w:t>
            </w:r>
          </w:p>
          <w:p>
            <w:pPr>
              <w:spacing w:line="240" w:lineRule="auto"/>
              <w:ind w:firstLine="1050" w:firstLineChars="500"/>
              <w:rPr>
                <w:sz w:val="21"/>
                <w:szCs w:val="21"/>
              </w:rPr>
            </w:pPr>
          </w:p>
          <w:p>
            <w:pPr>
              <w:spacing w:line="240" w:lineRule="auto"/>
              <w:ind w:firstLine="1050" w:firstLineChars="500"/>
              <w:rPr>
                <w:sz w:val="21"/>
                <w:szCs w:val="21"/>
              </w:rPr>
            </w:pPr>
          </w:p>
          <w:p>
            <w:pPr>
              <w:spacing w:line="240" w:lineRule="auto"/>
              <w:ind w:firstLine="1050" w:firstLineChars="500"/>
              <w:rPr>
                <w:sz w:val="21"/>
                <w:szCs w:val="21"/>
              </w:rPr>
            </w:pPr>
          </w:p>
          <w:p>
            <w:pPr>
              <w:spacing w:line="240" w:lineRule="auto"/>
              <w:ind w:left="0" w:leftChars="0" w:firstLine="0" w:firstLineChars="0"/>
              <w:rPr>
                <w:sz w:val="21"/>
                <w:szCs w:val="21"/>
              </w:rPr>
            </w:pPr>
          </w:p>
        </w:tc>
      </w:tr>
    </w:tbl>
    <w:p>
      <w:pPr>
        <w:pStyle w:val="2"/>
        <w:jc w:val="center"/>
        <w:rPr>
          <w:rFonts w:ascii="黑体" w:hAnsi="黑体" w:eastAsia="黑体"/>
          <w:b w:val="0"/>
          <w:bCs w:val="0"/>
          <w:sz w:val="30"/>
          <w:szCs w:val="30"/>
        </w:rPr>
        <w:sectPr>
          <w:pgSz w:w="11906" w:h="16838"/>
          <w:pgMar w:top="1701" w:right="1531" w:bottom="1701" w:left="1531" w:header="851" w:footer="992" w:gutter="0"/>
          <w:pgNumType w:fmt="numberInDash"/>
          <w:cols w:space="425" w:num="1"/>
          <w:docGrid w:type="lines" w:linePitch="312" w:charSpace="0"/>
        </w:sectPr>
      </w:pPr>
    </w:p>
    <w:p>
      <w:pPr>
        <w:pStyle w:val="2"/>
        <w:jc w:val="center"/>
        <w:rPr>
          <w:rFonts w:ascii="黑体" w:hAnsi="黑体" w:eastAsia="黑体"/>
          <w:b w:val="0"/>
          <w:bCs w:val="0"/>
          <w:sz w:val="30"/>
          <w:szCs w:val="30"/>
        </w:rPr>
      </w:pPr>
      <w:r>
        <w:rPr>
          <w:rFonts w:hint="eastAsia" w:ascii="黑体" w:hAnsi="黑体" w:eastAsia="黑体"/>
          <w:b w:val="0"/>
          <w:bCs w:val="0"/>
          <w:sz w:val="30"/>
          <w:szCs w:val="30"/>
        </w:rPr>
        <w:t>四、主要环境影响和保护措施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1" w:hRule="atLeast"/>
        </w:trPr>
        <w:tc>
          <w:tcPr>
            <w:tcW w:w="817" w:type="dxa"/>
            <w:vAlign w:val="center"/>
          </w:tcPr>
          <w:p>
            <w:pPr>
              <w:pStyle w:val="13"/>
              <w:spacing w:before="0" w:beforeAutospacing="0" w:after="0" w:afterAutospacing="0"/>
              <w:jc w:val="center"/>
              <w:rPr>
                <w:rFonts w:cs="宋体"/>
                <w:sz w:val="21"/>
                <w:szCs w:val="21"/>
              </w:rPr>
            </w:pPr>
            <w:r>
              <w:rPr>
                <w:rFonts w:hint="eastAsia" w:cs="宋体"/>
                <w:sz w:val="21"/>
                <w:szCs w:val="21"/>
              </w:rPr>
              <w:t>施工</w:t>
            </w:r>
          </w:p>
          <w:p>
            <w:pPr>
              <w:pStyle w:val="13"/>
              <w:spacing w:before="0" w:beforeAutospacing="0" w:after="0" w:afterAutospacing="0"/>
              <w:jc w:val="center"/>
              <w:rPr>
                <w:rFonts w:cs="宋体"/>
                <w:sz w:val="21"/>
                <w:szCs w:val="21"/>
              </w:rPr>
            </w:pPr>
            <w:r>
              <w:rPr>
                <w:rFonts w:hint="eastAsia" w:cs="宋体"/>
                <w:sz w:val="21"/>
                <w:szCs w:val="21"/>
              </w:rPr>
              <w:t>期环</w:t>
            </w:r>
          </w:p>
          <w:p>
            <w:pPr>
              <w:pStyle w:val="13"/>
              <w:spacing w:before="0" w:beforeAutospacing="0" w:after="0" w:afterAutospacing="0"/>
              <w:jc w:val="center"/>
              <w:rPr>
                <w:rFonts w:cs="宋体"/>
                <w:sz w:val="21"/>
                <w:szCs w:val="21"/>
              </w:rPr>
            </w:pPr>
            <w:r>
              <w:rPr>
                <w:rFonts w:hint="eastAsia" w:cs="宋体"/>
                <w:sz w:val="21"/>
                <w:szCs w:val="21"/>
              </w:rPr>
              <w:t>境保</w:t>
            </w:r>
          </w:p>
          <w:p>
            <w:pPr>
              <w:pStyle w:val="13"/>
              <w:spacing w:before="0" w:beforeAutospacing="0" w:after="0" w:afterAutospacing="0"/>
              <w:jc w:val="center"/>
              <w:rPr>
                <w:rFonts w:cs="宋体"/>
                <w:sz w:val="21"/>
                <w:szCs w:val="21"/>
              </w:rPr>
            </w:pPr>
            <w:r>
              <w:rPr>
                <w:rFonts w:hint="eastAsia" w:cs="宋体"/>
                <w:sz w:val="21"/>
                <w:szCs w:val="21"/>
              </w:rPr>
              <w:t>护措</w:t>
            </w:r>
          </w:p>
          <w:p>
            <w:pPr>
              <w:spacing w:line="240" w:lineRule="auto"/>
              <w:ind w:firstLine="0" w:firstLineChars="0"/>
              <w:jc w:val="center"/>
              <w:rPr>
                <w:sz w:val="21"/>
                <w:szCs w:val="21"/>
              </w:rPr>
            </w:pPr>
            <w:r>
              <w:rPr>
                <w:rFonts w:hint="eastAsia" w:cs="宋体"/>
                <w:sz w:val="21"/>
                <w:szCs w:val="21"/>
              </w:rPr>
              <w:t>施</w:t>
            </w:r>
          </w:p>
        </w:tc>
        <w:tc>
          <w:tcPr>
            <w:tcW w:w="8243" w:type="dxa"/>
          </w:tcPr>
          <w:p>
            <w:pPr>
              <w:spacing w:line="276" w:lineRule="auto"/>
              <w:ind w:left="0" w:leftChars="0" w:firstLine="0" w:firstLineChars="0"/>
              <w:rPr>
                <w:rFonts w:hint="eastAsia"/>
                <w:sz w:val="21"/>
                <w:szCs w:val="21"/>
              </w:rPr>
            </w:pPr>
            <w:r>
              <w:rPr>
                <w:rFonts w:hint="eastAsia"/>
                <w:b/>
                <w:bCs/>
                <w:sz w:val="21"/>
                <w:szCs w:val="21"/>
              </w:rPr>
              <w:t>4.1 施工期环境保护措施</w:t>
            </w:r>
            <w:r>
              <w:rPr>
                <w:rFonts w:hint="eastAsia"/>
                <w:sz w:val="21"/>
                <w:szCs w:val="21"/>
              </w:rPr>
              <w:t xml:space="preserve"> </w:t>
            </w:r>
          </w:p>
          <w:p>
            <w:pPr>
              <w:spacing w:line="276" w:lineRule="auto"/>
              <w:ind w:left="0" w:leftChars="0" w:firstLine="0" w:firstLineChars="0"/>
              <w:rPr>
                <w:rFonts w:hint="eastAsia"/>
                <w:b/>
                <w:bCs/>
                <w:sz w:val="21"/>
                <w:szCs w:val="21"/>
              </w:rPr>
            </w:pPr>
            <w:r>
              <w:rPr>
                <w:rFonts w:hint="eastAsia"/>
                <w:b/>
                <w:bCs/>
                <w:sz w:val="21"/>
                <w:szCs w:val="21"/>
              </w:rPr>
              <w:t>4.1.1 施工期废气防治措施</w:t>
            </w:r>
          </w:p>
          <w:p>
            <w:pPr>
              <w:spacing w:line="276" w:lineRule="auto"/>
              <w:ind w:left="0" w:leftChars="0" w:firstLine="0" w:firstLineChars="0"/>
              <w:rPr>
                <w:rFonts w:hint="eastAsia"/>
                <w:sz w:val="21"/>
                <w:szCs w:val="21"/>
              </w:rPr>
            </w:pPr>
            <w:r>
              <w:rPr>
                <w:rFonts w:hint="eastAsia"/>
                <w:sz w:val="21"/>
                <w:szCs w:val="21"/>
              </w:rPr>
              <w:t xml:space="preserve"> </w:t>
            </w:r>
            <w:r>
              <w:rPr>
                <w:rFonts w:hint="eastAsia"/>
                <w:sz w:val="21"/>
                <w:szCs w:val="21"/>
                <w:lang w:val="en-US" w:eastAsia="zh-CN"/>
              </w:rPr>
              <w:t xml:space="preserve">  </w:t>
            </w:r>
            <w:r>
              <w:rPr>
                <w:rFonts w:hint="eastAsia"/>
                <w:sz w:val="21"/>
                <w:szCs w:val="21"/>
              </w:rPr>
              <w:t xml:space="preserve">项目施工期对空气环境的影响主要为施工过程中产生的扬尘和机械尾气。 </w:t>
            </w:r>
          </w:p>
          <w:p>
            <w:pPr>
              <w:numPr>
                <w:ilvl w:val="0"/>
                <w:numId w:val="6"/>
              </w:numPr>
              <w:spacing w:line="276" w:lineRule="auto"/>
              <w:ind w:left="0" w:leftChars="0" w:firstLine="210" w:firstLineChars="100"/>
              <w:rPr>
                <w:rFonts w:hint="eastAsia"/>
                <w:sz w:val="21"/>
                <w:szCs w:val="21"/>
              </w:rPr>
            </w:pPr>
            <w:r>
              <w:rPr>
                <w:rFonts w:hint="eastAsia"/>
                <w:sz w:val="21"/>
                <w:szCs w:val="21"/>
              </w:rPr>
              <w:t xml:space="preserve">施工过程产生的扬尘 </w:t>
            </w:r>
          </w:p>
          <w:p>
            <w:pPr>
              <w:numPr>
                <w:ilvl w:val="0"/>
                <w:numId w:val="0"/>
              </w:numPr>
              <w:spacing w:line="276" w:lineRule="auto"/>
              <w:ind w:firstLine="420" w:firstLineChars="200"/>
              <w:rPr>
                <w:rFonts w:hint="eastAsia"/>
                <w:sz w:val="21"/>
                <w:szCs w:val="21"/>
              </w:rPr>
            </w:pPr>
            <w:r>
              <w:rPr>
                <w:rFonts w:hint="eastAsia"/>
                <w:sz w:val="21"/>
                <w:szCs w:val="21"/>
              </w:rPr>
              <w:t>施工过程产生的扬尘主要源自</w:t>
            </w:r>
            <w:r>
              <w:rPr>
                <w:rFonts w:hint="eastAsia"/>
                <w:sz w:val="21"/>
                <w:szCs w:val="21"/>
                <w:lang w:eastAsia="zh-CN"/>
              </w:rPr>
              <w:t>现有仓库的拆除、</w:t>
            </w:r>
            <w:r>
              <w:rPr>
                <w:rFonts w:hint="eastAsia"/>
                <w:sz w:val="21"/>
                <w:szCs w:val="21"/>
              </w:rPr>
              <w:t>场地清理平整、基础开挖、地面防渗、渣土堆放、结构施工、建筑垃圾、建筑材料的堆存和运输等环节</w:t>
            </w:r>
            <w:r>
              <w:rPr>
                <w:rFonts w:hint="eastAsia"/>
                <w:sz w:val="21"/>
                <w:szCs w:val="21"/>
                <w:lang w:eastAsia="zh-CN"/>
              </w:rPr>
              <w:t>，</w:t>
            </w:r>
            <w:r>
              <w:rPr>
                <w:rFonts w:hint="eastAsia"/>
                <w:sz w:val="21"/>
                <w:szCs w:val="21"/>
              </w:rPr>
              <w:t>主要污染物为</w:t>
            </w:r>
            <w:r>
              <w:rPr>
                <w:rFonts w:hint="eastAsia"/>
                <w:sz w:val="21"/>
                <w:szCs w:val="21"/>
                <w:lang w:val="en-US" w:eastAsia="zh-CN"/>
              </w:rPr>
              <w:t>颗粒物</w:t>
            </w:r>
            <w:r>
              <w:rPr>
                <w:rFonts w:hint="eastAsia"/>
                <w:sz w:val="21"/>
                <w:szCs w:val="21"/>
              </w:rPr>
              <w:t>，无组织排放</w:t>
            </w:r>
            <w:r>
              <w:rPr>
                <w:rFonts w:hint="eastAsia"/>
                <w:sz w:val="21"/>
                <w:szCs w:val="21"/>
                <w:lang w:eastAsia="zh-CN"/>
              </w:rPr>
              <w:t>。</w:t>
            </w:r>
            <w:r>
              <w:rPr>
                <w:rFonts w:hint="eastAsia"/>
                <w:sz w:val="21"/>
                <w:szCs w:val="21"/>
              </w:rPr>
              <w:t>施工扬尘产生强度与施工方式、气象条件有关，一般风大时产生扬尘较多，影响</w:t>
            </w:r>
            <w:r>
              <w:rPr>
                <w:rFonts w:hint="eastAsia"/>
                <w:sz w:val="21"/>
                <w:szCs w:val="21"/>
                <w:lang w:val="en-US" w:eastAsia="zh-CN"/>
              </w:rPr>
              <w:t>范围</w:t>
            </w:r>
            <w:r>
              <w:rPr>
                <w:rFonts w:hint="eastAsia"/>
                <w:sz w:val="21"/>
                <w:szCs w:val="21"/>
              </w:rPr>
              <w:t>较大。施工扬尘影响面主要集中在表土临时堆场及临时施工区100~150m范围内。类比同类工程，施工扬尘产生浓度较高的地点是场地平整及表土剥离过程中的土料装卸过程（约20mg/m</w:t>
            </w:r>
            <w:r>
              <w:rPr>
                <w:rFonts w:hint="eastAsia"/>
                <w:sz w:val="21"/>
                <w:szCs w:val="21"/>
                <w:vertAlign w:val="superscript"/>
              </w:rPr>
              <w:t>3</w:t>
            </w:r>
            <w:r>
              <w:rPr>
                <w:rFonts w:hint="eastAsia"/>
                <w:sz w:val="21"/>
                <w:szCs w:val="21"/>
              </w:rPr>
              <w:t>-50mg/m</w:t>
            </w:r>
            <w:r>
              <w:rPr>
                <w:rFonts w:hint="eastAsia"/>
                <w:sz w:val="21"/>
                <w:szCs w:val="21"/>
                <w:vertAlign w:val="superscript"/>
              </w:rPr>
              <w:t>3</w:t>
            </w:r>
            <w:r>
              <w:rPr>
                <w:rFonts w:hint="eastAsia"/>
                <w:sz w:val="21"/>
                <w:szCs w:val="21"/>
              </w:rPr>
              <w:t>）；相关测试结果表明，在风速为2.4m/s时，建筑施工扬尘</w:t>
            </w:r>
            <w:r>
              <w:rPr>
                <w:rFonts w:hint="eastAsia"/>
                <w:sz w:val="21"/>
                <w:szCs w:val="21"/>
                <w:lang w:val="en-US" w:eastAsia="zh-CN"/>
              </w:rPr>
              <w:t>污染</w:t>
            </w:r>
            <w:r>
              <w:rPr>
                <w:rFonts w:hint="eastAsia"/>
                <w:sz w:val="21"/>
                <w:szCs w:val="21"/>
              </w:rPr>
              <w:t>较严重；施工及运输车辆引起的扬尘对道路两侧30m范围以内影响较大，</w:t>
            </w:r>
            <w:r>
              <w:rPr>
                <w:rFonts w:hint="eastAsia"/>
                <w:sz w:val="21"/>
                <w:szCs w:val="21"/>
                <w:lang w:val="en-US" w:eastAsia="zh-CN"/>
              </w:rPr>
              <w:t>颗粒物</w:t>
            </w:r>
            <w:r>
              <w:rPr>
                <w:rFonts w:hint="eastAsia"/>
                <w:sz w:val="21"/>
                <w:szCs w:val="21"/>
              </w:rPr>
              <w:t>浓度可达10mg/m</w:t>
            </w:r>
            <w:r>
              <w:rPr>
                <w:rFonts w:hint="eastAsia"/>
                <w:sz w:val="21"/>
                <w:szCs w:val="21"/>
                <w:vertAlign w:val="superscript"/>
              </w:rPr>
              <w:t>3</w:t>
            </w:r>
            <w:r>
              <w:rPr>
                <w:rFonts w:hint="eastAsia"/>
                <w:sz w:val="21"/>
                <w:szCs w:val="21"/>
              </w:rPr>
              <w:t xml:space="preserve">以上。扬尘使局部区域环境空气中含尘量增加，一般都是小范围的局部影响，而且属间断性污染，影响程度和范围都不大。施工单位必须采取环保措施以降低对环境的影响。 </w:t>
            </w:r>
          </w:p>
          <w:p>
            <w:pPr>
              <w:numPr>
                <w:ilvl w:val="0"/>
                <w:numId w:val="0"/>
              </w:numPr>
              <w:spacing w:line="276" w:lineRule="auto"/>
              <w:ind w:firstLine="420" w:firstLineChars="200"/>
              <w:rPr>
                <w:rFonts w:hint="eastAsia"/>
                <w:sz w:val="21"/>
                <w:szCs w:val="21"/>
              </w:rPr>
            </w:pPr>
            <w:r>
              <w:rPr>
                <w:rFonts w:hint="eastAsia"/>
                <w:sz w:val="21"/>
                <w:szCs w:val="21"/>
              </w:rPr>
              <w:t xml:space="preserve">为减少施工扬尘对周围环境的影响，根据国家环保部和建设部《关于有效控制城市 扬尘污染的通知》精神，参照《防治城市扬尘污染技术规范》（HJ/T393-2007）以及常德市《2024年度建筑工程扬尘防治和绿色施工专项行动工作方案》，施工单位应采取以 下措施： </w:t>
            </w:r>
          </w:p>
          <w:p>
            <w:pPr>
              <w:numPr>
                <w:ilvl w:val="0"/>
                <w:numId w:val="0"/>
              </w:numPr>
              <w:spacing w:line="276" w:lineRule="auto"/>
              <w:ind w:firstLine="420" w:firstLineChars="200"/>
              <w:rPr>
                <w:rFonts w:hint="eastAsia"/>
                <w:sz w:val="21"/>
                <w:szCs w:val="21"/>
              </w:rPr>
            </w:pPr>
            <w:r>
              <w:rPr>
                <w:rFonts w:hint="eastAsia"/>
                <w:sz w:val="21"/>
                <w:szCs w:val="21"/>
              </w:rPr>
              <w:t>①围挡、围栏及防溢座的设置，设置高度1.8米以上的围挡，封闭施工；</w:t>
            </w:r>
          </w:p>
          <w:p>
            <w:pPr>
              <w:numPr>
                <w:ilvl w:val="0"/>
                <w:numId w:val="0"/>
              </w:numPr>
              <w:spacing w:line="276" w:lineRule="auto"/>
              <w:ind w:firstLine="420" w:firstLineChars="200"/>
              <w:rPr>
                <w:rFonts w:hint="eastAsia"/>
                <w:sz w:val="21"/>
                <w:szCs w:val="21"/>
              </w:rPr>
            </w:pPr>
            <w:r>
              <w:rPr>
                <w:rFonts w:hint="eastAsia"/>
                <w:sz w:val="21"/>
                <w:szCs w:val="21"/>
              </w:rPr>
              <w:t>②施工工地内的裸露土地超过</w:t>
            </w:r>
            <w:r>
              <w:rPr>
                <w:rFonts w:hint="eastAsia"/>
                <w:sz w:val="21"/>
                <w:szCs w:val="21"/>
                <w:lang w:val="en-US" w:eastAsia="zh-CN"/>
              </w:rPr>
              <w:t>48</w:t>
            </w:r>
            <w:r>
              <w:rPr>
                <w:rFonts w:hint="eastAsia"/>
                <w:sz w:val="21"/>
                <w:szCs w:val="21"/>
              </w:rPr>
              <w:t>小时不能连续施工的，采取覆盖防尘布、防尘网或者喷淋、洒水等其他有效防尘措施；</w:t>
            </w:r>
          </w:p>
          <w:p>
            <w:pPr>
              <w:numPr>
                <w:ilvl w:val="0"/>
                <w:numId w:val="0"/>
              </w:numPr>
              <w:spacing w:line="276" w:lineRule="auto"/>
              <w:ind w:firstLine="420" w:firstLineChars="200"/>
              <w:rPr>
                <w:rFonts w:hint="eastAsia"/>
                <w:sz w:val="21"/>
                <w:szCs w:val="21"/>
              </w:rPr>
            </w:pPr>
            <w:r>
              <w:rPr>
                <w:rFonts w:hint="eastAsia"/>
                <w:sz w:val="21"/>
                <w:szCs w:val="21"/>
              </w:rPr>
              <w:t>③散装物料集中分区、分类存放，并根据易产生扬尘污染程度，分别采取密闭存放 或者覆盖等其他有效防尘措施，禁止抛掷、扬撒和在围挡外堆放；</w:t>
            </w:r>
          </w:p>
          <w:p>
            <w:pPr>
              <w:numPr>
                <w:ilvl w:val="0"/>
                <w:numId w:val="0"/>
              </w:numPr>
              <w:spacing w:line="276" w:lineRule="auto"/>
              <w:ind w:firstLine="420" w:firstLineChars="200"/>
              <w:rPr>
                <w:rFonts w:hint="eastAsia"/>
                <w:sz w:val="21"/>
                <w:szCs w:val="21"/>
              </w:rPr>
            </w:pPr>
            <w:r>
              <w:rPr>
                <w:rFonts w:hint="eastAsia"/>
                <w:sz w:val="21"/>
                <w:szCs w:val="21"/>
              </w:rPr>
              <w:t>④工地车辆出口配备车辆冲洗装置和污水收集设施，并保持正常使用，对出场车辆 冲洗干净，禁止带泥上路；</w:t>
            </w:r>
          </w:p>
          <w:p>
            <w:pPr>
              <w:numPr>
                <w:ilvl w:val="0"/>
                <w:numId w:val="0"/>
              </w:numPr>
              <w:spacing w:line="276" w:lineRule="auto"/>
              <w:ind w:firstLine="420" w:firstLineChars="200"/>
              <w:rPr>
                <w:rFonts w:hint="eastAsia"/>
                <w:sz w:val="21"/>
                <w:szCs w:val="21"/>
              </w:rPr>
            </w:pPr>
            <w:r>
              <w:rPr>
                <w:rFonts w:hint="eastAsia"/>
                <w:sz w:val="21"/>
                <w:szCs w:val="21"/>
              </w:rPr>
              <w:t>⑤工地出入口、材料堆放区和主要道路等进行硬化并辅以喷淋、洒水等措施；</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rPr>
            </w:pPr>
            <w:r>
              <w:rPr>
                <w:rFonts w:hint="eastAsia"/>
                <w:sz w:val="21"/>
                <w:szCs w:val="21"/>
              </w:rPr>
              <w:t>⑥施工现场进行切割、钻孔、凿槽等易产生粉尘的作业时，采取喷淋、洒水等措施；</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rPr>
              <w:t>⑦按照市人民政府的规定使用预拌混凝土和预拌砂浆；环评要求运输车辆保持清洁，不得沿途洒落。同时材料运输车辆应避开人车流量高峰时间，避免给沿线地区增加</w:t>
            </w:r>
            <w:r>
              <w:rPr>
                <w:rFonts w:hint="eastAsia"/>
                <w:sz w:val="21"/>
                <w:szCs w:val="21"/>
                <w:lang w:eastAsia="zh-CN"/>
              </w:rPr>
              <w:t xml:space="preserve">。车流量、造成交通堵塞；尽量不进入城区，做到文明施工。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 xml:space="preserve">（2）机械尾气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 xml:space="preserve">施工机械和车辆在作业过程会排放少量尾气，尾气中主要污染物有CO、NOX等。本项目施工规模不大，施工机械和运输车辆排放的尾气较少，在建设单位严格选择尾气达标排放的机械设备的情况下，机械废气经大气扩散后，对环境影响较小。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综上，项目施工期产生的施工扬尘通过采取有效措施进行防治后，对空气环境影响</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 xml:space="preserve">不大，机械尾气产生量较少，经扩散后，对环境影响甚微。 </w:t>
            </w:r>
          </w:p>
          <w:p>
            <w:pPr>
              <w:spacing w:line="276" w:lineRule="auto"/>
              <w:ind w:left="0" w:leftChars="0" w:firstLine="0" w:firstLineChars="0"/>
              <w:rPr>
                <w:rFonts w:hint="eastAsia"/>
                <w:b/>
                <w:bCs/>
                <w:sz w:val="21"/>
                <w:szCs w:val="21"/>
                <w:lang w:eastAsia="zh-CN"/>
              </w:rPr>
            </w:pPr>
            <w:r>
              <w:rPr>
                <w:rFonts w:hint="eastAsia"/>
                <w:b/>
                <w:bCs/>
                <w:sz w:val="21"/>
                <w:szCs w:val="21"/>
                <w:lang w:eastAsia="zh-CN"/>
              </w:rPr>
              <w:t xml:space="preserve">4.1.2 施工期废水防治措施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default"/>
                <w:sz w:val="21"/>
                <w:szCs w:val="21"/>
                <w:lang w:val="en-US" w:eastAsia="zh-CN"/>
              </w:rPr>
            </w:pPr>
            <w:r>
              <w:rPr>
                <w:rFonts w:hint="eastAsia"/>
                <w:sz w:val="21"/>
                <w:szCs w:val="21"/>
                <w:lang w:eastAsia="zh-CN"/>
              </w:rPr>
              <w:t>生活污水：项目施工期施工人数约为每日</w:t>
            </w:r>
            <w:r>
              <w:rPr>
                <w:rFonts w:hint="eastAsia"/>
                <w:sz w:val="21"/>
                <w:szCs w:val="21"/>
                <w:lang w:val="en-US" w:eastAsia="zh-CN"/>
              </w:rPr>
              <w:t>20</w:t>
            </w:r>
            <w:r>
              <w:rPr>
                <w:rFonts w:hint="eastAsia"/>
                <w:sz w:val="21"/>
                <w:szCs w:val="21"/>
                <w:lang w:eastAsia="zh-CN"/>
              </w:rPr>
              <w:t>人，项目施工期设计为</w:t>
            </w:r>
            <w:r>
              <w:rPr>
                <w:rFonts w:hint="eastAsia"/>
                <w:sz w:val="21"/>
                <w:szCs w:val="21"/>
                <w:lang w:val="en-US" w:eastAsia="zh-CN"/>
              </w:rPr>
              <w:t>14</w:t>
            </w:r>
            <w:r>
              <w:rPr>
                <w:rFonts w:hint="eastAsia"/>
                <w:sz w:val="21"/>
                <w:szCs w:val="21"/>
                <w:lang w:eastAsia="zh-CN"/>
              </w:rPr>
              <w:t>个月，施工人员生活用水按每人20L/d，则用水量为0.</w:t>
            </w:r>
            <w:r>
              <w:rPr>
                <w:rFonts w:hint="eastAsia"/>
                <w:sz w:val="21"/>
                <w:szCs w:val="21"/>
                <w:lang w:val="en-US" w:eastAsia="zh-CN"/>
              </w:rPr>
              <w:t>4</w:t>
            </w:r>
            <w:r>
              <w:rPr>
                <w:rFonts w:hint="eastAsia"/>
                <w:sz w:val="21"/>
                <w:szCs w:val="21"/>
                <w:lang w:eastAsia="zh-CN"/>
              </w:rPr>
              <w:t>m</w:t>
            </w:r>
            <w:r>
              <w:rPr>
                <w:rFonts w:hint="eastAsia"/>
                <w:sz w:val="21"/>
                <w:szCs w:val="21"/>
                <w:vertAlign w:val="superscript"/>
                <w:lang w:eastAsia="zh-CN"/>
              </w:rPr>
              <w:t>3</w:t>
            </w:r>
            <w:r>
              <w:rPr>
                <w:rFonts w:hint="eastAsia"/>
                <w:sz w:val="21"/>
                <w:szCs w:val="21"/>
                <w:lang w:eastAsia="zh-CN"/>
              </w:rPr>
              <w:t>/d。污水量按用水量的0.8计，则施工期生活污水产生量约0.</w:t>
            </w:r>
            <w:r>
              <w:rPr>
                <w:rFonts w:hint="eastAsia"/>
                <w:sz w:val="21"/>
                <w:szCs w:val="21"/>
                <w:lang w:val="en-US" w:eastAsia="zh-CN"/>
              </w:rPr>
              <w:t>32</w:t>
            </w:r>
            <w:r>
              <w:rPr>
                <w:rFonts w:hint="eastAsia"/>
                <w:sz w:val="21"/>
                <w:szCs w:val="21"/>
                <w:lang w:eastAsia="zh-CN"/>
              </w:rPr>
              <w:t>m</w:t>
            </w:r>
            <w:r>
              <w:rPr>
                <w:rFonts w:hint="eastAsia"/>
                <w:sz w:val="21"/>
                <w:szCs w:val="21"/>
                <w:vertAlign w:val="superscript"/>
                <w:lang w:eastAsia="zh-CN"/>
              </w:rPr>
              <w:t>3</w:t>
            </w:r>
            <w:r>
              <w:rPr>
                <w:rFonts w:hint="eastAsia"/>
                <w:sz w:val="21"/>
                <w:szCs w:val="21"/>
                <w:lang w:eastAsia="zh-CN"/>
              </w:rPr>
              <w:t>/d。废水主要污染物是COD、SS、BOD和氨氮等。根据类比资料废水中：pH（6.5~8）、SS（200mg/L）、COD（250mg/L）、氨氮（30mg/L）、BOD5（100mg/L）、动植物油（15mg/L）。 项目施工期施工人员产生的少量生活污水</w:t>
            </w:r>
            <w:r>
              <w:rPr>
                <w:rFonts w:hint="eastAsia"/>
                <w:sz w:val="21"/>
                <w:szCs w:val="21"/>
                <w:lang w:val="en-US" w:eastAsia="zh-CN"/>
              </w:rPr>
              <w:t>可依托企业现有的生活污水处理设施进行处理</w:t>
            </w:r>
            <w:r>
              <w:rPr>
                <w:rFonts w:hint="eastAsia"/>
                <w:sz w:val="21"/>
                <w:szCs w:val="21"/>
                <w:lang w:eastAsia="zh-CN"/>
              </w:rPr>
              <w:t>。</w:t>
            </w:r>
            <w:r>
              <w:rPr>
                <w:rFonts w:hint="eastAsia"/>
                <w:sz w:val="21"/>
                <w:szCs w:val="21"/>
                <w:lang w:val="en-US" w:eastAsia="zh-CN"/>
              </w:rPr>
              <w:t>由于施工人员较少，不会对企业现有的生活废水处理设施处理负荷产生冲击影响。</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施工期废水：本项目施工期间施工废水主要来源于砼养护、基础灌浆、场地冲洗和</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设备等施工作业清洗废水。施工机械运转与维修过程中产生的含油污水、建材清洗废水</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及运输车辆的冲洗水等。</w:t>
            </w:r>
            <w:r>
              <w:rPr>
                <w:rFonts w:hint="eastAsia"/>
                <w:sz w:val="21"/>
                <w:szCs w:val="21"/>
                <w:lang w:val="en-US" w:eastAsia="zh-CN"/>
              </w:rPr>
              <w:t>企业厂区已修建完善的废水、雨水的集排水系统和废水处理设施，可收集处理产生的施工废水，</w:t>
            </w:r>
            <w:r>
              <w:rPr>
                <w:rFonts w:hint="eastAsia"/>
                <w:sz w:val="21"/>
                <w:szCs w:val="21"/>
                <w:lang w:eastAsia="zh-CN"/>
              </w:rPr>
              <w:t>此外，环评要求施工单位在施工现场设置临时隔油池、沉淀池等处理设施，施工废水经隔油、沉淀处理后回用于</w:t>
            </w:r>
            <w:r>
              <w:rPr>
                <w:rFonts w:hint="eastAsia"/>
                <w:sz w:val="21"/>
                <w:szCs w:val="21"/>
                <w:lang w:val="en-US" w:eastAsia="zh-CN"/>
              </w:rPr>
              <w:t>厂区道路的</w:t>
            </w:r>
            <w:r>
              <w:rPr>
                <w:rFonts w:hint="eastAsia"/>
                <w:sz w:val="21"/>
                <w:szCs w:val="21"/>
                <w:lang w:eastAsia="zh-CN"/>
              </w:rPr>
              <w:t xml:space="preserve">抑尘洒水。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采取上述措施后，施工期废水</w:t>
            </w:r>
            <w:r>
              <w:rPr>
                <w:rFonts w:hint="eastAsia"/>
                <w:sz w:val="21"/>
                <w:szCs w:val="21"/>
                <w:lang w:val="en-US" w:eastAsia="zh-CN"/>
              </w:rPr>
              <w:t>不外排</w:t>
            </w:r>
            <w:r>
              <w:rPr>
                <w:rFonts w:hint="eastAsia"/>
                <w:sz w:val="21"/>
                <w:szCs w:val="21"/>
                <w:lang w:eastAsia="zh-CN"/>
              </w:rPr>
              <w:t>对周边</w:t>
            </w:r>
            <w:r>
              <w:rPr>
                <w:rFonts w:hint="eastAsia"/>
                <w:sz w:val="21"/>
                <w:szCs w:val="21"/>
                <w:lang w:val="en-US" w:eastAsia="zh-CN"/>
              </w:rPr>
              <w:t>水</w:t>
            </w:r>
            <w:r>
              <w:rPr>
                <w:rFonts w:hint="eastAsia"/>
                <w:sz w:val="21"/>
                <w:szCs w:val="21"/>
                <w:lang w:eastAsia="zh-CN"/>
              </w:rPr>
              <w:t xml:space="preserve">环境。 </w:t>
            </w:r>
          </w:p>
          <w:p>
            <w:pPr>
              <w:spacing w:line="276" w:lineRule="auto"/>
              <w:ind w:left="0" w:leftChars="0" w:firstLine="0" w:firstLineChars="0"/>
              <w:rPr>
                <w:rFonts w:hint="eastAsia"/>
                <w:b/>
                <w:bCs/>
                <w:sz w:val="21"/>
                <w:szCs w:val="21"/>
                <w:lang w:eastAsia="zh-CN"/>
              </w:rPr>
            </w:pPr>
            <w:r>
              <w:rPr>
                <w:rFonts w:hint="eastAsia"/>
                <w:b/>
                <w:bCs/>
                <w:sz w:val="21"/>
                <w:szCs w:val="21"/>
                <w:lang w:eastAsia="zh-CN"/>
              </w:rPr>
              <w:t xml:space="preserve">4.1.3 施工噪声防治措施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 xml:space="preserve">（1）主要声源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20" w:firstLineChars="200"/>
              <w:textAlignment w:val="auto"/>
              <w:rPr>
                <w:rFonts w:hint="eastAsia"/>
                <w:sz w:val="21"/>
                <w:szCs w:val="21"/>
                <w:lang w:eastAsia="zh-CN"/>
              </w:rPr>
            </w:pPr>
            <w:r>
              <w:rPr>
                <w:rFonts w:hint="eastAsia"/>
                <w:sz w:val="21"/>
                <w:szCs w:val="21"/>
                <w:lang w:eastAsia="zh-CN"/>
              </w:rPr>
              <w:t>施工期间噪声主要来自施工机械设备作业产生的噪声、车辆运输及施工人员作业等</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 xml:space="preserve">工作噪声。施工机械设备噪声主要来源于土石方开挖、场地平整、地面防渗等施工活动，具有声级大、声源强、持续性影响等特点。流动的交通噪声主要来源于汽车发动机，具有声源面广、流动性强等特点。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项目施工期噪声主要来源于施工机械和运输车辆噪声。施工设备中噪声级较高的机</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 xml:space="preserve">械设备有：推土机、挖掘机、装载机、振捣棒、手工钻、无齿锯等，其噪声级在75～95dB（A），根据本工程的特点，项目施工期主要噪声源及声级见下表。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2" w:firstLineChars="200"/>
              <w:jc w:val="center"/>
              <w:textAlignment w:val="auto"/>
              <w:rPr>
                <w:rFonts w:hint="eastAsia"/>
                <w:b/>
                <w:bCs/>
                <w:sz w:val="21"/>
                <w:szCs w:val="21"/>
                <w:lang w:eastAsia="zh-CN"/>
              </w:rPr>
            </w:pPr>
            <w:r>
              <w:rPr>
                <w:rFonts w:hint="eastAsia"/>
                <w:b/>
                <w:bCs/>
                <w:sz w:val="21"/>
                <w:szCs w:val="21"/>
                <w:lang w:eastAsia="zh-CN"/>
              </w:rPr>
              <w:t>表4-1  主要噪声源及其声级</w:t>
            </w:r>
          </w:p>
          <w:tbl>
            <w:tblPr>
              <w:tblStyle w:val="17"/>
              <w:tblW w:w="0" w:type="auto"/>
              <w:tblInd w:w="3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5"/>
              <w:gridCol w:w="2676"/>
              <w:gridCol w:w="2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名称</w:t>
                  </w:r>
                </w:p>
              </w:tc>
              <w:tc>
                <w:tcPr>
                  <w:tcW w:w="523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b/>
                      <w:bCs/>
                      <w:sz w:val="21"/>
                      <w:szCs w:val="21"/>
                      <w:vertAlign w:val="baseline"/>
                      <w:lang w:eastAsia="zh-CN"/>
                    </w:rPr>
                  </w:pPr>
                  <w:r>
                    <w:rPr>
                      <w:rFonts w:hint="eastAsia"/>
                      <w:b/>
                      <w:bCs/>
                      <w:sz w:val="21"/>
                      <w:szCs w:val="21"/>
                      <w:lang w:eastAsia="zh-CN"/>
                    </w:rPr>
                    <w:t>距离声源5m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b/>
                      <w:bCs/>
                      <w:sz w:val="21"/>
                      <w:szCs w:val="21"/>
                      <w:vertAlign w:val="baseline"/>
                      <w:lang w:eastAsia="zh-CN"/>
                    </w:rPr>
                  </w:pPr>
                </w:p>
              </w:tc>
              <w:tc>
                <w:tcPr>
                  <w:tcW w:w="26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b/>
                      <w:bCs/>
                      <w:sz w:val="21"/>
                      <w:szCs w:val="21"/>
                      <w:vertAlign w:val="baseline"/>
                      <w:lang w:eastAsia="zh-CN"/>
                    </w:rPr>
                  </w:pPr>
                  <w:r>
                    <w:rPr>
                      <w:rFonts w:hint="eastAsia"/>
                      <w:b/>
                      <w:bCs/>
                      <w:sz w:val="21"/>
                      <w:szCs w:val="21"/>
                      <w:lang w:eastAsia="zh-CN"/>
                    </w:rPr>
                    <w:t>噪声声级范围</w:t>
                  </w:r>
                </w:p>
              </w:tc>
              <w:tc>
                <w:tcPr>
                  <w:tcW w:w="25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b/>
                      <w:bCs/>
                      <w:sz w:val="21"/>
                      <w:szCs w:val="21"/>
                      <w:vertAlign w:val="baseline"/>
                      <w:lang w:eastAsia="zh-CN"/>
                    </w:rPr>
                  </w:pPr>
                  <w:r>
                    <w:rPr>
                      <w:rFonts w:hint="eastAsia"/>
                      <w:b/>
                      <w:bCs/>
                      <w:sz w:val="21"/>
                      <w:szCs w:val="21"/>
                      <w:lang w:eastAsia="zh-CN"/>
                    </w:rPr>
                    <w:t>平均噪声级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vertAlign w:val="baseline"/>
                      <w:lang w:eastAsia="zh-CN"/>
                    </w:rPr>
                  </w:pPr>
                  <w:r>
                    <w:rPr>
                      <w:rFonts w:hint="eastAsia"/>
                      <w:sz w:val="21"/>
                      <w:szCs w:val="21"/>
                      <w:lang w:eastAsia="zh-CN"/>
                    </w:rPr>
                    <w:t>推土机</w:t>
                  </w:r>
                </w:p>
              </w:tc>
              <w:tc>
                <w:tcPr>
                  <w:tcW w:w="26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76~87</w:t>
                  </w:r>
                </w:p>
              </w:tc>
              <w:tc>
                <w:tcPr>
                  <w:tcW w:w="25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lang w:eastAsia="zh-CN"/>
                    </w:rPr>
                  </w:pPr>
                  <w:r>
                    <w:rPr>
                      <w:rFonts w:hint="eastAsia"/>
                      <w:sz w:val="21"/>
                      <w:szCs w:val="21"/>
                      <w:lang w:eastAsia="zh-CN"/>
                    </w:rPr>
                    <w:t>挖掘机</w:t>
                  </w:r>
                </w:p>
              </w:tc>
              <w:tc>
                <w:tcPr>
                  <w:tcW w:w="26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80~95</w:t>
                  </w:r>
                </w:p>
              </w:tc>
              <w:tc>
                <w:tcPr>
                  <w:tcW w:w="25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lang w:eastAsia="zh-CN"/>
                    </w:rPr>
                  </w:pPr>
                  <w:r>
                    <w:rPr>
                      <w:rFonts w:hint="eastAsia"/>
                      <w:sz w:val="21"/>
                      <w:szCs w:val="21"/>
                      <w:lang w:eastAsia="zh-CN"/>
                    </w:rPr>
                    <w:t>装载机</w:t>
                  </w:r>
                </w:p>
              </w:tc>
              <w:tc>
                <w:tcPr>
                  <w:tcW w:w="26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80~88</w:t>
                  </w:r>
                </w:p>
              </w:tc>
              <w:tc>
                <w:tcPr>
                  <w:tcW w:w="25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lang w:eastAsia="zh-CN"/>
                    </w:rPr>
                  </w:pPr>
                  <w:r>
                    <w:rPr>
                      <w:rFonts w:hint="eastAsia"/>
                      <w:sz w:val="21"/>
                      <w:szCs w:val="21"/>
                      <w:lang w:eastAsia="zh-CN"/>
                    </w:rPr>
                    <w:t>振捣机</w:t>
                  </w:r>
                </w:p>
              </w:tc>
              <w:tc>
                <w:tcPr>
                  <w:tcW w:w="26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75~88</w:t>
                  </w:r>
                </w:p>
              </w:tc>
              <w:tc>
                <w:tcPr>
                  <w:tcW w:w="25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lang w:eastAsia="zh-CN"/>
                    </w:rPr>
                  </w:pPr>
                  <w:r>
                    <w:rPr>
                      <w:rFonts w:hint="eastAsia"/>
                      <w:sz w:val="21"/>
                      <w:szCs w:val="21"/>
                      <w:lang w:eastAsia="zh-CN"/>
                    </w:rPr>
                    <w:t>空压机</w:t>
                  </w:r>
                </w:p>
              </w:tc>
              <w:tc>
                <w:tcPr>
                  <w:tcW w:w="26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81~92</w:t>
                  </w:r>
                </w:p>
              </w:tc>
              <w:tc>
                <w:tcPr>
                  <w:tcW w:w="25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lang w:eastAsia="zh-CN"/>
                    </w:rPr>
                  </w:pPr>
                  <w:r>
                    <w:rPr>
                      <w:rFonts w:hint="eastAsia"/>
                      <w:sz w:val="21"/>
                      <w:szCs w:val="21"/>
                      <w:lang w:eastAsia="zh-CN"/>
                    </w:rPr>
                    <w:t>手工钻</w:t>
                  </w:r>
                </w:p>
              </w:tc>
              <w:tc>
                <w:tcPr>
                  <w:tcW w:w="26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80~92</w:t>
                  </w:r>
                </w:p>
              </w:tc>
              <w:tc>
                <w:tcPr>
                  <w:tcW w:w="25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lang w:eastAsia="zh-CN"/>
                    </w:rPr>
                  </w:pPr>
                  <w:r>
                    <w:rPr>
                      <w:rFonts w:hint="eastAsia"/>
                      <w:sz w:val="21"/>
                      <w:szCs w:val="21"/>
                      <w:lang w:eastAsia="zh-CN"/>
                    </w:rPr>
                    <w:t>无齿锯</w:t>
                  </w:r>
                </w:p>
              </w:tc>
              <w:tc>
                <w:tcPr>
                  <w:tcW w:w="26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62~73</w:t>
                  </w:r>
                </w:p>
              </w:tc>
              <w:tc>
                <w:tcPr>
                  <w:tcW w:w="25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lang w:eastAsia="zh-CN"/>
                    </w:rPr>
                  </w:pPr>
                  <w:r>
                    <w:rPr>
                      <w:rFonts w:hint="eastAsia"/>
                      <w:sz w:val="21"/>
                      <w:szCs w:val="21"/>
                      <w:lang w:eastAsia="zh-CN"/>
                    </w:rPr>
                    <w:t>电焊机</w:t>
                  </w:r>
                </w:p>
              </w:tc>
              <w:tc>
                <w:tcPr>
                  <w:tcW w:w="267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80~90</w:t>
                  </w:r>
                </w:p>
              </w:tc>
              <w:tc>
                <w:tcPr>
                  <w:tcW w:w="25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 xml:space="preserve">（2）施工期噪声预测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 xml:space="preserve">根据《环境影响评价技术导则 声环境》 (HJ2.4-2021)，无指向性点声源几何发散衰减的基本公式: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1680" w:firstLineChars="800"/>
              <w:textAlignment w:val="auto"/>
              <w:rPr>
                <w:rFonts w:hint="eastAsia"/>
                <w:sz w:val="21"/>
                <w:szCs w:val="21"/>
                <w:lang w:eastAsia="zh-CN"/>
              </w:rPr>
            </w:pPr>
            <w:r>
              <w:rPr>
                <w:rFonts w:hint="eastAsia"/>
                <w:sz w:val="21"/>
                <w:szCs w:val="21"/>
                <w:lang w:eastAsia="zh-CN"/>
              </w:rPr>
              <w:t>Lp(r)=Lr</w:t>
            </w:r>
            <w:r>
              <w:rPr>
                <w:rFonts w:hint="eastAsia"/>
                <w:sz w:val="21"/>
                <w:szCs w:val="21"/>
                <w:vertAlign w:val="subscript"/>
                <w:lang w:eastAsia="zh-CN"/>
              </w:rPr>
              <w:t>0</w:t>
            </w:r>
            <w:r>
              <w:rPr>
                <w:rFonts w:hint="eastAsia"/>
                <w:sz w:val="21"/>
                <w:szCs w:val="21"/>
                <w:lang w:eastAsia="zh-CN"/>
              </w:rPr>
              <w:t>-20lg(r/r</w:t>
            </w:r>
            <w:r>
              <w:rPr>
                <w:rFonts w:hint="eastAsia"/>
                <w:sz w:val="21"/>
                <w:szCs w:val="21"/>
                <w:vertAlign w:val="subscript"/>
                <w:lang w:eastAsia="zh-CN"/>
              </w:rPr>
              <w:t>0</w:t>
            </w:r>
            <w:r>
              <w:rPr>
                <w:rFonts w:hint="eastAsia"/>
                <w:sz w:val="21"/>
                <w:szCs w:val="21"/>
                <w:lang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840" w:firstLineChars="400"/>
              <w:textAlignment w:val="auto"/>
              <w:rPr>
                <w:rFonts w:hint="eastAsia"/>
                <w:sz w:val="21"/>
                <w:szCs w:val="21"/>
                <w:lang w:eastAsia="zh-CN"/>
              </w:rPr>
            </w:pPr>
            <w:r>
              <w:rPr>
                <w:rFonts w:hint="eastAsia"/>
                <w:sz w:val="21"/>
                <w:szCs w:val="21"/>
                <w:lang w:eastAsia="zh-CN"/>
              </w:rPr>
              <w:t xml:space="preserve">式中：Lp(r)—预测点处声压级，dB；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1470" w:firstLineChars="700"/>
              <w:textAlignment w:val="auto"/>
              <w:rPr>
                <w:rFonts w:hint="eastAsia"/>
                <w:sz w:val="21"/>
                <w:szCs w:val="21"/>
                <w:lang w:eastAsia="zh-CN"/>
              </w:rPr>
            </w:pPr>
            <w:r>
              <w:rPr>
                <w:rFonts w:hint="eastAsia"/>
                <w:sz w:val="21"/>
                <w:szCs w:val="21"/>
                <w:lang w:eastAsia="zh-CN"/>
              </w:rPr>
              <w:t>Lr</w:t>
            </w:r>
            <w:r>
              <w:rPr>
                <w:rFonts w:hint="eastAsia"/>
                <w:sz w:val="21"/>
                <w:szCs w:val="21"/>
                <w:vertAlign w:val="subscript"/>
                <w:lang w:eastAsia="zh-CN"/>
              </w:rPr>
              <w:t>0</w:t>
            </w:r>
            <w:r>
              <w:rPr>
                <w:rFonts w:hint="eastAsia"/>
                <w:sz w:val="21"/>
                <w:szCs w:val="21"/>
                <w:lang w:eastAsia="zh-CN"/>
              </w:rPr>
              <w:t>—参考位置 r</w:t>
            </w:r>
            <w:r>
              <w:rPr>
                <w:rFonts w:hint="eastAsia"/>
                <w:sz w:val="21"/>
                <w:szCs w:val="21"/>
                <w:vertAlign w:val="subscript"/>
                <w:lang w:eastAsia="zh-CN"/>
              </w:rPr>
              <w:t>0</w:t>
            </w:r>
            <w:r>
              <w:rPr>
                <w:rFonts w:hint="eastAsia"/>
                <w:sz w:val="21"/>
                <w:szCs w:val="21"/>
                <w:lang w:eastAsia="zh-CN"/>
              </w:rPr>
              <w:t xml:space="preserve"> 处的声压级，dB；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1470" w:firstLineChars="700"/>
              <w:textAlignment w:val="auto"/>
              <w:rPr>
                <w:rFonts w:hint="eastAsia"/>
                <w:sz w:val="21"/>
                <w:szCs w:val="21"/>
                <w:lang w:eastAsia="zh-CN"/>
              </w:rPr>
            </w:pPr>
            <w:r>
              <w:rPr>
                <w:rFonts w:hint="eastAsia"/>
                <w:sz w:val="21"/>
                <w:szCs w:val="21"/>
                <w:lang w:eastAsia="zh-CN"/>
              </w:rPr>
              <w:t xml:space="preserve">r—预测点距声源的距离: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1470" w:firstLineChars="700"/>
              <w:textAlignment w:val="auto"/>
              <w:rPr>
                <w:rFonts w:hint="eastAsia"/>
                <w:sz w:val="21"/>
                <w:szCs w:val="21"/>
                <w:lang w:eastAsia="zh-CN"/>
              </w:rPr>
            </w:pPr>
            <w:r>
              <w:rPr>
                <w:rFonts w:hint="eastAsia"/>
                <w:sz w:val="21"/>
                <w:szCs w:val="21"/>
                <w:lang w:eastAsia="zh-CN"/>
              </w:rPr>
              <w:t>r</w:t>
            </w:r>
            <w:r>
              <w:rPr>
                <w:rFonts w:hint="eastAsia"/>
                <w:sz w:val="21"/>
                <w:szCs w:val="21"/>
                <w:vertAlign w:val="subscript"/>
                <w:lang w:eastAsia="zh-CN"/>
              </w:rPr>
              <w:t>0</w:t>
            </w:r>
            <w:r>
              <w:rPr>
                <w:rFonts w:hint="eastAsia"/>
                <w:sz w:val="21"/>
                <w:szCs w:val="21"/>
                <w:lang w:eastAsia="zh-CN"/>
              </w:rPr>
              <w:t xml:space="preserve">—参考位置距声源的距离: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 xml:space="preserve">根据噪声源的情况，预测结果如下。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2" w:firstLineChars="200"/>
              <w:textAlignment w:val="auto"/>
              <w:rPr>
                <w:rFonts w:hint="eastAsia"/>
                <w:sz w:val="21"/>
                <w:szCs w:val="21"/>
                <w:lang w:eastAsia="zh-CN"/>
              </w:rPr>
            </w:pPr>
            <w:r>
              <w:rPr>
                <w:rFonts w:hint="eastAsia"/>
                <w:b/>
                <w:bCs/>
                <w:sz w:val="21"/>
                <w:szCs w:val="21"/>
                <w:lang w:eastAsia="zh-CN"/>
              </w:rPr>
              <w:t>表4-2  施工期主要噪声设备在不同距离的噪声衰减及贡献值  单位：dB（A）</w:t>
            </w:r>
            <w:r>
              <w:rPr>
                <w:rFonts w:hint="eastAsia"/>
                <w:sz w:val="21"/>
                <w:szCs w:val="21"/>
                <w:lang w:eastAsia="zh-CN"/>
              </w:rPr>
              <w:t xml:space="preserve"> </w:t>
            </w:r>
          </w:p>
          <w:tbl>
            <w:tblPr>
              <w:tblStyle w:val="17"/>
              <w:tblW w:w="7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062"/>
              <w:gridCol w:w="751"/>
              <w:gridCol w:w="730"/>
              <w:gridCol w:w="730"/>
              <w:gridCol w:w="730"/>
              <w:gridCol w:w="730"/>
              <w:gridCol w:w="730"/>
              <w:gridCol w:w="730"/>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jc w:val="center"/>
              </w:trPr>
              <w:tc>
                <w:tcPr>
                  <w:tcW w:w="6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b/>
                      <w:bCs/>
                      <w:sz w:val="21"/>
                      <w:szCs w:val="21"/>
                      <w:vertAlign w:val="baseline"/>
                      <w:lang w:eastAsia="zh-CN"/>
                    </w:rPr>
                  </w:pPr>
                  <w:r>
                    <w:rPr>
                      <w:rFonts w:hint="eastAsia"/>
                      <w:b/>
                      <w:bCs/>
                      <w:sz w:val="21"/>
                      <w:szCs w:val="21"/>
                      <w:lang w:eastAsia="zh-CN"/>
                    </w:rPr>
                    <w:t>序号</w:t>
                  </w:r>
                </w:p>
              </w:tc>
              <w:tc>
                <w:tcPr>
                  <w:tcW w:w="10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b/>
                      <w:bCs/>
                      <w:sz w:val="21"/>
                      <w:szCs w:val="21"/>
                      <w:vertAlign w:val="baseline"/>
                      <w:lang w:eastAsia="zh-CN"/>
                    </w:rPr>
                  </w:pPr>
                  <w:r>
                    <w:rPr>
                      <w:rFonts w:hint="eastAsia"/>
                      <w:b/>
                      <w:bCs/>
                      <w:sz w:val="21"/>
                      <w:szCs w:val="21"/>
                      <w:lang w:eastAsia="zh-CN"/>
                    </w:rPr>
                    <w:t>机械类型</w:t>
                  </w:r>
                </w:p>
              </w:tc>
              <w:tc>
                <w:tcPr>
                  <w:tcW w:w="7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b/>
                      <w:bCs/>
                      <w:sz w:val="21"/>
                      <w:szCs w:val="21"/>
                      <w:vertAlign w:val="baseline"/>
                      <w:lang w:eastAsia="zh-CN"/>
                    </w:rPr>
                  </w:pPr>
                  <w:r>
                    <w:rPr>
                      <w:rFonts w:hint="eastAsia"/>
                      <w:b/>
                      <w:bCs/>
                      <w:sz w:val="21"/>
                      <w:szCs w:val="21"/>
                      <w:lang w:eastAsia="zh-CN"/>
                    </w:rPr>
                    <w:t>5m</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10</w:t>
                  </w:r>
                  <w:r>
                    <w:rPr>
                      <w:rFonts w:hint="eastAsia"/>
                      <w:b/>
                      <w:bCs/>
                      <w:sz w:val="21"/>
                      <w:szCs w:val="21"/>
                      <w:lang w:eastAsia="zh-CN"/>
                    </w:rPr>
                    <w:t>m</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both"/>
                    <w:textAlignment w:val="auto"/>
                    <w:rPr>
                      <w:rFonts w:hint="eastAsia"/>
                      <w:b/>
                      <w:bCs/>
                      <w:sz w:val="21"/>
                      <w:szCs w:val="21"/>
                      <w:vertAlign w:val="baseline"/>
                      <w:lang w:eastAsia="zh-CN"/>
                    </w:rPr>
                  </w:pPr>
                  <w:r>
                    <w:rPr>
                      <w:rFonts w:hint="eastAsia"/>
                      <w:b/>
                      <w:bCs/>
                      <w:sz w:val="21"/>
                      <w:szCs w:val="21"/>
                      <w:lang w:val="en-US" w:eastAsia="zh-CN"/>
                    </w:rPr>
                    <w:t>30</w:t>
                  </w:r>
                  <w:r>
                    <w:rPr>
                      <w:rFonts w:hint="eastAsia"/>
                      <w:b/>
                      <w:bCs/>
                      <w:sz w:val="21"/>
                      <w:szCs w:val="21"/>
                      <w:lang w:eastAsia="zh-CN"/>
                    </w:rPr>
                    <w:t>m</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both"/>
                    <w:textAlignment w:val="auto"/>
                    <w:rPr>
                      <w:rFonts w:hint="eastAsia"/>
                      <w:b/>
                      <w:bCs/>
                      <w:sz w:val="21"/>
                      <w:szCs w:val="21"/>
                      <w:vertAlign w:val="baseline"/>
                      <w:lang w:eastAsia="zh-CN"/>
                    </w:rPr>
                  </w:pPr>
                  <w:r>
                    <w:rPr>
                      <w:rFonts w:hint="eastAsia"/>
                      <w:b/>
                      <w:bCs/>
                      <w:sz w:val="21"/>
                      <w:szCs w:val="21"/>
                      <w:lang w:val="en-US" w:eastAsia="zh-CN"/>
                    </w:rPr>
                    <w:t>50</w:t>
                  </w:r>
                  <w:r>
                    <w:rPr>
                      <w:rFonts w:hint="eastAsia"/>
                      <w:b/>
                      <w:bCs/>
                      <w:sz w:val="21"/>
                      <w:szCs w:val="21"/>
                      <w:lang w:eastAsia="zh-CN"/>
                    </w:rPr>
                    <w:t>m</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both"/>
                    <w:textAlignment w:val="auto"/>
                    <w:rPr>
                      <w:rFonts w:hint="eastAsia"/>
                      <w:b/>
                      <w:bCs/>
                      <w:sz w:val="21"/>
                      <w:szCs w:val="21"/>
                      <w:vertAlign w:val="baseline"/>
                      <w:lang w:eastAsia="zh-CN"/>
                    </w:rPr>
                  </w:pPr>
                  <w:r>
                    <w:rPr>
                      <w:rFonts w:hint="eastAsia"/>
                      <w:b/>
                      <w:bCs/>
                      <w:sz w:val="21"/>
                      <w:szCs w:val="21"/>
                      <w:lang w:val="en-US" w:eastAsia="zh-CN"/>
                    </w:rPr>
                    <w:t>100</w:t>
                  </w:r>
                  <w:r>
                    <w:rPr>
                      <w:rFonts w:hint="eastAsia"/>
                      <w:b/>
                      <w:bCs/>
                      <w:sz w:val="21"/>
                      <w:szCs w:val="21"/>
                      <w:lang w:eastAsia="zh-CN"/>
                    </w:rPr>
                    <w:t>m</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both"/>
                    <w:textAlignment w:val="auto"/>
                    <w:rPr>
                      <w:rFonts w:hint="eastAsia"/>
                      <w:b/>
                      <w:bCs/>
                      <w:sz w:val="21"/>
                      <w:szCs w:val="21"/>
                      <w:vertAlign w:val="baseline"/>
                      <w:lang w:eastAsia="zh-CN"/>
                    </w:rPr>
                  </w:pPr>
                  <w:r>
                    <w:rPr>
                      <w:rFonts w:hint="eastAsia"/>
                      <w:b/>
                      <w:bCs/>
                      <w:sz w:val="21"/>
                      <w:szCs w:val="21"/>
                      <w:lang w:val="en-US" w:eastAsia="zh-CN"/>
                    </w:rPr>
                    <w:t>150</w:t>
                  </w:r>
                  <w:r>
                    <w:rPr>
                      <w:rFonts w:hint="eastAsia"/>
                      <w:b/>
                      <w:bCs/>
                      <w:sz w:val="21"/>
                      <w:szCs w:val="21"/>
                      <w:lang w:eastAsia="zh-CN"/>
                    </w:rPr>
                    <w:t>m</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both"/>
                    <w:textAlignment w:val="auto"/>
                    <w:rPr>
                      <w:rFonts w:hint="eastAsia"/>
                      <w:b/>
                      <w:bCs/>
                      <w:sz w:val="21"/>
                      <w:szCs w:val="21"/>
                      <w:vertAlign w:val="baseline"/>
                      <w:lang w:eastAsia="zh-CN"/>
                    </w:rPr>
                  </w:pPr>
                  <w:r>
                    <w:rPr>
                      <w:rFonts w:hint="eastAsia"/>
                      <w:b/>
                      <w:bCs/>
                      <w:sz w:val="21"/>
                      <w:szCs w:val="21"/>
                      <w:lang w:val="en-US" w:eastAsia="zh-CN"/>
                    </w:rPr>
                    <w:t>200</w:t>
                  </w:r>
                  <w:r>
                    <w:rPr>
                      <w:rFonts w:hint="eastAsia"/>
                      <w:b/>
                      <w:bCs/>
                      <w:sz w:val="21"/>
                      <w:szCs w:val="21"/>
                      <w:lang w:eastAsia="zh-CN"/>
                    </w:rPr>
                    <w:t>m</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both"/>
                    <w:textAlignment w:val="auto"/>
                    <w:rPr>
                      <w:rFonts w:hint="eastAsia"/>
                      <w:b/>
                      <w:bCs/>
                      <w:sz w:val="21"/>
                      <w:szCs w:val="21"/>
                      <w:vertAlign w:val="baseline"/>
                      <w:lang w:eastAsia="zh-CN"/>
                    </w:rPr>
                  </w:pPr>
                  <w:r>
                    <w:rPr>
                      <w:rFonts w:hint="eastAsia"/>
                      <w:b/>
                      <w:bCs/>
                      <w:sz w:val="21"/>
                      <w:szCs w:val="21"/>
                      <w:lang w:val="en-US" w:eastAsia="zh-CN"/>
                    </w:rPr>
                    <w:t>250</w:t>
                  </w:r>
                  <w:r>
                    <w:rPr>
                      <w:rFonts w:hint="eastAsia"/>
                      <w:b/>
                      <w:bCs/>
                      <w:sz w:val="21"/>
                      <w:szCs w:val="21"/>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0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推土机</w:t>
                  </w:r>
                </w:p>
              </w:tc>
              <w:tc>
                <w:tcPr>
                  <w:tcW w:w="7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86</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80</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70</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0" w:firstLineChars="0"/>
                    <w:jc w:val="center"/>
                    <w:textAlignment w:val="auto"/>
                    <w:rPr>
                      <w:rFonts w:hint="eastAsia"/>
                      <w:sz w:val="21"/>
                      <w:szCs w:val="21"/>
                      <w:vertAlign w:val="baseline"/>
                      <w:lang w:eastAsia="zh-CN"/>
                    </w:rPr>
                  </w:pPr>
                  <w:r>
                    <w:rPr>
                      <w:rFonts w:hint="eastAsia"/>
                      <w:sz w:val="21"/>
                      <w:szCs w:val="21"/>
                      <w:vertAlign w:val="baseline"/>
                      <w:lang w:val="en-US" w:eastAsia="zh-CN"/>
                    </w:rPr>
                    <w:t>66</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56</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54</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10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vertAlign w:val="baseline"/>
                      <w:lang w:eastAsia="zh-CN"/>
                    </w:rPr>
                  </w:pPr>
                  <w:r>
                    <w:rPr>
                      <w:rFonts w:hint="eastAsia"/>
                      <w:sz w:val="21"/>
                      <w:szCs w:val="21"/>
                      <w:lang w:eastAsia="zh-CN"/>
                    </w:rPr>
                    <w:t>挖掘机</w:t>
                  </w:r>
                </w:p>
              </w:tc>
              <w:tc>
                <w:tcPr>
                  <w:tcW w:w="7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84</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78</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68</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64</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58</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54</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52</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10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vertAlign w:val="baseline"/>
                      <w:lang w:eastAsia="zh-CN"/>
                    </w:rPr>
                  </w:pPr>
                  <w:r>
                    <w:rPr>
                      <w:rFonts w:hint="eastAsia"/>
                      <w:sz w:val="21"/>
                      <w:szCs w:val="21"/>
                      <w:lang w:eastAsia="zh-CN"/>
                    </w:rPr>
                    <w:t>装载机</w:t>
                  </w:r>
                </w:p>
              </w:tc>
              <w:tc>
                <w:tcPr>
                  <w:tcW w:w="7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85</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79</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69</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65</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59</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55</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53</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w:t>
                  </w:r>
                </w:p>
              </w:tc>
              <w:tc>
                <w:tcPr>
                  <w:tcW w:w="10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vertAlign w:val="baseline"/>
                      <w:lang w:eastAsia="zh-CN"/>
                    </w:rPr>
                  </w:pPr>
                  <w:r>
                    <w:rPr>
                      <w:rFonts w:hint="eastAsia"/>
                      <w:sz w:val="21"/>
                      <w:szCs w:val="21"/>
                      <w:lang w:eastAsia="zh-CN"/>
                    </w:rPr>
                    <w:t>振捣机</w:t>
                  </w:r>
                </w:p>
              </w:tc>
              <w:tc>
                <w:tcPr>
                  <w:tcW w:w="7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81</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75</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65</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61</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55</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51</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49</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10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vertAlign w:val="baseline"/>
                      <w:lang w:eastAsia="zh-CN"/>
                    </w:rPr>
                  </w:pPr>
                  <w:r>
                    <w:rPr>
                      <w:rFonts w:hint="eastAsia"/>
                      <w:sz w:val="21"/>
                      <w:szCs w:val="21"/>
                      <w:lang w:eastAsia="zh-CN"/>
                    </w:rPr>
                    <w:t>空压机</w:t>
                  </w:r>
                </w:p>
              </w:tc>
              <w:tc>
                <w:tcPr>
                  <w:tcW w:w="7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82</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76</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66</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62</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56</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52</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50</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10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vertAlign w:val="baseline"/>
                      <w:lang w:eastAsia="zh-CN"/>
                    </w:rPr>
                  </w:pPr>
                  <w:r>
                    <w:rPr>
                      <w:rFonts w:hint="eastAsia"/>
                      <w:sz w:val="21"/>
                      <w:szCs w:val="21"/>
                      <w:lang w:eastAsia="zh-CN"/>
                    </w:rPr>
                    <w:t>手工钻</w:t>
                  </w:r>
                </w:p>
              </w:tc>
              <w:tc>
                <w:tcPr>
                  <w:tcW w:w="7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86</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80</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70</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66</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56</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54</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w:t>
                  </w:r>
                </w:p>
              </w:tc>
              <w:tc>
                <w:tcPr>
                  <w:tcW w:w="10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vertAlign w:val="baseline"/>
                      <w:lang w:eastAsia="zh-CN"/>
                    </w:rPr>
                  </w:pPr>
                  <w:r>
                    <w:rPr>
                      <w:rFonts w:hint="eastAsia"/>
                      <w:sz w:val="21"/>
                      <w:szCs w:val="21"/>
                      <w:lang w:eastAsia="zh-CN"/>
                    </w:rPr>
                    <w:t>无齿锯</w:t>
                  </w:r>
                </w:p>
              </w:tc>
              <w:tc>
                <w:tcPr>
                  <w:tcW w:w="7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71</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65</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55</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51</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45</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41</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39</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w:t>
                  </w:r>
                </w:p>
              </w:tc>
              <w:tc>
                <w:tcPr>
                  <w:tcW w:w="10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eastAsia"/>
                      <w:sz w:val="21"/>
                      <w:szCs w:val="21"/>
                      <w:vertAlign w:val="baseline"/>
                      <w:lang w:eastAsia="zh-CN"/>
                    </w:rPr>
                  </w:pPr>
                  <w:r>
                    <w:rPr>
                      <w:rFonts w:hint="eastAsia"/>
                      <w:sz w:val="21"/>
                      <w:szCs w:val="21"/>
                      <w:lang w:eastAsia="zh-CN"/>
                    </w:rPr>
                    <w:t>电焊机</w:t>
                  </w:r>
                </w:p>
              </w:tc>
              <w:tc>
                <w:tcPr>
                  <w:tcW w:w="7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85</w:t>
                  </w:r>
                </w:p>
              </w:tc>
              <w:tc>
                <w:tcPr>
                  <w:tcW w:w="73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79</w:t>
                  </w:r>
                </w:p>
              </w:tc>
              <w:tc>
                <w:tcPr>
                  <w:tcW w:w="73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69</w:t>
                  </w:r>
                </w:p>
              </w:tc>
              <w:tc>
                <w:tcPr>
                  <w:tcW w:w="73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65</w:t>
                  </w:r>
                </w:p>
              </w:tc>
              <w:tc>
                <w:tcPr>
                  <w:tcW w:w="73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59</w:t>
                  </w:r>
                </w:p>
              </w:tc>
              <w:tc>
                <w:tcPr>
                  <w:tcW w:w="73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55</w:t>
                  </w:r>
                </w:p>
              </w:tc>
              <w:tc>
                <w:tcPr>
                  <w:tcW w:w="73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53</w:t>
                  </w:r>
                </w:p>
              </w:tc>
              <w:tc>
                <w:tcPr>
                  <w:tcW w:w="843"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51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20" w:firstLineChars="200"/>
              <w:textAlignment w:val="auto"/>
              <w:rPr>
                <w:rFonts w:hint="eastAsia"/>
                <w:sz w:val="21"/>
                <w:szCs w:val="21"/>
                <w:lang w:eastAsia="zh-CN"/>
              </w:rPr>
            </w:pPr>
            <w:r>
              <w:rPr>
                <w:rFonts w:hint="eastAsia"/>
                <w:sz w:val="21"/>
                <w:szCs w:val="21"/>
                <w:lang w:eastAsia="zh-CN"/>
              </w:rPr>
              <w:t>施工主要集中在白天，夜间不施工。施工阶段各种设备一般为露天作业，无隔声与</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消声措施，由于施工场地内设备运行数量总在变化，作业时间、相隔距离也在不断变</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化，要准确预测施工场地各厂界噪声值很困难。从上表可知施工时，昼间30m外可满足</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《建筑施工场界环境噪声排放标准》（GB12523-2011）70dB(A)的要求。本项目</w:t>
            </w:r>
            <w:r>
              <w:rPr>
                <w:rFonts w:hint="eastAsia"/>
                <w:sz w:val="21"/>
                <w:szCs w:val="21"/>
                <w:lang w:val="en-US" w:eastAsia="zh-CN"/>
              </w:rPr>
              <w:t>位于现有厂区范围内的中北部区域，厂区周边50m无噪声敏感目标。</w:t>
            </w:r>
            <w:r>
              <w:rPr>
                <w:rFonts w:hint="eastAsia"/>
                <w:sz w:val="21"/>
                <w:szCs w:val="21"/>
                <w:lang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为了</w:t>
            </w:r>
            <w:r>
              <w:rPr>
                <w:rFonts w:hint="eastAsia"/>
                <w:sz w:val="21"/>
                <w:szCs w:val="21"/>
                <w:lang w:val="en-US" w:eastAsia="zh-CN"/>
              </w:rPr>
              <w:t>进一步</w:t>
            </w:r>
            <w:r>
              <w:rPr>
                <w:rFonts w:hint="eastAsia"/>
                <w:sz w:val="21"/>
                <w:szCs w:val="21"/>
                <w:lang w:eastAsia="zh-CN"/>
              </w:rPr>
              <w:t xml:space="preserve">减轻施工期噪声对周围环境的影响，环评要求建设单位在施工时应采取有效的隔声减振降噪措施：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20" w:firstLineChars="200"/>
              <w:textAlignment w:val="auto"/>
              <w:rPr>
                <w:rFonts w:hint="eastAsia"/>
                <w:sz w:val="21"/>
                <w:szCs w:val="21"/>
                <w:lang w:eastAsia="zh-CN"/>
              </w:rPr>
            </w:pPr>
            <w:r>
              <w:rPr>
                <w:rFonts w:hint="eastAsia"/>
                <w:sz w:val="21"/>
                <w:szCs w:val="21"/>
                <w:lang w:eastAsia="zh-CN"/>
              </w:rPr>
              <w:t xml:space="preserve">①项目禁止夜间（晚22点至次日早晨6点之间）进行产生高噪声环境污染的建筑施工作业，减轻施工噪声对周围环境影响。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 xml:space="preserve">②选用低噪声机械设备。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 xml:space="preserve">③项目还应该加强对施工人员的管理，做到文明施工，避免人为噪声的产生。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④加强对施工场地的噪声管理，施工</w:t>
            </w:r>
            <w:r>
              <w:rPr>
                <w:rFonts w:hint="eastAsia"/>
                <w:sz w:val="21"/>
                <w:szCs w:val="21"/>
                <w:lang w:val="en-US" w:eastAsia="zh-CN"/>
              </w:rPr>
              <w:t>单位</w:t>
            </w:r>
            <w:r>
              <w:rPr>
                <w:rFonts w:hint="eastAsia"/>
                <w:sz w:val="21"/>
                <w:szCs w:val="21"/>
                <w:lang w:eastAsia="zh-CN"/>
              </w:rPr>
              <w:t>也应对施工噪声进行自律，文明施工，施</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 xml:space="preserve">工期间组织好区内交通，施工场地的施工车辆出入现场时应低速、禁鸣。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本项目在采取了上述措施后，对周围环境影响较小。施工期结束后，相应的噪声污</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染即随之消失，不会对周围环境产生长期不良影响，本项目施工噪声对周边环境的影响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val="en-US" w:eastAsia="zh-CN"/>
              </w:rPr>
              <w:t>较小</w:t>
            </w:r>
            <w:r>
              <w:rPr>
                <w:rFonts w:hint="eastAsia"/>
                <w:sz w:val="21"/>
                <w:szCs w:val="21"/>
                <w:lang w:eastAsia="zh-CN"/>
              </w:rPr>
              <w:t xml:space="preserve">。 </w:t>
            </w:r>
          </w:p>
          <w:p>
            <w:pPr>
              <w:spacing w:line="276" w:lineRule="auto"/>
              <w:ind w:left="0" w:leftChars="0" w:firstLine="0" w:firstLineChars="0"/>
              <w:rPr>
                <w:rFonts w:hint="eastAsia"/>
                <w:b/>
                <w:bCs/>
                <w:sz w:val="21"/>
                <w:szCs w:val="21"/>
                <w:lang w:eastAsia="zh-CN"/>
              </w:rPr>
            </w:pPr>
          </w:p>
          <w:p>
            <w:pPr>
              <w:spacing w:line="276" w:lineRule="auto"/>
              <w:ind w:left="0" w:leftChars="0" w:firstLine="0" w:firstLineChars="0"/>
              <w:rPr>
                <w:rFonts w:hint="eastAsia"/>
                <w:b/>
                <w:bCs/>
                <w:sz w:val="21"/>
                <w:szCs w:val="21"/>
                <w:lang w:eastAsia="zh-CN"/>
              </w:rPr>
            </w:pPr>
            <w:r>
              <w:rPr>
                <w:rFonts w:hint="eastAsia"/>
                <w:b/>
                <w:bCs/>
                <w:sz w:val="21"/>
                <w:szCs w:val="21"/>
                <w:lang w:eastAsia="zh-CN"/>
              </w:rPr>
              <w:t xml:space="preserve">4.1.4 施工期固体废物防治措施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施工期产生的固体废物主要为建筑物建设过程产生的建筑垃圾以及少量施工人员生</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 xml:space="preserve">活垃圾等。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 xml:space="preserve">（1）建筑垃圾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根据陈军等于2006年8月发表的《环境卫生工程》中第14卷4期《建筑垃圾的产生与循环利用管理》研究分析，单位建筑面积的建筑垃圾产生量约20~50kg/m</w:t>
            </w:r>
            <w:r>
              <w:rPr>
                <w:rFonts w:hint="eastAsia"/>
                <w:sz w:val="21"/>
                <w:szCs w:val="21"/>
                <w:vertAlign w:val="superscript"/>
                <w:lang w:eastAsia="zh-CN"/>
              </w:rPr>
              <w:t>2</w:t>
            </w:r>
            <w:r>
              <w:rPr>
                <w:rFonts w:hint="eastAsia"/>
                <w:sz w:val="21"/>
                <w:szCs w:val="21"/>
                <w:lang w:eastAsia="zh-CN"/>
              </w:rPr>
              <w:t>，本项目建筑垃圾产生量按30kg/m</w:t>
            </w:r>
            <w:r>
              <w:rPr>
                <w:rFonts w:hint="eastAsia"/>
                <w:sz w:val="21"/>
                <w:szCs w:val="21"/>
                <w:vertAlign w:val="superscript"/>
                <w:lang w:eastAsia="zh-CN"/>
              </w:rPr>
              <w:t>2</w:t>
            </w:r>
            <w:r>
              <w:rPr>
                <w:rFonts w:hint="eastAsia"/>
                <w:sz w:val="21"/>
                <w:szCs w:val="21"/>
                <w:lang w:eastAsia="zh-CN"/>
              </w:rPr>
              <w:t>的单位建筑垃圾产生量进行估算，本项目建筑面积为</w:t>
            </w:r>
            <w:r>
              <w:rPr>
                <w:rFonts w:hint="eastAsia"/>
                <w:sz w:val="21"/>
                <w:szCs w:val="21"/>
                <w:lang w:val="en-US" w:eastAsia="zh-CN"/>
              </w:rPr>
              <w:t>1470</w:t>
            </w:r>
            <w:r>
              <w:rPr>
                <w:rFonts w:hint="eastAsia"/>
                <w:sz w:val="21"/>
                <w:szCs w:val="21"/>
                <w:lang w:eastAsia="zh-CN"/>
              </w:rPr>
              <w:t>m</w:t>
            </w:r>
            <w:r>
              <w:rPr>
                <w:rFonts w:hint="eastAsia"/>
                <w:sz w:val="21"/>
                <w:szCs w:val="21"/>
                <w:vertAlign w:val="superscript"/>
                <w:lang w:eastAsia="zh-CN"/>
              </w:rPr>
              <w:t>2</w:t>
            </w:r>
            <w:r>
              <w:rPr>
                <w:rFonts w:hint="eastAsia"/>
                <w:sz w:val="21"/>
                <w:szCs w:val="21"/>
                <w:lang w:eastAsia="zh-CN"/>
              </w:rPr>
              <w:t>，则项目施工期建筑垃圾产生量约为4</w:t>
            </w:r>
            <w:r>
              <w:rPr>
                <w:rFonts w:hint="eastAsia"/>
                <w:sz w:val="21"/>
                <w:szCs w:val="21"/>
                <w:lang w:val="en-US" w:eastAsia="zh-CN"/>
              </w:rPr>
              <w:t>4.1</w:t>
            </w:r>
            <w:r>
              <w:rPr>
                <w:rFonts w:hint="eastAsia"/>
                <w:sz w:val="21"/>
                <w:szCs w:val="21"/>
                <w:lang w:eastAsia="zh-CN"/>
              </w:rPr>
              <w:t>t。产生的建筑垃圾能利用的部分回收利用，不能</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利用的部分将运至市政指定地点堆存，建筑垃圾禁止随意丢弃及与生活垃圾一起混合堆</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 xml:space="preserve">放，严禁乱堆乱放。对建筑垃圾临时堆放场应采取覆盖措施，避免产生水土流失。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u w:val="single"/>
                <w:lang w:eastAsia="zh-CN"/>
              </w:rPr>
            </w:pPr>
            <w:r>
              <w:rPr>
                <w:rFonts w:hint="eastAsia"/>
                <w:sz w:val="21"/>
                <w:szCs w:val="21"/>
                <w:u w:val="single"/>
                <w:lang w:eastAsia="zh-CN"/>
              </w:rPr>
              <w:t>（</w:t>
            </w:r>
            <w:r>
              <w:rPr>
                <w:rFonts w:hint="eastAsia"/>
                <w:sz w:val="21"/>
                <w:szCs w:val="21"/>
                <w:u w:val="single"/>
                <w:lang w:val="en-US" w:eastAsia="zh-CN"/>
              </w:rPr>
              <w:t>2</w:t>
            </w:r>
            <w:r>
              <w:rPr>
                <w:rFonts w:hint="eastAsia"/>
                <w:sz w:val="21"/>
                <w:szCs w:val="21"/>
                <w:u w:val="single"/>
                <w:lang w:eastAsia="zh-CN"/>
              </w:rPr>
              <w:t>）废弃土方</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default"/>
                <w:sz w:val="21"/>
                <w:szCs w:val="21"/>
                <w:u w:val="single"/>
                <w:lang w:val="en-US" w:eastAsia="zh-CN"/>
              </w:rPr>
            </w:pPr>
            <w:r>
              <w:rPr>
                <w:rFonts w:hint="eastAsia"/>
                <w:sz w:val="21"/>
                <w:szCs w:val="21"/>
                <w:u w:val="single"/>
                <w:lang w:eastAsia="zh-CN"/>
              </w:rPr>
              <w:t>新建丙类仓库基础开挖</w:t>
            </w:r>
            <w:r>
              <w:rPr>
                <w:rFonts w:hint="eastAsia"/>
                <w:sz w:val="21"/>
                <w:szCs w:val="21"/>
                <w:u w:val="single"/>
                <w:lang w:val="en-US" w:eastAsia="zh-CN"/>
              </w:rPr>
              <w:t>包括对原有仓库区开挖</w:t>
            </w:r>
            <w:r>
              <w:rPr>
                <w:rFonts w:hint="eastAsia"/>
                <w:sz w:val="21"/>
                <w:szCs w:val="21"/>
                <w:u w:val="single"/>
                <w:lang w:eastAsia="zh-CN"/>
              </w:rPr>
              <w:t>，产生一定量的废弃土方，</w:t>
            </w:r>
            <w:r>
              <w:rPr>
                <w:rFonts w:hint="eastAsia"/>
                <w:sz w:val="21"/>
                <w:szCs w:val="21"/>
                <w:u w:val="single"/>
                <w:lang w:val="en-US" w:eastAsia="zh-CN"/>
              </w:rPr>
              <w:t>为方便装卸，</w:t>
            </w:r>
            <w:r>
              <w:rPr>
                <w:rFonts w:hint="eastAsia"/>
                <w:sz w:val="21"/>
                <w:szCs w:val="21"/>
                <w:u w:val="single"/>
                <w:lang w:eastAsia="zh-CN"/>
              </w:rPr>
              <w:t>仓库地面与厂区地面约有</w:t>
            </w:r>
            <w:r>
              <w:rPr>
                <w:rFonts w:hint="eastAsia"/>
                <w:sz w:val="21"/>
                <w:szCs w:val="21"/>
                <w:u w:val="single"/>
                <w:lang w:val="en-US" w:eastAsia="zh-CN"/>
              </w:rPr>
              <w:t>60-80cm的高程差，新建仓库面积比原仓库面积大得多，因此，多余的土方无需外运，在施工期临时规范堆存，采取覆盖和拦挡等措施，防止水土流失，后期用于新仓库地面的填高。废弃土方对外环境的影响较小。</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w:t>
            </w:r>
            <w:r>
              <w:rPr>
                <w:rFonts w:hint="eastAsia"/>
                <w:sz w:val="21"/>
                <w:szCs w:val="21"/>
                <w:lang w:val="en-US" w:eastAsia="zh-CN"/>
              </w:rPr>
              <w:t>3</w:t>
            </w:r>
            <w:r>
              <w:rPr>
                <w:rFonts w:hint="eastAsia"/>
                <w:sz w:val="21"/>
                <w:szCs w:val="21"/>
                <w:lang w:eastAsia="zh-CN"/>
              </w:rPr>
              <w:t xml:space="preserve">）生活垃圾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施工人员按</w:t>
            </w:r>
            <w:r>
              <w:rPr>
                <w:rFonts w:hint="eastAsia"/>
                <w:sz w:val="21"/>
                <w:szCs w:val="21"/>
                <w:lang w:val="en-US" w:eastAsia="zh-CN"/>
              </w:rPr>
              <w:t>20</w:t>
            </w:r>
            <w:r>
              <w:rPr>
                <w:rFonts w:hint="eastAsia"/>
                <w:sz w:val="21"/>
                <w:szCs w:val="21"/>
                <w:lang w:eastAsia="zh-CN"/>
              </w:rPr>
              <w:t>人计，工地生活垃圾产生量平均按0.5kg/人.d计，则产生量为</w:t>
            </w:r>
            <w:r>
              <w:rPr>
                <w:rFonts w:hint="eastAsia"/>
                <w:sz w:val="21"/>
                <w:szCs w:val="21"/>
                <w:lang w:val="en-US" w:eastAsia="zh-CN"/>
              </w:rPr>
              <w:t>10</w:t>
            </w:r>
            <w:r>
              <w:rPr>
                <w:rFonts w:hint="eastAsia"/>
                <w:sz w:val="21"/>
                <w:szCs w:val="21"/>
                <w:lang w:eastAsia="zh-CN"/>
              </w:rPr>
              <w:t>kg/d</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左右，施工期计划</w:t>
            </w:r>
            <w:r>
              <w:rPr>
                <w:rFonts w:hint="eastAsia"/>
                <w:sz w:val="21"/>
                <w:szCs w:val="21"/>
                <w:lang w:val="en-US" w:eastAsia="zh-CN"/>
              </w:rPr>
              <w:t>14</w:t>
            </w:r>
            <w:r>
              <w:rPr>
                <w:rFonts w:hint="eastAsia"/>
                <w:sz w:val="21"/>
                <w:szCs w:val="21"/>
                <w:lang w:eastAsia="zh-CN"/>
              </w:rPr>
              <w:t>个月完成，则生活垃圾产生量为</w:t>
            </w:r>
            <w:r>
              <w:rPr>
                <w:rFonts w:hint="eastAsia"/>
                <w:sz w:val="21"/>
                <w:szCs w:val="21"/>
                <w:lang w:val="en-US" w:eastAsia="zh-CN"/>
              </w:rPr>
              <w:t>4.2</w:t>
            </w:r>
            <w:r>
              <w:rPr>
                <w:rFonts w:hint="eastAsia"/>
                <w:sz w:val="21"/>
                <w:szCs w:val="21"/>
                <w:lang w:eastAsia="zh-CN"/>
              </w:rPr>
              <w:t>t。</w:t>
            </w:r>
            <w:r>
              <w:rPr>
                <w:rFonts w:hint="eastAsia"/>
                <w:sz w:val="21"/>
                <w:szCs w:val="21"/>
                <w:lang w:val="en-US" w:eastAsia="zh-CN"/>
              </w:rPr>
              <w:t>本企业厂区设置完善的生活垃圾收集设施，</w:t>
            </w:r>
            <w:r>
              <w:rPr>
                <w:rFonts w:hint="eastAsia"/>
                <w:sz w:val="21"/>
                <w:szCs w:val="21"/>
                <w:lang w:eastAsia="zh-CN"/>
              </w:rPr>
              <w:t>施工人员生活垃圾</w:t>
            </w:r>
            <w:r>
              <w:rPr>
                <w:rFonts w:hint="eastAsia"/>
                <w:sz w:val="21"/>
                <w:szCs w:val="21"/>
                <w:lang w:val="en-US" w:eastAsia="zh-CN"/>
              </w:rPr>
              <w:t>可依托厂区的生活垃圾</w:t>
            </w:r>
            <w:r>
              <w:rPr>
                <w:rFonts w:hint="eastAsia"/>
                <w:sz w:val="21"/>
                <w:szCs w:val="21"/>
                <w:lang w:eastAsia="zh-CN"/>
              </w:rPr>
              <w:t>收集</w:t>
            </w:r>
            <w:r>
              <w:rPr>
                <w:rFonts w:hint="eastAsia"/>
                <w:sz w:val="21"/>
                <w:szCs w:val="21"/>
                <w:lang w:val="en-US" w:eastAsia="zh-CN"/>
              </w:rPr>
              <w:t>设施</w:t>
            </w:r>
            <w:r>
              <w:rPr>
                <w:rFonts w:hint="eastAsia"/>
                <w:sz w:val="21"/>
                <w:szCs w:val="21"/>
                <w:lang w:eastAsia="zh-CN"/>
              </w:rPr>
              <w:t>，</w:t>
            </w:r>
            <w:r>
              <w:rPr>
                <w:rFonts w:hint="eastAsia"/>
                <w:sz w:val="21"/>
                <w:szCs w:val="21"/>
                <w:lang w:val="en-US" w:eastAsia="zh-CN"/>
              </w:rPr>
              <w:t>与厂区内的其他生活垃圾一起，</w:t>
            </w:r>
            <w:r>
              <w:rPr>
                <w:rFonts w:hint="eastAsia"/>
                <w:sz w:val="21"/>
                <w:szCs w:val="21"/>
                <w:lang w:eastAsia="zh-CN"/>
              </w:rPr>
              <w:t xml:space="preserve">定期由环卫部门清运。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 xml:space="preserve">综上，项目施工固体废物均可得到妥善处置，对环境影响较小。 </w:t>
            </w:r>
          </w:p>
          <w:p>
            <w:pPr>
              <w:spacing w:line="276" w:lineRule="auto"/>
              <w:ind w:left="0" w:leftChars="0" w:firstLine="0" w:firstLineChars="0"/>
              <w:rPr>
                <w:rFonts w:hint="eastAsia"/>
                <w:b/>
                <w:bCs/>
                <w:sz w:val="21"/>
                <w:szCs w:val="21"/>
                <w:lang w:eastAsia="zh-CN"/>
              </w:rPr>
            </w:pPr>
            <w:r>
              <w:rPr>
                <w:rFonts w:hint="eastAsia"/>
                <w:b/>
                <w:bCs/>
                <w:sz w:val="21"/>
                <w:szCs w:val="21"/>
                <w:lang w:eastAsia="zh-CN"/>
              </w:rPr>
              <w:t xml:space="preserve">4.1.5施工期生态环境保护措施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val="en-US" w:eastAsia="zh-CN"/>
              </w:rPr>
              <w:t>本项目在现有厂区范围内进行建设，不新增用地，对周边生态环境基本不产生影响，但</w:t>
            </w:r>
            <w:r>
              <w:rPr>
                <w:rFonts w:hint="eastAsia"/>
                <w:sz w:val="21"/>
                <w:szCs w:val="21"/>
                <w:lang w:eastAsia="zh-CN"/>
              </w:rPr>
              <w:t>建设期间</w:t>
            </w:r>
            <w:r>
              <w:rPr>
                <w:rFonts w:hint="eastAsia"/>
                <w:sz w:val="21"/>
                <w:szCs w:val="21"/>
                <w:lang w:val="en-US" w:eastAsia="zh-CN"/>
              </w:rPr>
              <w:t>仓库地</w:t>
            </w:r>
            <w:r>
              <w:rPr>
                <w:rFonts w:hint="eastAsia"/>
                <w:sz w:val="21"/>
                <w:szCs w:val="21"/>
                <w:lang w:eastAsia="zh-CN"/>
              </w:rPr>
              <w:t>基施工时要进行开挖，可能在挖土方处会产生水土流失的现象，施工期间施工地周围堆放原材料以及建筑垃圾等弃渣，</w:t>
            </w:r>
            <w:r>
              <w:rPr>
                <w:rFonts w:hint="eastAsia"/>
                <w:sz w:val="21"/>
                <w:szCs w:val="21"/>
                <w:lang w:val="en-US" w:eastAsia="zh-CN"/>
              </w:rPr>
              <w:t>在雨水冲刷下可产生</w:t>
            </w:r>
            <w:r>
              <w:rPr>
                <w:rFonts w:hint="eastAsia"/>
                <w:sz w:val="21"/>
                <w:szCs w:val="21"/>
                <w:lang w:eastAsia="zh-CN"/>
              </w:rPr>
              <w:t xml:space="preserve">水土流失的现象。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为减少施工期对周围</w:t>
            </w:r>
            <w:r>
              <w:rPr>
                <w:rFonts w:hint="eastAsia"/>
                <w:sz w:val="21"/>
                <w:szCs w:val="21"/>
                <w:lang w:val="en-US" w:eastAsia="zh-CN"/>
              </w:rPr>
              <w:t>生态</w:t>
            </w:r>
            <w:r>
              <w:rPr>
                <w:rFonts w:hint="eastAsia"/>
                <w:sz w:val="21"/>
                <w:szCs w:val="21"/>
                <w:lang w:eastAsia="zh-CN"/>
              </w:rPr>
              <w:t xml:space="preserve">环境的影响，项目应采取以下措施：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20" w:firstLineChars="200"/>
              <w:textAlignment w:val="auto"/>
              <w:rPr>
                <w:rFonts w:hint="eastAsia"/>
                <w:sz w:val="21"/>
                <w:szCs w:val="21"/>
                <w:lang w:eastAsia="zh-CN"/>
              </w:rPr>
            </w:pPr>
            <w:r>
              <w:rPr>
                <w:rFonts w:hint="eastAsia"/>
                <w:sz w:val="21"/>
                <w:szCs w:val="21"/>
                <w:lang w:eastAsia="zh-CN"/>
              </w:rPr>
              <w:t xml:space="preserve">（1）施工工区等临时建筑尽可能采用成品或简易拼装方式，尽量减轻对土壤及植被的破坏。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20" w:firstLineChars="200"/>
              <w:textAlignment w:val="auto"/>
              <w:rPr>
                <w:rFonts w:hint="eastAsia"/>
                <w:sz w:val="21"/>
                <w:szCs w:val="21"/>
                <w:lang w:eastAsia="zh-CN"/>
              </w:rPr>
            </w:pPr>
            <w:r>
              <w:rPr>
                <w:rFonts w:hint="eastAsia"/>
                <w:sz w:val="21"/>
                <w:szCs w:val="21"/>
                <w:lang w:eastAsia="zh-CN"/>
              </w:rPr>
              <w:t>（</w:t>
            </w:r>
            <w:r>
              <w:rPr>
                <w:rFonts w:hint="eastAsia"/>
                <w:sz w:val="21"/>
                <w:szCs w:val="21"/>
                <w:lang w:val="en-US" w:eastAsia="zh-CN"/>
              </w:rPr>
              <w:t>2</w:t>
            </w:r>
            <w:r>
              <w:rPr>
                <w:rFonts w:hint="eastAsia"/>
                <w:sz w:val="21"/>
                <w:szCs w:val="21"/>
                <w:lang w:eastAsia="zh-CN"/>
              </w:rPr>
              <w:t xml:space="preserve">）施工期应合理安排工程进度，建筑垃圾及时清理。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20" w:firstLineChars="200"/>
              <w:textAlignment w:val="auto"/>
              <w:rPr>
                <w:rFonts w:hint="eastAsia"/>
                <w:sz w:val="21"/>
                <w:szCs w:val="21"/>
                <w:lang w:eastAsia="zh-CN"/>
              </w:rPr>
            </w:pPr>
            <w:r>
              <w:rPr>
                <w:rFonts w:hint="eastAsia"/>
                <w:sz w:val="21"/>
                <w:szCs w:val="21"/>
                <w:lang w:eastAsia="zh-CN"/>
              </w:rPr>
              <w:t>（</w:t>
            </w:r>
            <w:r>
              <w:rPr>
                <w:rFonts w:hint="eastAsia"/>
                <w:sz w:val="21"/>
                <w:szCs w:val="21"/>
                <w:lang w:val="en-US" w:eastAsia="zh-CN"/>
              </w:rPr>
              <w:t>3</w:t>
            </w:r>
            <w:r>
              <w:rPr>
                <w:rFonts w:hint="eastAsia"/>
                <w:sz w:val="21"/>
                <w:szCs w:val="21"/>
                <w:lang w:eastAsia="zh-CN"/>
              </w:rPr>
              <w:t xml:space="preserve">）开挖后的裸露区域应及时进行施工或采取遮盖措施，以免雨水冲刷造成水土流失。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20" w:firstLineChars="200"/>
              <w:textAlignment w:val="auto"/>
              <w:rPr>
                <w:rFonts w:hint="eastAsia"/>
                <w:sz w:val="21"/>
                <w:szCs w:val="21"/>
                <w:lang w:eastAsia="zh-CN"/>
              </w:rPr>
            </w:pPr>
            <w:r>
              <w:rPr>
                <w:rFonts w:hint="eastAsia"/>
                <w:sz w:val="21"/>
                <w:szCs w:val="21"/>
                <w:lang w:eastAsia="zh-CN"/>
              </w:rPr>
              <w:t>（</w:t>
            </w:r>
            <w:r>
              <w:rPr>
                <w:rFonts w:hint="eastAsia"/>
                <w:sz w:val="21"/>
                <w:szCs w:val="21"/>
                <w:lang w:val="en-US" w:eastAsia="zh-CN"/>
              </w:rPr>
              <w:t>4</w:t>
            </w:r>
            <w:r>
              <w:rPr>
                <w:rFonts w:hint="eastAsia"/>
                <w:sz w:val="21"/>
                <w:szCs w:val="21"/>
                <w:lang w:eastAsia="zh-CN"/>
              </w:rPr>
              <w:t>）开挖土方尽可能回填于项目低洼地段，临时堆土场周围设挡土围栏，堆土场上</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 xml:space="preserve">游和两侧设排水沟，防止大雨时水土流失。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w:t>
            </w:r>
            <w:r>
              <w:rPr>
                <w:rFonts w:hint="eastAsia"/>
                <w:sz w:val="21"/>
                <w:szCs w:val="21"/>
                <w:lang w:val="en-US" w:eastAsia="zh-CN"/>
              </w:rPr>
              <w:t>5</w:t>
            </w:r>
            <w:r>
              <w:rPr>
                <w:rFonts w:hint="eastAsia"/>
                <w:sz w:val="21"/>
                <w:szCs w:val="21"/>
                <w:lang w:eastAsia="zh-CN"/>
              </w:rPr>
              <w:t>）主体工程的土方填筑结束后，立即对绿化区回填表土植种草木，项目区建成后</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textAlignment w:val="auto"/>
              <w:rPr>
                <w:rFonts w:hint="eastAsia"/>
                <w:sz w:val="21"/>
                <w:szCs w:val="21"/>
                <w:lang w:eastAsia="zh-CN"/>
              </w:rPr>
            </w:pPr>
            <w:r>
              <w:rPr>
                <w:rFonts w:hint="eastAsia"/>
                <w:sz w:val="21"/>
                <w:szCs w:val="21"/>
                <w:lang w:eastAsia="zh-CN"/>
              </w:rPr>
              <w:t xml:space="preserve">尽快恢复周围受影响的植被。 </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eastAsia"/>
                <w:sz w:val="21"/>
                <w:szCs w:val="21"/>
                <w:lang w:eastAsia="zh-CN"/>
              </w:rPr>
            </w:pPr>
            <w:r>
              <w:rPr>
                <w:rFonts w:hint="eastAsia"/>
                <w:sz w:val="21"/>
                <w:szCs w:val="21"/>
                <w:lang w:eastAsia="zh-CN"/>
              </w:rPr>
              <w:t>因此，通过合理安排工期、采取得当措施处理后，项目对周围生态环境影响较小。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left="0" w:leftChars="0" w:firstLine="420" w:firstLineChars="200"/>
              <w:textAlignment w:val="auto"/>
              <w:rPr>
                <w:rFonts w:hint="default" w:eastAsia="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817" w:type="dxa"/>
            <w:vAlign w:val="center"/>
          </w:tcPr>
          <w:p>
            <w:pPr>
              <w:spacing w:line="240" w:lineRule="auto"/>
              <w:ind w:firstLine="0" w:firstLineChars="0"/>
              <w:jc w:val="center"/>
              <w:rPr>
                <w:rFonts w:ascii="宋体" w:hAnsi="宋体" w:cs="宋体"/>
                <w:bCs/>
                <w:sz w:val="21"/>
                <w:szCs w:val="21"/>
              </w:rPr>
            </w:pPr>
            <w:r>
              <w:rPr>
                <w:rFonts w:hint="eastAsia" w:ascii="宋体" w:hAnsi="宋体" w:cs="宋体"/>
                <w:bCs/>
                <w:sz w:val="21"/>
                <w:szCs w:val="21"/>
              </w:rPr>
              <w:t>运营</w:t>
            </w:r>
          </w:p>
          <w:p>
            <w:pPr>
              <w:spacing w:line="240" w:lineRule="auto"/>
              <w:ind w:firstLine="0" w:firstLineChars="0"/>
              <w:jc w:val="center"/>
              <w:rPr>
                <w:rFonts w:ascii="宋体" w:hAnsi="宋体" w:cs="宋体"/>
                <w:bCs/>
                <w:sz w:val="21"/>
                <w:szCs w:val="21"/>
              </w:rPr>
            </w:pPr>
            <w:r>
              <w:rPr>
                <w:rFonts w:hint="eastAsia" w:ascii="宋体" w:hAnsi="宋体" w:cs="宋体"/>
                <w:bCs/>
                <w:sz w:val="21"/>
                <w:szCs w:val="21"/>
              </w:rPr>
              <w:t>期环</w:t>
            </w:r>
          </w:p>
          <w:p>
            <w:pPr>
              <w:spacing w:line="240" w:lineRule="auto"/>
              <w:ind w:firstLine="0" w:firstLineChars="0"/>
              <w:jc w:val="center"/>
              <w:rPr>
                <w:rFonts w:ascii="宋体" w:hAnsi="宋体" w:cs="宋体"/>
                <w:bCs/>
                <w:sz w:val="21"/>
                <w:szCs w:val="21"/>
              </w:rPr>
            </w:pPr>
            <w:r>
              <w:rPr>
                <w:rFonts w:hint="eastAsia" w:ascii="宋体" w:hAnsi="宋体" w:cs="宋体"/>
                <w:bCs/>
                <w:sz w:val="21"/>
                <w:szCs w:val="21"/>
              </w:rPr>
              <w:t>境影</w:t>
            </w:r>
          </w:p>
          <w:p>
            <w:pPr>
              <w:spacing w:line="240" w:lineRule="auto"/>
              <w:ind w:firstLine="0" w:firstLineChars="0"/>
              <w:jc w:val="center"/>
              <w:rPr>
                <w:rFonts w:ascii="宋体" w:hAnsi="宋体" w:cs="宋体"/>
                <w:bCs/>
                <w:sz w:val="21"/>
                <w:szCs w:val="21"/>
              </w:rPr>
            </w:pPr>
            <w:r>
              <w:rPr>
                <w:rFonts w:hint="eastAsia" w:ascii="宋体" w:hAnsi="宋体" w:cs="宋体"/>
                <w:bCs/>
                <w:sz w:val="21"/>
                <w:szCs w:val="21"/>
              </w:rPr>
              <w:t>响和</w:t>
            </w:r>
          </w:p>
          <w:p>
            <w:pPr>
              <w:spacing w:line="240" w:lineRule="auto"/>
              <w:ind w:firstLine="0" w:firstLineChars="0"/>
              <w:jc w:val="center"/>
              <w:rPr>
                <w:rFonts w:ascii="宋体" w:hAnsi="宋体" w:cs="宋体"/>
                <w:bCs/>
                <w:sz w:val="21"/>
                <w:szCs w:val="21"/>
              </w:rPr>
            </w:pPr>
            <w:r>
              <w:rPr>
                <w:rFonts w:hint="eastAsia" w:ascii="宋体" w:hAnsi="宋体" w:cs="宋体"/>
                <w:bCs/>
                <w:sz w:val="21"/>
                <w:szCs w:val="21"/>
              </w:rPr>
              <w:t>保护</w:t>
            </w:r>
          </w:p>
          <w:p>
            <w:pPr>
              <w:spacing w:line="240" w:lineRule="auto"/>
              <w:ind w:firstLine="0" w:firstLineChars="0"/>
              <w:jc w:val="center"/>
              <w:rPr>
                <w:sz w:val="21"/>
                <w:szCs w:val="21"/>
              </w:rPr>
            </w:pPr>
            <w:r>
              <w:rPr>
                <w:rFonts w:hint="eastAsia" w:ascii="宋体" w:hAnsi="宋体" w:cs="宋体"/>
                <w:bCs/>
                <w:sz w:val="21"/>
                <w:szCs w:val="21"/>
              </w:rPr>
              <w:t>措施</w:t>
            </w:r>
          </w:p>
        </w:tc>
        <w:tc>
          <w:tcPr>
            <w:tcW w:w="8243" w:type="dxa"/>
          </w:tcPr>
          <w:p>
            <w:pPr>
              <w:spacing w:line="276" w:lineRule="auto"/>
              <w:ind w:firstLine="0" w:firstLineChars="0"/>
              <w:rPr>
                <w:rFonts w:hint="eastAsia"/>
                <w:b/>
                <w:bCs/>
                <w:sz w:val="21"/>
                <w:szCs w:val="21"/>
                <w:lang w:val="en-US" w:eastAsia="zh-CN"/>
              </w:rPr>
            </w:pPr>
            <w:r>
              <w:rPr>
                <w:rFonts w:hint="eastAsia"/>
                <w:b/>
                <w:bCs/>
                <w:sz w:val="21"/>
                <w:szCs w:val="21"/>
                <w:lang w:val="en-US" w:eastAsia="zh-CN"/>
              </w:rPr>
              <w:t>4.2项目营运期的环境影响和保护措施</w:t>
            </w:r>
          </w:p>
          <w:p>
            <w:pPr>
              <w:spacing w:line="276" w:lineRule="auto"/>
              <w:ind w:firstLine="0" w:firstLineChars="0"/>
              <w:rPr>
                <w:rFonts w:hint="eastAsia" w:eastAsia="宋体"/>
                <w:b/>
                <w:bCs/>
                <w:sz w:val="21"/>
                <w:szCs w:val="21"/>
                <w:lang w:eastAsia="zh-CN"/>
              </w:rPr>
            </w:pPr>
            <w:r>
              <w:rPr>
                <w:rFonts w:hint="eastAsia"/>
                <w:b/>
                <w:bCs/>
                <w:sz w:val="21"/>
                <w:szCs w:val="21"/>
              </w:rPr>
              <w:t>1、废气</w:t>
            </w:r>
            <w:r>
              <w:rPr>
                <w:rFonts w:hint="eastAsia"/>
                <w:b/>
                <w:bCs/>
                <w:sz w:val="21"/>
                <w:szCs w:val="21"/>
                <w:lang w:eastAsia="zh-CN"/>
              </w:rPr>
              <w:t>影响分析及保护措施</w:t>
            </w:r>
          </w:p>
          <w:p>
            <w:pPr>
              <w:spacing w:line="276" w:lineRule="auto"/>
              <w:ind w:firstLine="420"/>
              <w:rPr>
                <w:rFonts w:hint="eastAsia"/>
                <w:sz w:val="21"/>
                <w:szCs w:val="21"/>
                <w:lang w:eastAsia="zh-CN"/>
              </w:rPr>
            </w:pPr>
            <w:r>
              <w:rPr>
                <w:rFonts w:hint="eastAsia"/>
                <w:sz w:val="21"/>
                <w:szCs w:val="21"/>
              </w:rPr>
              <w:t>（1）</w:t>
            </w:r>
            <w:r>
              <w:rPr>
                <w:rFonts w:hint="eastAsia"/>
                <w:sz w:val="21"/>
                <w:szCs w:val="21"/>
                <w:lang w:eastAsia="zh-CN"/>
              </w:rPr>
              <w:t>污染源分析</w:t>
            </w:r>
          </w:p>
          <w:p>
            <w:pPr>
              <w:spacing w:line="276" w:lineRule="auto"/>
              <w:ind w:firstLine="420"/>
              <w:rPr>
                <w:rFonts w:hint="eastAsia"/>
                <w:sz w:val="21"/>
                <w:szCs w:val="21"/>
                <w:lang w:eastAsia="zh-CN"/>
              </w:rPr>
            </w:pPr>
            <w:r>
              <w:rPr>
                <w:rFonts w:hint="eastAsia"/>
                <w:sz w:val="21"/>
                <w:szCs w:val="21"/>
                <w:lang w:eastAsia="zh-CN"/>
              </w:rPr>
              <w:t>本</w:t>
            </w:r>
            <w:r>
              <w:rPr>
                <w:rFonts w:hint="eastAsia"/>
                <w:sz w:val="21"/>
                <w:szCs w:val="21"/>
              </w:rPr>
              <w:t>项目营运期</w:t>
            </w:r>
            <w:r>
              <w:rPr>
                <w:rFonts w:hint="eastAsia"/>
                <w:sz w:val="21"/>
                <w:szCs w:val="21"/>
                <w:lang w:eastAsia="zh-CN"/>
              </w:rPr>
              <w:t>不产生工艺</w:t>
            </w:r>
            <w:r>
              <w:rPr>
                <w:rFonts w:hint="eastAsia"/>
                <w:sz w:val="21"/>
                <w:szCs w:val="21"/>
              </w:rPr>
              <w:t>废气</w:t>
            </w:r>
            <w:r>
              <w:rPr>
                <w:rFonts w:hint="eastAsia"/>
                <w:sz w:val="21"/>
                <w:szCs w:val="21"/>
                <w:lang w:eastAsia="zh-CN"/>
              </w:rPr>
              <w:t>，项目储存的挥发性有机物质为丙类液体，均采用密封桶进行储存。</w:t>
            </w:r>
          </w:p>
          <w:p>
            <w:pPr>
              <w:spacing w:line="276" w:lineRule="auto"/>
              <w:ind w:firstLine="420"/>
              <w:rPr>
                <w:rFonts w:hint="eastAsia"/>
                <w:sz w:val="21"/>
                <w:szCs w:val="21"/>
              </w:rPr>
            </w:pPr>
            <w:r>
              <w:rPr>
                <w:rFonts w:hint="eastAsia"/>
                <w:sz w:val="21"/>
                <w:szCs w:val="21"/>
                <w:lang w:eastAsia="zh-CN"/>
              </w:rPr>
              <w:t>由于苯甲醇、乙二醇、冷冻机油、丁硫克百威、丙硫克百威、仲丁威等物质均为粘稠液体，常温下本身的挥发性就较低，再用密封桶进行储存，几乎不产生物料的挥发气体</w:t>
            </w:r>
            <w:r>
              <w:rPr>
                <w:rFonts w:hint="eastAsia"/>
                <w:sz w:val="21"/>
                <w:szCs w:val="21"/>
              </w:rPr>
              <w:t>。</w:t>
            </w:r>
          </w:p>
          <w:p>
            <w:pPr>
              <w:spacing w:line="276" w:lineRule="auto"/>
              <w:ind w:firstLine="420"/>
              <w:rPr>
                <w:rFonts w:hint="eastAsia"/>
                <w:sz w:val="21"/>
                <w:szCs w:val="21"/>
                <w:lang w:val="en-US" w:eastAsia="zh-CN"/>
              </w:rPr>
            </w:pPr>
            <w:r>
              <w:rPr>
                <w:rFonts w:hint="eastAsia"/>
                <w:sz w:val="21"/>
                <w:szCs w:val="21"/>
                <w:lang w:val="en-US" w:eastAsia="zh-CN"/>
              </w:rPr>
              <w:t>氯菊酯、乙酸苄酯等物质常温下易挥发，均为原材料，购买时已用密封桶包装，不在仓库内进行装卸作业，仅仅在仓库内储存时，可能产生极少量的放散气体，分隔储存区采取负压收集处理后排放。</w:t>
            </w:r>
          </w:p>
          <w:p>
            <w:pPr>
              <w:numPr>
                <w:ilvl w:val="0"/>
                <w:numId w:val="0"/>
              </w:numPr>
              <w:spacing w:line="276" w:lineRule="auto"/>
              <w:ind w:leftChars="100"/>
              <w:rPr>
                <w:rFonts w:hint="eastAsia"/>
                <w:sz w:val="21"/>
                <w:szCs w:val="21"/>
                <w:lang w:val="en-US" w:eastAsia="zh-CN"/>
              </w:rPr>
            </w:pPr>
            <w:r>
              <w:rPr>
                <w:rFonts w:hint="eastAsia"/>
                <w:sz w:val="21"/>
                <w:szCs w:val="21"/>
                <w:lang w:val="en-US" w:eastAsia="zh-CN"/>
              </w:rPr>
              <w:t>（2）大气环境保护措施</w:t>
            </w:r>
          </w:p>
          <w:p>
            <w:pPr>
              <w:numPr>
                <w:ilvl w:val="0"/>
                <w:numId w:val="0"/>
              </w:numPr>
              <w:spacing w:line="276" w:lineRule="auto"/>
              <w:ind w:firstLine="420" w:firstLineChars="200"/>
              <w:rPr>
                <w:rFonts w:hint="eastAsia"/>
                <w:sz w:val="21"/>
                <w:szCs w:val="21"/>
                <w:lang w:val="en-US" w:eastAsia="zh-CN"/>
              </w:rPr>
            </w:pPr>
            <w:r>
              <w:rPr>
                <w:rFonts w:hint="eastAsia"/>
                <w:sz w:val="21"/>
                <w:szCs w:val="21"/>
                <w:lang w:val="en-US" w:eastAsia="zh-CN"/>
              </w:rPr>
              <w:t>本项目仓库对挥发性极低的储存区域采用自然通风和机械排风相结合的方式，进行仓库通风换气，日常换气次数＞10次/h，使之处于安全水平。</w:t>
            </w:r>
          </w:p>
          <w:p>
            <w:pPr>
              <w:numPr>
                <w:ilvl w:val="0"/>
                <w:numId w:val="0"/>
              </w:numPr>
              <w:spacing w:line="276" w:lineRule="auto"/>
              <w:ind w:firstLine="420" w:firstLineChars="200"/>
              <w:rPr>
                <w:rFonts w:hint="eastAsia"/>
                <w:sz w:val="21"/>
                <w:szCs w:val="21"/>
                <w:lang w:val="en-US" w:eastAsia="zh-CN"/>
              </w:rPr>
            </w:pPr>
            <w:r>
              <w:rPr>
                <w:rFonts w:hint="eastAsia"/>
                <w:sz w:val="21"/>
                <w:szCs w:val="21"/>
                <w:u w:val="single"/>
                <w:lang w:val="en-US" w:eastAsia="zh-CN"/>
              </w:rPr>
              <w:t>本项目丙类仓库西北部氯菊酯、乙酸苄酯</w:t>
            </w:r>
            <w:r>
              <w:rPr>
                <w:rFonts w:hint="eastAsia" w:cs="Times New Roman"/>
                <w:color w:val="auto"/>
                <w:sz w:val="21"/>
                <w:szCs w:val="21"/>
                <w:u w:val="single"/>
                <w:lang w:val="en-US" w:eastAsia="zh-CN"/>
              </w:rPr>
              <w:t>等有可能产生少量挥发性物料的分隔</w:t>
            </w:r>
            <w:r>
              <w:rPr>
                <w:rFonts w:hint="eastAsia"/>
                <w:sz w:val="21"/>
                <w:szCs w:val="21"/>
                <w:u w:val="single"/>
                <w:lang w:val="en-US" w:eastAsia="zh-CN"/>
              </w:rPr>
              <w:t>储存区域约200平方米，设置有机废气负压收集装置，收集的有机废气依托公司已建的蓄热式废气焚烧炉（RTO）处理，公司目前配置的两套RTO系统采用“一用一备”运行方式。处理能力分别为48000m³/h和30000m³/h，用于集中处理生产线、废水处理站、固废暂存区及原料仓库等环节产生的挥发性有机废气（VOCs）。</w:t>
            </w:r>
          </w:p>
          <w:p>
            <w:pPr>
              <w:numPr>
                <w:ilvl w:val="0"/>
                <w:numId w:val="0"/>
              </w:numPr>
              <w:spacing w:line="276" w:lineRule="auto"/>
              <w:ind w:firstLine="420" w:firstLineChars="200"/>
              <w:rPr>
                <w:rFonts w:hint="default"/>
                <w:sz w:val="21"/>
                <w:szCs w:val="21"/>
                <w:lang w:val="en-US" w:eastAsia="zh-CN"/>
              </w:rPr>
            </w:pPr>
            <w:r>
              <w:rPr>
                <w:rFonts w:hint="eastAsia"/>
                <w:sz w:val="21"/>
                <w:szCs w:val="21"/>
                <w:lang w:val="en-US" w:eastAsia="zh-CN"/>
              </w:rPr>
              <w:t>综上，本项目储存物料产生的废气量极少，对周边大气环境的影响也较小。</w:t>
            </w:r>
          </w:p>
          <w:p>
            <w:pPr>
              <w:spacing w:before="156" w:beforeLines="50" w:line="276" w:lineRule="auto"/>
              <w:ind w:firstLine="0" w:firstLineChars="0"/>
              <w:rPr>
                <w:b/>
                <w:bCs/>
                <w:sz w:val="21"/>
                <w:szCs w:val="21"/>
              </w:rPr>
            </w:pPr>
            <w:r>
              <w:rPr>
                <w:rFonts w:hint="eastAsia"/>
                <w:b/>
                <w:bCs/>
                <w:sz w:val="21"/>
                <w:szCs w:val="21"/>
              </w:rPr>
              <w:t>2、废水</w:t>
            </w:r>
            <w:r>
              <w:rPr>
                <w:rFonts w:hint="eastAsia"/>
                <w:b/>
                <w:bCs/>
                <w:sz w:val="21"/>
                <w:szCs w:val="21"/>
                <w:lang w:eastAsia="zh-CN"/>
              </w:rPr>
              <w:t>影响分析及保护措施</w:t>
            </w:r>
          </w:p>
          <w:p>
            <w:pPr>
              <w:spacing w:line="276" w:lineRule="auto"/>
              <w:ind w:firstLine="420"/>
              <w:rPr>
                <w:rFonts w:hint="eastAsia"/>
                <w:sz w:val="21"/>
                <w:szCs w:val="21"/>
                <w:lang w:val="en-US" w:eastAsia="zh-CN"/>
              </w:rPr>
            </w:pPr>
            <w:r>
              <w:rPr>
                <w:rFonts w:hint="eastAsia"/>
                <w:sz w:val="21"/>
                <w:szCs w:val="21"/>
                <w:lang w:val="en-US" w:eastAsia="zh-CN"/>
              </w:rPr>
              <w:t>本项目在拆除旧仓库的基础上新建一座丙类仓库，运营期，正常工况下均无工艺废水产生。事故状态下，仓库内可能产生的洗眼器废水及地面冲洗废水采用集液槽和废水收集池收集后，用移动泵送至厂区污水处理站进行处理，再</w:t>
            </w:r>
            <w:r>
              <w:rPr>
                <w:rFonts w:hint="eastAsia"/>
                <w:sz w:val="21"/>
                <w:szCs w:val="21"/>
                <w:lang w:eastAsia="zh-CN"/>
              </w:rPr>
              <w:t>经德山污水处理厂集中处理后排入东风河，</w:t>
            </w:r>
            <w:r>
              <w:rPr>
                <w:rFonts w:hint="eastAsia"/>
                <w:sz w:val="21"/>
                <w:szCs w:val="21"/>
                <w:lang w:val="en-US" w:eastAsia="zh-CN"/>
              </w:rPr>
              <w:t>最终排入沅江。本项目不新增员工，不产生新的生活废水。因此，本项目对周边水环境基本无影响。</w:t>
            </w:r>
          </w:p>
          <w:p>
            <w:pPr>
              <w:spacing w:line="276" w:lineRule="auto"/>
              <w:ind w:left="0" w:leftChars="0" w:firstLine="0" w:firstLineChars="0"/>
              <w:rPr>
                <w:rFonts w:hint="eastAsia"/>
                <w:b/>
                <w:bCs/>
                <w:sz w:val="21"/>
                <w:szCs w:val="21"/>
                <w:lang w:eastAsia="zh-CN"/>
              </w:rPr>
            </w:pPr>
            <w:r>
              <w:rPr>
                <w:rFonts w:hint="eastAsia"/>
                <w:b/>
                <w:bCs/>
                <w:sz w:val="21"/>
                <w:szCs w:val="21"/>
                <w:lang w:eastAsia="zh-CN"/>
              </w:rPr>
              <w:t>3、噪声影响分析</w:t>
            </w:r>
          </w:p>
          <w:p>
            <w:pPr>
              <w:spacing w:line="276" w:lineRule="auto"/>
              <w:ind w:firstLine="420"/>
              <w:rPr>
                <w:rFonts w:hint="eastAsia"/>
                <w:sz w:val="21"/>
                <w:szCs w:val="21"/>
                <w:lang w:eastAsia="zh-CN"/>
              </w:rPr>
            </w:pPr>
            <w:r>
              <w:rPr>
                <w:rFonts w:hint="eastAsia"/>
                <w:sz w:val="21"/>
                <w:szCs w:val="21"/>
                <w:lang w:eastAsia="zh-CN"/>
              </w:rPr>
              <w:t>本项目噪声源主要为通风换气的</w:t>
            </w:r>
            <w:r>
              <w:rPr>
                <w:rFonts w:hint="eastAsia"/>
                <w:sz w:val="21"/>
                <w:szCs w:val="21"/>
                <w:lang w:val="en-US" w:eastAsia="zh-CN"/>
              </w:rPr>
              <w:t>通</w:t>
            </w:r>
            <w:r>
              <w:rPr>
                <w:rFonts w:hint="eastAsia"/>
                <w:sz w:val="21"/>
                <w:szCs w:val="21"/>
                <w:lang w:eastAsia="zh-CN"/>
              </w:rPr>
              <w:t>风机，声源范围55～70 dB（A），首先考虑选用低噪声设备，其次对高噪声设备采用减震、消声、隔音以及加强绿化等综合治理措施来降低声源对环境的影响。项目拟采取的噪声防治措施如下：</w:t>
            </w:r>
          </w:p>
          <w:p>
            <w:pPr>
              <w:spacing w:line="276" w:lineRule="auto"/>
              <w:ind w:firstLine="420"/>
              <w:rPr>
                <w:rFonts w:hint="eastAsia"/>
                <w:sz w:val="21"/>
                <w:szCs w:val="21"/>
                <w:lang w:eastAsia="zh-CN"/>
              </w:rPr>
            </w:pPr>
            <w:r>
              <w:rPr>
                <w:rFonts w:hint="eastAsia"/>
                <w:sz w:val="21"/>
                <w:szCs w:val="21"/>
              </w:rPr>
              <w:t>①</w:t>
            </w:r>
            <w:r>
              <w:rPr>
                <w:rFonts w:hint="eastAsia"/>
                <w:sz w:val="21"/>
                <w:szCs w:val="21"/>
                <w:lang w:eastAsia="zh-CN"/>
              </w:rPr>
              <w:t>高噪声设备根据实际情况安装</w:t>
            </w:r>
            <w:r>
              <w:rPr>
                <w:rFonts w:hint="eastAsia"/>
                <w:sz w:val="21"/>
                <w:szCs w:val="21"/>
              </w:rPr>
              <w:t>减振基座</w:t>
            </w:r>
            <w:r>
              <w:rPr>
                <w:rFonts w:hint="eastAsia"/>
                <w:sz w:val="21"/>
                <w:szCs w:val="21"/>
                <w:lang w:eastAsia="zh-CN"/>
              </w:rPr>
              <w:t>、消声器；</w:t>
            </w:r>
          </w:p>
          <w:p>
            <w:pPr>
              <w:spacing w:line="276" w:lineRule="auto"/>
              <w:ind w:firstLine="420"/>
              <w:rPr>
                <w:sz w:val="21"/>
                <w:szCs w:val="21"/>
              </w:rPr>
            </w:pPr>
            <w:r>
              <w:rPr>
                <w:rFonts w:hint="eastAsia"/>
                <w:sz w:val="21"/>
                <w:szCs w:val="21"/>
              </w:rPr>
              <w:t>②</w:t>
            </w:r>
            <w:r>
              <w:rPr>
                <w:rFonts w:hint="eastAsia"/>
                <w:sz w:val="21"/>
                <w:szCs w:val="21"/>
                <w:lang w:eastAsia="zh-CN"/>
              </w:rPr>
              <w:t>仓库</w:t>
            </w:r>
            <w:r>
              <w:rPr>
                <w:rFonts w:hint="eastAsia"/>
                <w:sz w:val="21"/>
                <w:szCs w:val="21"/>
              </w:rPr>
              <w:t>厂房</w:t>
            </w:r>
            <w:r>
              <w:rPr>
                <w:rFonts w:hint="eastAsia"/>
                <w:sz w:val="21"/>
                <w:szCs w:val="21"/>
                <w:lang w:val="en-US" w:eastAsia="zh-CN"/>
              </w:rPr>
              <w:t>基本处于密闭状态</w:t>
            </w:r>
            <w:r>
              <w:rPr>
                <w:rFonts w:hint="eastAsia"/>
                <w:sz w:val="21"/>
                <w:szCs w:val="21"/>
                <w:lang w:eastAsia="zh-CN"/>
              </w:rPr>
              <w:t>，</w:t>
            </w:r>
            <w:r>
              <w:rPr>
                <w:rFonts w:hint="eastAsia"/>
                <w:sz w:val="21"/>
                <w:szCs w:val="21"/>
              </w:rPr>
              <w:t>设备噪声经墙体进行隔声；</w:t>
            </w:r>
          </w:p>
          <w:p>
            <w:pPr>
              <w:spacing w:line="276" w:lineRule="auto"/>
              <w:ind w:firstLine="420"/>
              <w:rPr>
                <w:rFonts w:hint="eastAsia"/>
                <w:sz w:val="21"/>
                <w:szCs w:val="21"/>
                <w:lang w:eastAsia="zh-CN"/>
              </w:rPr>
            </w:pPr>
            <w:r>
              <w:rPr>
                <w:rFonts w:hint="eastAsia"/>
                <w:sz w:val="21"/>
                <w:szCs w:val="21"/>
              </w:rPr>
              <w:t>③在运行过程中，维护设备使其保持最佳状态，降低因设备磨损</w:t>
            </w:r>
            <w:r>
              <w:rPr>
                <w:rFonts w:hint="eastAsia"/>
                <w:sz w:val="21"/>
                <w:szCs w:val="21"/>
                <w:lang w:val="en-US" w:eastAsia="zh-CN"/>
              </w:rPr>
              <w:t>而</w:t>
            </w:r>
            <w:r>
              <w:rPr>
                <w:rFonts w:hint="eastAsia"/>
                <w:sz w:val="21"/>
                <w:szCs w:val="21"/>
              </w:rPr>
              <w:t>产生的噪声</w:t>
            </w:r>
            <w:r>
              <w:rPr>
                <w:rFonts w:hint="eastAsia"/>
                <w:sz w:val="21"/>
                <w:szCs w:val="21"/>
                <w:lang w:eastAsia="zh-CN"/>
              </w:rPr>
              <w:t>；</w:t>
            </w:r>
          </w:p>
          <w:p>
            <w:pPr>
              <w:spacing w:line="276" w:lineRule="auto"/>
              <w:ind w:firstLine="420"/>
              <w:rPr>
                <w:sz w:val="21"/>
                <w:szCs w:val="21"/>
              </w:rPr>
            </w:pPr>
            <w:r>
              <w:rPr>
                <w:rFonts w:hint="eastAsia"/>
                <w:sz w:val="21"/>
                <w:szCs w:val="21"/>
              </w:rPr>
              <w:t>④</w:t>
            </w:r>
            <w:r>
              <w:rPr>
                <w:rFonts w:hint="eastAsia"/>
                <w:sz w:val="21"/>
                <w:szCs w:val="21"/>
                <w:lang w:eastAsia="zh-CN"/>
              </w:rPr>
              <w:t>加强厂区内及边界绿化林带，即优美厂区环境，又能让绿化林带吸声消声，进一步降低对周边噪声环境的影响。</w:t>
            </w:r>
          </w:p>
        </w:tc>
      </w:tr>
    </w:tbl>
    <w:p>
      <w:pPr>
        <w:ind w:left="0" w:leftChars="0" w:firstLine="0" w:firstLineChars="0"/>
        <w:sectPr>
          <w:pgSz w:w="11906" w:h="16838"/>
          <w:pgMar w:top="1701" w:right="1531" w:bottom="1701" w:left="1531" w:header="851" w:footer="992" w:gutter="0"/>
          <w:pgNumType w:fmt="numberInDash"/>
          <w:cols w:space="425" w:num="1"/>
          <w:docGrid w:type="lines"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8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3" w:hRule="atLeast"/>
        </w:trPr>
        <w:tc>
          <w:tcPr>
            <w:tcW w:w="968" w:type="dxa"/>
          </w:tcPr>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hint="eastAsia" w:ascii="宋体" w:hAnsi="宋体" w:cs="宋体"/>
                <w:bCs/>
                <w:sz w:val="21"/>
                <w:szCs w:val="21"/>
              </w:rPr>
            </w:pPr>
          </w:p>
          <w:p>
            <w:pPr>
              <w:spacing w:line="240" w:lineRule="auto"/>
              <w:ind w:firstLine="0" w:firstLineChars="0"/>
              <w:jc w:val="both"/>
              <w:rPr>
                <w:rFonts w:ascii="宋体" w:hAnsi="宋体" w:cs="宋体"/>
                <w:bCs/>
                <w:sz w:val="21"/>
                <w:szCs w:val="21"/>
              </w:rPr>
            </w:pPr>
            <w:r>
              <w:rPr>
                <w:rFonts w:hint="eastAsia" w:ascii="宋体" w:hAnsi="宋体" w:cs="宋体"/>
                <w:bCs/>
                <w:sz w:val="21"/>
                <w:szCs w:val="21"/>
              </w:rPr>
              <w:t>运营</w:t>
            </w:r>
          </w:p>
          <w:p>
            <w:pPr>
              <w:spacing w:line="240" w:lineRule="auto"/>
              <w:ind w:firstLine="0" w:firstLineChars="0"/>
              <w:jc w:val="both"/>
              <w:rPr>
                <w:rFonts w:ascii="宋体" w:hAnsi="宋体" w:cs="宋体"/>
                <w:bCs/>
                <w:sz w:val="21"/>
                <w:szCs w:val="21"/>
              </w:rPr>
            </w:pPr>
            <w:r>
              <w:rPr>
                <w:rFonts w:hint="eastAsia" w:ascii="宋体" w:hAnsi="宋体" w:cs="宋体"/>
                <w:bCs/>
                <w:sz w:val="21"/>
                <w:szCs w:val="21"/>
              </w:rPr>
              <w:t>期环</w:t>
            </w:r>
          </w:p>
          <w:p>
            <w:pPr>
              <w:spacing w:line="240" w:lineRule="auto"/>
              <w:ind w:firstLine="0" w:firstLineChars="0"/>
              <w:jc w:val="both"/>
              <w:rPr>
                <w:rFonts w:ascii="宋体" w:hAnsi="宋体" w:cs="宋体"/>
                <w:bCs/>
                <w:sz w:val="21"/>
                <w:szCs w:val="21"/>
              </w:rPr>
            </w:pPr>
            <w:r>
              <w:rPr>
                <w:rFonts w:hint="eastAsia" w:ascii="宋体" w:hAnsi="宋体" w:cs="宋体"/>
                <w:bCs/>
                <w:sz w:val="21"/>
                <w:szCs w:val="21"/>
              </w:rPr>
              <w:t>境影</w:t>
            </w:r>
          </w:p>
          <w:p>
            <w:pPr>
              <w:spacing w:line="240" w:lineRule="auto"/>
              <w:ind w:firstLine="0" w:firstLineChars="0"/>
              <w:jc w:val="both"/>
              <w:rPr>
                <w:rFonts w:ascii="宋体" w:hAnsi="宋体" w:cs="宋体"/>
                <w:bCs/>
                <w:sz w:val="21"/>
                <w:szCs w:val="21"/>
              </w:rPr>
            </w:pPr>
            <w:r>
              <w:rPr>
                <w:rFonts w:hint="eastAsia" w:ascii="宋体" w:hAnsi="宋体" w:cs="宋体"/>
                <w:bCs/>
                <w:sz w:val="21"/>
                <w:szCs w:val="21"/>
              </w:rPr>
              <w:t>响和</w:t>
            </w:r>
          </w:p>
          <w:p>
            <w:pPr>
              <w:spacing w:line="240" w:lineRule="auto"/>
              <w:ind w:firstLine="0" w:firstLineChars="0"/>
              <w:jc w:val="both"/>
              <w:rPr>
                <w:rFonts w:hint="eastAsia" w:ascii="宋体" w:hAnsi="宋体" w:cs="宋体"/>
                <w:bCs/>
                <w:sz w:val="21"/>
                <w:szCs w:val="21"/>
              </w:rPr>
            </w:pPr>
            <w:r>
              <w:rPr>
                <w:rFonts w:hint="eastAsia" w:ascii="宋体" w:hAnsi="宋体" w:cs="宋体"/>
                <w:bCs/>
                <w:sz w:val="21"/>
                <w:szCs w:val="21"/>
              </w:rPr>
              <w:t>保护</w:t>
            </w:r>
          </w:p>
          <w:p>
            <w:pPr>
              <w:spacing w:line="240" w:lineRule="auto"/>
              <w:ind w:firstLine="0" w:firstLineChars="0"/>
              <w:jc w:val="both"/>
              <w:rPr>
                <w:vertAlign w:val="baseline"/>
              </w:rPr>
            </w:pPr>
            <w:r>
              <w:rPr>
                <w:rFonts w:hint="eastAsia" w:ascii="宋体" w:hAnsi="宋体" w:cs="宋体"/>
                <w:bCs/>
                <w:sz w:val="21"/>
                <w:szCs w:val="21"/>
              </w:rPr>
              <w:t>措施</w:t>
            </w:r>
          </w:p>
        </w:tc>
        <w:tc>
          <w:tcPr>
            <w:tcW w:w="8092" w:type="dxa"/>
          </w:tcPr>
          <w:p>
            <w:pPr>
              <w:spacing w:before="156" w:beforeLines="50" w:line="276" w:lineRule="auto"/>
              <w:ind w:firstLine="0" w:firstLineChars="0"/>
              <w:rPr>
                <w:rFonts w:hint="eastAsia" w:eastAsia="宋体"/>
                <w:b/>
                <w:bCs/>
                <w:sz w:val="21"/>
                <w:szCs w:val="21"/>
                <w:lang w:eastAsia="zh-CN"/>
              </w:rPr>
            </w:pPr>
            <w:r>
              <w:rPr>
                <w:rFonts w:hint="eastAsia"/>
                <w:b/>
                <w:bCs/>
                <w:sz w:val="21"/>
                <w:szCs w:val="21"/>
              </w:rPr>
              <w:t>4、固体废物</w:t>
            </w:r>
            <w:r>
              <w:rPr>
                <w:rFonts w:hint="eastAsia"/>
                <w:b/>
                <w:bCs/>
                <w:sz w:val="21"/>
                <w:szCs w:val="21"/>
                <w:lang w:eastAsia="zh-CN"/>
              </w:rPr>
              <w:t>影响分析</w:t>
            </w:r>
          </w:p>
          <w:p>
            <w:pPr>
              <w:spacing w:line="276" w:lineRule="auto"/>
              <w:ind w:firstLine="420"/>
              <w:rPr>
                <w:sz w:val="21"/>
                <w:szCs w:val="21"/>
              </w:rPr>
            </w:pPr>
            <w:r>
              <w:rPr>
                <w:rFonts w:hAnsiTheme="minorEastAsia" w:eastAsiaTheme="minorEastAsia"/>
                <w:sz w:val="21"/>
                <w:szCs w:val="21"/>
              </w:rPr>
              <w:t>本项目营运期</w:t>
            </w:r>
            <w:r>
              <w:rPr>
                <w:rFonts w:hint="eastAsia" w:hAnsiTheme="minorEastAsia" w:eastAsiaTheme="minorEastAsia"/>
                <w:sz w:val="21"/>
                <w:szCs w:val="21"/>
                <w:lang w:eastAsia="zh-CN"/>
              </w:rPr>
              <w:t>储存的均为丙类液体，采用密封桶装储存，正常情况下，仓库内不</w:t>
            </w:r>
            <w:r>
              <w:rPr>
                <w:rFonts w:hAnsi="宋体"/>
                <w:sz w:val="21"/>
                <w:szCs w:val="21"/>
              </w:rPr>
              <w:t>产生的</w:t>
            </w:r>
            <w:r>
              <w:rPr>
                <w:rFonts w:hint="eastAsia" w:hAnsi="宋体"/>
                <w:sz w:val="21"/>
                <w:szCs w:val="21"/>
                <w:lang w:eastAsia="zh-CN"/>
              </w:rPr>
              <w:t>废弃的原材料和产品包装物，因此，本项目不产生固体废物</w:t>
            </w:r>
            <w:r>
              <w:rPr>
                <w:rFonts w:hint="eastAsia"/>
                <w:sz w:val="21"/>
                <w:szCs w:val="21"/>
                <w:lang w:eastAsia="zh-CN"/>
              </w:rPr>
              <w:t>。</w:t>
            </w:r>
          </w:p>
          <w:p>
            <w:pPr>
              <w:pStyle w:val="39"/>
              <w:spacing w:line="360" w:lineRule="auto"/>
              <w:ind w:left="0" w:leftChars="0" w:firstLine="0" w:firstLineChars="0"/>
              <w:rPr>
                <w:rFonts w:hint="eastAsia" w:eastAsia="宋体"/>
                <w:b/>
                <w:bCs/>
                <w:sz w:val="21"/>
                <w:szCs w:val="21"/>
                <w:lang w:eastAsia="zh-CN"/>
              </w:rPr>
            </w:pPr>
            <w:r>
              <w:rPr>
                <w:rFonts w:hint="eastAsia"/>
                <w:b/>
                <w:bCs/>
                <w:sz w:val="21"/>
                <w:szCs w:val="21"/>
              </w:rPr>
              <w:t>5、地下水、土壤</w:t>
            </w:r>
            <w:r>
              <w:rPr>
                <w:rFonts w:hint="eastAsia"/>
                <w:b/>
                <w:bCs/>
                <w:sz w:val="21"/>
                <w:szCs w:val="21"/>
                <w:lang w:eastAsia="zh-CN"/>
              </w:rPr>
              <w:t>影响分析和保护措施</w:t>
            </w:r>
          </w:p>
          <w:p>
            <w:pPr>
              <w:spacing w:line="276" w:lineRule="auto"/>
              <w:ind w:firstLine="420"/>
              <w:rPr>
                <w:rFonts w:hint="eastAsia"/>
                <w:bCs/>
                <w:sz w:val="21"/>
                <w:szCs w:val="21"/>
                <w:lang w:eastAsia="zh-CN"/>
              </w:rPr>
            </w:pPr>
            <w:r>
              <w:rPr>
                <w:rFonts w:hint="eastAsia"/>
                <w:bCs/>
                <w:sz w:val="21"/>
                <w:szCs w:val="21"/>
                <w:lang w:eastAsia="zh-CN"/>
              </w:rPr>
              <w:t>本项目正常运营状态下不涉及地下水、土壤污染影响。但事故状态下，储存的化学品有可能渗入地下，污染地下水和土壤。</w:t>
            </w:r>
          </w:p>
          <w:p>
            <w:pPr>
              <w:spacing w:line="276" w:lineRule="auto"/>
              <w:ind w:firstLine="420"/>
              <w:rPr>
                <w:rFonts w:hint="eastAsia" w:eastAsia="宋体"/>
                <w:bCs/>
                <w:sz w:val="21"/>
                <w:szCs w:val="21"/>
                <w:u w:val="single"/>
                <w:lang w:eastAsia="zh-CN"/>
              </w:rPr>
            </w:pPr>
            <w:r>
              <w:rPr>
                <w:rFonts w:hint="eastAsia"/>
                <w:bCs/>
                <w:sz w:val="21"/>
                <w:szCs w:val="21"/>
                <w:u w:val="single"/>
                <w:lang w:eastAsia="zh-CN"/>
              </w:rPr>
              <w:t>为防止地下水、土壤污染采取的保护措施为：本项目丙类仓库地面</w:t>
            </w:r>
            <w:r>
              <w:rPr>
                <w:rFonts w:hint="eastAsia"/>
                <w:bCs/>
                <w:sz w:val="21"/>
                <w:szCs w:val="21"/>
                <w:u w:val="single"/>
                <w:lang w:val="en-US" w:eastAsia="zh-CN"/>
              </w:rPr>
              <w:t>及墙面下部</w:t>
            </w:r>
            <w:r>
              <w:rPr>
                <w:rFonts w:hint="eastAsia"/>
                <w:bCs/>
                <w:sz w:val="21"/>
                <w:szCs w:val="21"/>
                <w:u w:val="single"/>
                <w:lang w:eastAsia="zh-CN"/>
              </w:rPr>
              <w:t>采用环氧树脂覆盖，进行防腐防渗处理，并设置防止液体流散的设施，</w:t>
            </w:r>
            <w:r>
              <w:rPr>
                <w:rFonts w:hint="eastAsia"/>
                <w:bCs/>
                <w:sz w:val="21"/>
                <w:szCs w:val="21"/>
                <w:u w:val="single"/>
                <w:lang w:val="en-US" w:eastAsia="zh-CN"/>
              </w:rPr>
              <w:t>丙类</w:t>
            </w:r>
            <w:r>
              <w:rPr>
                <w:rFonts w:hint="eastAsia"/>
                <w:bCs/>
                <w:sz w:val="21"/>
                <w:szCs w:val="21"/>
                <w:u w:val="single"/>
              </w:rPr>
              <w:t>仓库内设有排液槽，地面设置成斜坡，使泄漏</w:t>
            </w:r>
            <w:r>
              <w:rPr>
                <w:rFonts w:hint="eastAsia"/>
                <w:bCs/>
                <w:sz w:val="21"/>
                <w:szCs w:val="21"/>
                <w:u w:val="single"/>
                <w:lang w:eastAsia="zh-CN"/>
              </w:rPr>
              <w:t>的</w:t>
            </w:r>
            <w:r>
              <w:rPr>
                <w:rFonts w:hint="eastAsia"/>
                <w:bCs/>
                <w:sz w:val="21"/>
                <w:szCs w:val="21"/>
                <w:u w:val="single"/>
              </w:rPr>
              <w:t>液体</w:t>
            </w:r>
            <w:r>
              <w:rPr>
                <w:rFonts w:hint="eastAsia"/>
                <w:bCs/>
                <w:sz w:val="21"/>
                <w:szCs w:val="21"/>
                <w:u w:val="single"/>
                <w:lang w:eastAsia="zh-CN"/>
              </w:rPr>
              <w:t>被</w:t>
            </w:r>
            <w:r>
              <w:rPr>
                <w:rFonts w:hint="eastAsia"/>
                <w:bCs/>
                <w:sz w:val="21"/>
                <w:szCs w:val="21"/>
                <w:u w:val="single"/>
              </w:rPr>
              <w:t>收集到排液槽内。排液槽设置一定的坡度，其末端设有一集液池，方便排液槽内的液体聚集到集液池内。集液池不小于</w:t>
            </w:r>
            <w:r>
              <w:rPr>
                <w:rFonts w:hint="eastAsia"/>
                <w:bCs/>
                <w:sz w:val="21"/>
                <w:szCs w:val="21"/>
                <w:u w:val="single"/>
                <w:lang w:val="en-US" w:eastAsia="zh-CN"/>
              </w:rPr>
              <w:t>4</w:t>
            </w:r>
            <w:r>
              <w:rPr>
                <w:rFonts w:hint="eastAsia"/>
                <w:bCs/>
                <w:sz w:val="21"/>
                <w:szCs w:val="21"/>
                <w:u w:val="single"/>
              </w:rPr>
              <w:t>m</w:t>
            </w:r>
            <w:r>
              <w:rPr>
                <w:rFonts w:hint="eastAsia"/>
                <w:bCs/>
                <w:sz w:val="21"/>
                <w:szCs w:val="21"/>
                <w:u w:val="single"/>
                <w:vertAlign w:val="superscript"/>
              </w:rPr>
              <w:t>3</w:t>
            </w:r>
            <w:r>
              <w:rPr>
                <w:rFonts w:hint="eastAsia"/>
                <w:bCs/>
                <w:sz w:val="21"/>
                <w:szCs w:val="21"/>
                <w:u w:val="single"/>
              </w:rPr>
              <w:t>，其结构防渗漏</w:t>
            </w:r>
            <w:r>
              <w:rPr>
                <w:rFonts w:hint="eastAsia"/>
                <w:bCs/>
                <w:sz w:val="21"/>
                <w:szCs w:val="21"/>
                <w:u w:val="single"/>
                <w:lang w:eastAsia="zh-CN"/>
              </w:rPr>
              <w:t>、防腐蚀</w:t>
            </w:r>
            <w:r>
              <w:rPr>
                <w:rFonts w:hint="eastAsia"/>
                <w:bCs/>
                <w:sz w:val="21"/>
                <w:szCs w:val="21"/>
                <w:u w:val="single"/>
              </w:rPr>
              <w:t>。集液池设置在墙角处，并于墙上设置一出口，便于</w:t>
            </w:r>
            <w:r>
              <w:rPr>
                <w:rFonts w:hint="eastAsia"/>
                <w:bCs/>
                <w:sz w:val="21"/>
                <w:szCs w:val="21"/>
                <w:u w:val="single"/>
                <w:lang w:eastAsia="zh-CN"/>
              </w:rPr>
              <w:t>及时</w:t>
            </w:r>
            <w:r>
              <w:rPr>
                <w:rFonts w:hint="eastAsia"/>
                <w:bCs/>
                <w:sz w:val="21"/>
                <w:szCs w:val="21"/>
                <w:u w:val="single"/>
              </w:rPr>
              <w:t>抽取泄漏液。</w:t>
            </w:r>
            <w:r>
              <w:rPr>
                <w:rFonts w:hint="eastAsia"/>
                <w:bCs/>
                <w:sz w:val="21"/>
                <w:szCs w:val="21"/>
                <w:u w:val="single"/>
                <w:lang w:eastAsia="zh-CN"/>
              </w:rPr>
              <w:t>能有效地防止储存的化学品渗漏进入地下，污染地下水和土壤。</w:t>
            </w:r>
          </w:p>
          <w:p>
            <w:pPr>
              <w:pStyle w:val="39"/>
              <w:spacing w:line="360" w:lineRule="auto"/>
              <w:ind w:left="0" w:leftChars="0" w:firstLine="0" w:firstLineChars="0"/>
              <w:rPr>
                <w:b/>
                <w:bCs/>
                <w:sz w:val="21"/>
                <w:szCs w:val="21"/>
              </w:rPr>
            </w:pPr>
            <w:r>
              <w:rPr>
                <w:rFonts w:hint="eastAsia"/>
                <w:b/>
                <w:bCs/>
                <w:sz w:val="21"/>
                <w:szCs w:val="21"/>
              </w:rPr>
              <w:t>6</w:t>
            </w:r>
            <w:r>
              <w:rPr>
                <w:b/>
                <w:bCs/>
                <w:sz w:val="21"/>
                <w:szCs w:val="21"/>
              </w:rPr>
              <w:t>、生态环境影响和保护措施</w:t>
            </w:r>
          </w:p>
          <w:p>
            <w:pPr>
              <w:spacing w:line="276" w:lineRule="auto"/>
              <w:ind w:firstLine="420"/>
              <w:rPr>
                <w:rFonts w:hint="eastAsia"/>
                <w:bCs/>
                <w:sz w:val="21"/>
                <w:szCs w:val="21"/>
              </w:rPr>
            </w:pPr>
            <w:r>
              <w:rPr>
                <w:rFonts w:hint="eastAsia"/>
                <w:bCs/>
                <w:sz w:val="21"/>
                <w:szCs w:val="21"/>
                <w:lang w:eastAsia="zh-CN"/>
              </w:rPr>
              <w:t>本项目为改扩建</w:t>
            </w:r>
            <w:r>
              <w:rPr>
                <w:rFonts w:hint="eastAsia"/>
                <w:bCs/>
                <w:sz w:val="21"/>
                <w:szCs w:val="21"/>
              </w:rPr>
              <w:t>项目</w:t>
            </w:r>
            <w:r>
              <w:rPr>
                <w:rFonts w:hint="eastAsia"/>
                <w:bCs/>
                <w:sz w:val="21"/>
                <w:szCs w:val="21"/>
                <w:lang w:eastAsia="zh-CN"/>
              </w:rPr>
              <w:t>，在本企业现有用地范围内，建设新</w:t>
            </w:r>
            <w:r>
              <w:rPr>
                <w:rFonts w:hint="eastAsia"/>
                <w:bCs/>
                <w:sz w:val="21"/>
                <w:szCs w:val="21"/>
                <w:lang w:val="en-US" w:eastAsia="zh-CN"/>
              </w:rPr>
              <w:t>库</w:t>
            </w:r>
            <w:r>
              <w:rPr>
                <w:rFonts w:hint="eastAsia"/>
                <w:bCs/>
                <w:sz w:val="21"/>
                <w:szCs w:val="21"/>
                <w:lang w:eastAsia="zh-CN"/>
              </w:rPr>
              <w:t>房，本项目不新征用地，</w:t>
            </w:r>
            <w:r>
              <w:rPr>
                <w:rFonts w:hint="eastAsia"/>
                <w:bCs/>
                <w:sz w:val="21"/>
                <w:szCs w:val="21"/>
                <w:lang w:val="en-US" w:eastAsia="zh-CN"/>
              </w:rPr>
              <w:t>且</w:t>
            </w:r>
            <w:r>
              <w:rPr>
                <w:rFonts w:hint="eastAsia"/>
                <w:bCs/>
                <w:sz w:val="21"/>
                <w:szCs w:val="21"/>
                <w:lang w:eastAsia="zh-CN"/>
              </w:rPr>
              <w:t>本</w:t>
            </w:r>
            <w:r>
              <w:rPr>
                <w:rFonts w:hint="eastAsia"/>
                <w:bCs/>
                <w:sz w:val="21"/>
                <w:szCs w:val="21"/>
                <w:lang w:val="en-US" w:eastAsia="zh-CN"/>
              </w:rPr>
              <w:t>企业位于常德经济技术开发区的</w:t>
            </w:r>
            <w:r>
              <w:rPr>
                <w:rFonts w:hint="eastAsia" w:ascii="Times New Roman" w:hAnsi="Times New Roman" w:eastAsia="宋体" w:cs="Times New Roman"/>
                <w:bCs/>
                <w:sz w:val="21"/>
                <w:szCs w:val="21"/>
                <w:lang w:val="en-US" w:eastAsia="zh-CN"/>
              </w:rPr>
              <w:t>化工园区内</w:t>
            </w:r>
            <w:r>
              <w:rPr>
                <w:rFonts w:hint="eastAsia"/>
                <w:bCs/>
                <w:sz w:val="21"/>
                <w:szCs w:val="21"/>
                <w:lang w:eastAsia="zh-CN"/>
              </w:rPr>
              <w:t>，</w:t>
            </w:r>
            <w:r>
              <w:rPr>
                <w:rFonts w:hint="eastAsia"/>
                <w:bCs/>
                <w:sz w:val="21"/>
                <w:szCs w:val="21"/>
              </w:rPr>
              <w:t>用地性质为</w:t>
            </w:r>
            <w:r>
              <w:rPr>
                <w:rFonts w:hint="eastAsia"/>
                <w:bCs/>
                <w:sz w:val="21"/>
                <w:szCs w:val="21"/>
                <w:lang w:val="en-US" w:eastAsia="zh-CN"/>
              </w:rPr>
              <w:t>三</w:t>
            </w:r>
            <w:r>
              <w:rPr>
                <w:rFonts w:hint="eastAsia"/>
                <w:bCs/>
                <w:sz w:val="21"/>
                <w:szCs w:val="21"/>
                <w:lang w:eastAsia="zh-CN"/>
              </w:rPr>
              <w:t>类</w:t>
            </w:r>
            <w:r>
              <w:rPr>
                <w:rFonts w:hint="eastAsia"/>
                <w:bCs/>
                <w:sz w:val="21"/>
                <w:szCs w:val="21"/>
              </w:rPr>
              <w:t>工业用地，不会对周边生态环境造成不利影响。</w:t>
            </w:r>
          </w:p>
          <w:p>
            <w:pPr>
              <w:pStyle w:val="39"/>
              <w:spacing w:line="360" w:lineRule="auto"/>
              <w:ind w:left="0" w:leftChars="0" w:firstLine="0" w:firstLineChars="0"/>
              <w:rPr>
                <w:b/>
                <w:bCs/>
                <w:sz w:val="21"/>
                <w:szCs w:val="21"/>
              </w:rPr>
            </w:pPr>
            <w:r>
              <w:rPr>
                <w:rFonts w:hint="eastAsia"/>
                <w:b/>
                <w:bCs/>
                <w:sz w:val="21"/>
                <w:szCs w:val="21"/>
              </w:rPr>
              <w:t>7、环境风险</w:t>
            </w:r>
          </w:p>
          <w:p>
            <w:pPr>
              <w:pStyle w:val="6"/>
              <w:spacing w:line="360" w:lineRule="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本项目新建设仓库贮存丙类物料，地面做防渗、防腐处理；贮存的风险物质一旦发生泄漏或火灾事故，泄漏物料（或消防废水）可沿导流沟收集至应急事故池中，可有效防止环境风险事故的发生。通过本次环境影响评价报告中提出的各项风险防范措施和应急预案后，本项目能将事故的环境风险降到最低，风险防范措施可行，风险水平可以接受。</w:t>
            </w:r>
          </w:p>
          <w:p>
            <w:pPr>
              <w:spacing w:line="276" w:lineRule="auto"/>
              <w:ind w:firstLine="420"/>
              <w:rPr>
                <w:rFonts w:hint="eastAsia" w:eastAsia="宋体"/>
                <w:bCs/>
                <w:sz w:val="21"/>
                <w:szCs w:val="21"/>
                <w:lang w:eastAsia="zh-CN"/>
              </w:rPr>
            </w:pPr>
            <w:r>
              <w:rPr>
                <w:rFonts w:hint="eastAsia"/>
                <w:bCs/>
                <w:sz w:val="21"/>
                <w:szCs w:val="21"/>
                <w:lang w:eastAsia="zh-CN"/>
              </w:rPr>
              <w:t>详见环境风险评价专项。</w:t>
            </w:r>
          </w:p>
          <w:p>
            <w:pPr>
              <w:spacing w:line="276" w:lineRule="auto"/>
              <w:ind w:firstLine="420"/>
              <w:rPr>
                <w:rFonts w:hint="default"/>
                <w:bCs/>
                <w:sz w:val="21"/>
                <w:szCs w:val="21"/>
                <w:lang w:val="en-US" w:eastAsia="zh-CN"/>
              </w:rPr>
            </w:pPr>
          </w:p>
        </w:tc>
      </w:tr>
    </w:tbl>
    <w:p>
      <w:pPr>
        <w:ind w:left="0" w:leftChars="0" w:firstLine="0" w:firstLineChars="0"/>
      </w:pPr>
    </w:p>
    <w:p>
      <w:pPr>
        <w:pStyle w:val="8"/>
        <w:sectPr>
          <w:pgSz w:w="11906" w:h="16838"/>
          <w:pgMar w:top="1701" w:right="1531" w:bottom="1701" w:left="1531" w:header="851" w:footer="992" w:gutter="0"/>
          <w:pgNumType w:fmt="numberInDash"/>
          <w:cols w:space="0" w:num="1"/>
          <w:rtlGutter w:val="0"/>
          <w:docGrid w:type="lines" w:linePitch="327" w:charSpace="0"/>
        </w:sectPr>
      </w:pPr>
    </w:p>
    <w:p>
      <w:pPr>
        <w:ind w:left="0" w:leftChars="0" w:firstLine="0" w:firstLineChars="0"/>
      </w:pPr>
    </w:p>
    <w:p>
      <w:pPr>
        <w:pStyle w:val="2"/>
        <w:jc w:val="center"/>
        <w:rPr>
          <w:rFonts w:ascii="黑体" w:hAnsi="黑体" w:eastAsia="黑体"/>
          <w:b w:val="0"/>
          <w:bCs w:val="0"/>
          <w:sz w:val="30"/>
          <w:szCs w:val="30"/>
        </w:rPr>
      </w:pPr>
      <w:r>
        <w:rPr>
          <w:rFonts w:hint="eastAsia" w:ascii="黑体" w:hAnsi="黑体" w:eastAsia="黑体"/>
          <w:b w:val="0"/>
          <w:bCs w:val="0"/>
          <w:sz w:val="30"/>
          <w:szCs w:val="30"/>
        </w:rPr>
        <w:t>五、环境保护措施监督检查清单</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930"/>
        <w:gridCol w:w="1414"/>
        <w:gridCol w:w="2204"/>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Borders>
              <w:tl2br w:val="single" w:color="auto" w:sz="4" w:space="0"/>
            </w:tcBorders>
          </w:tcPr>
          <w:p>
            <w:pPr>
              <w:spacing w:line="240" w:lineRule="auto"/>
              <w:ind w:firstLine="0" w:firstLineChars="0"/>
              <w:jc w:val="right"/>
              <w:rPr>
                <w:sz w:val="21"/>
                <w:szCs w:val="21"/>
              </w:rPr>
            </w:pPr>
            <w:r>
              <w:rPr>
                <w:rFonts w:hint="eastAsia"/>
                <w:sz w:val="21"/>
                <w:szCs w:val="21"/>
              </w:rPr>
              <w:t>内容</w:t>
            </w:r>
          </w:p>
          <w:p>
            <w:pPr>
              <w:spacing w:line="240" w:lineRule="auto"/>
              <w:ind w:firstLine="0" w:firstLineChars="0"/>
              <w:rPr>
                <w:sz w:val="21"/>
                <w:szCs w:val="21"/>
              </w:rPr>
            </w:pPr>
            <w:r>
              <w:rPr>
                <w:rFonts w:hint="eastAsia"/>
                <w:sz w:val="21"/>
                <w:szCs w:val="21"/>
              </w:rPr>
              <w:t>要素</w:t>
            </w:r>
          </w:p>
        </w:tc>
        <w:tc>
          <w:tcPr>
            <w:tcW w:w="1065" w:type="pct"/>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排放口(编号、</w:t>
            </w:r>
          </w:p>
          <w:p>
            <w:pPr>
              <w:spacing w:line="240" w:lineRule="auto"/>
              <w:ind w:firstLine="0" w:firstLineChars="0"/>
              <w:jc w:val="center"/>
              <w:rPr>
                <w:rFonts w:ascii="宋体" w:hAnsi="宋体" w:cs="宋体"/>
                <w:sz w:val="21"/>
                <w:szCs w:val="21"/>
              </w:rPr>
            </w:pPr>
            <w:r>
              <w:rPr>
                <w:rFonts w:hint="eastAsia" w:ascii="宋体" w:hAnsi="宋体" w:cs="宋体"/>
                <w:sz w:val="21"/>
                <w:szCs w:val="21"/>
              </w:rPr>
              <w:t>名称)/污染源</w:t>
            </w:r>
          </w:p>
        </w:tc>
        <w:tc>
          <w:tcPr>
            <w:tcW w:w="780" w:type="pct"/>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污染物项目</w:t>
            </w:r>
          </w:p>
        </w:tc>
        <w:tc>
          <w:tcPr>
            <w:tcW w:w="1216" w:type="pct"/>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环境保护措施</w:t>
            </w:r>
          </w:p>
        </w:tc>
        <w:tc>
          <w:tcPr>
            <w:tcW w:w="1432" w:type="pct"/>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506" w:type="pct"/>
            <w:vMerge w:val="restart"/>
            <w:vAlign w:val="center"/>
          </w:tcPr>
          <w:p>
            <w:pPr>
              <w:spacing w:line="240" w:lineRule="auto"/>
              <w:ind w:firstLine="0" w:firstLineChars="0"/>
              <w:jc w:val="center"/>
              <w:rPr>
                <w:sz w:val="21"/>
                <w:szCs w:val="21"/>
              </w:rPr>
            </w:pPr>
            <w:r>
              <w:rPr>
                <w:rFonts w:hint="eastAsia" w:ascii="宋体" w:hAnsi="宋体" w:cs="宋体"/>
                <w:sz w:val="21"/>
                <w:szCs w:val="21"/>
              </w:rPr>
              <w:t>大气环境</w:t>
            </w:r>
          </w:p>
        </w:tc>
        <w:tc>
          <w:tcPr>
            <w:tcW w:w="1065" w:type="pct"/>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仓库面源</w:t>
            </w:r>
          </w:p>
        </w:tc>
        <w:tc>
          <w:tcPr>
            <w:tcW w:w="780" w:type="pct"/>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挥发性有机物</w:t>
            </w:r>
          </w:p>
        </w:tc>
        <w:tc>
          <w:tcPr>
            <w:tcW w:w="1216"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eastAsia="zh-CN"/>
              </w:rPr>
              <w:t>自然通风与机械排风</w:t>
            </w:r>
          </w:p>
        </w:tc>
        <w:tc>
          <w:tcPr>
            <w:tcW w:w="1432" w:type="pct"/>
            <w:vAlign w:val="center"/>
          </w:tcPr>
          <w:p>
            <w:pPr>
              <w:spacing w:line="240" w:lineRule="auto"/>
              <w:ind w:firstLine="0" w:firstLineChars="0"/>
              <w:jc w:val="center"/>
              <w:rPr>
                <w:sz w:val="21"/>
                <w:szCs w:val="21"/>
              </w:rPr>
            </w:pPr>
            <w:r>
              <w:rPr>
                <w:rFonts w:hint="eastAsia"/>
                <w:sz w:val="21"/>
                <w:szCs w:val="21"/>
                <w:lang w:val="en-US" w:eastAsia="zh-CN"/>
              </w:rPr>
              <w:t>《大气污染物综合排放标准》（16297-1996）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506" w:type="pct"/>
            <w:vMerge w:val="continue"/>
            <w:vAlign w:val="center"/>
          </w:tcPr>
          <w:p>
            <w:pPr>
              <w:spacing w:line="240" w:lineRule="auto"/>
              <w:ind w:firstLine="0" w:firstLineChars="0"/>
              <w:jc w:val="center"/>
              <w:rPr>
                <w:rFonts w:hint="eastAsia" w:ascii="宋体" w:hAnsi="宋体" w:cs="宋体"/>
                <w:sz w:val="21"/>
                <w:szCs w:val="21"/>
              </w:rPr>
            </w:pPr>
          </w:p>
        </w:tc>
        <w:tc>
          <w:tcPr>
            <w:tcW w:w="1065" w:type="pct"/>
            <w:vAlign w:val="center"/>
          </w:tcPr>
          <w:p>
            <w:pPr>
              <w:spacing w:line="240" w:lineRule="auto"/>
              <w:ind w:firstLine="0" w:firstLineChars="0"/>
              <w:jc w:val="center"/>
              <w:rPr>
                <w:rFonts w:hint="eastAsia"/>
                <w:sz w:val="21"/>
                <w:szCs w:val="21"/>
                <w:lang w:eastAsia="zh-CN"/>
              </w:rPr>
            </w:pPr>
            <w:r>
              <w:rPr>
                <w:rFonts w:hint="eastAsia"/>
                <w:sz w:val="21"/>
                <w:szCs w:val="21"/>
                <w:lang w:eastAsia="zh-CN"/>
              </w:rPr>
              <w:t>焚烧炉排气筒</w:t>
            </w:r>
          </w:p>
        </w:tc>
        <w:tc>
          <w:tcPr>
            <w:tcW w:w="780" w:type="pct"/>
            <w:vAlign w:val="center"/>
          </w:tcPr>
          <w:p>
            <w:pPr>
              <w:spacing w:line="240" w:lineRule="auto"/>
              <w:ind w:firstLine="0" w:firstLineChars="0"/>
              <w:jc w:val="center"/>
              <w:rPr>
                <w:rFonts w:hint="eastAsia"/>
                <w:sz w:val="21"/>
                <w:szCs w:val="21"/>
                <w:lang w:eastAsia="zh-CN"/>
              </w:rPr>
            </w:pPr>
            <w:r>
              <w:rPr>
                <w:rFonts w:hint="eastAsia"/>
                <w:sz w:val="21"/>
                <w:szCs w:val="21"/>
                <w:lang w:eastAsia="zh-CN"/>
              </w:rPr>
              <w:t>挥发性有机物</w:t>
            </w:r>
          </w:p>
        </w:tc>
        <w:tc>
          <w:tcPr>
            <w:tcW w:w="1216" w:type="pct"/>
            <w:vAlign w:val="center"/>
          </w:tcPr>
          <w:p>
            <w:pPr>
              <w:spacing w:line="240" w:lineRule="auto"/>
              <w:ind w:firstLine="0" w:firstLineChars="0"/>
              <w:jc w:val="center"/>
              <w:rPr>
                <w:rFonts w:hint="eastAsia"/>
                <w:sz w:val="21"/>
                <w:szCs w:val="21"/>
                <w:lang w:eastAsia="zh-CN"/>
              </w:rPr>
            </w:pPr>
            <w:r>
              <w:rPr>
                <w:rFonts w:hint="eastAsia"/>
                <w:sz w:val="21"/>
                <w:szCs w:val="21"/>
                <w:lang w:eastAsia="zh-CN"/>
              </w:rPr>
              <w:t>焚烧</w:t>
            </w:r>
          </w:p>
        </w:tc>
        <w:tc>
          <w:tcPr>
            <w:tcW w:w="1432" w:type="pct"/>
            <w:vAlign w:val="center"/>
          </w:tcPr>
          <w:p>
            <w:pPr>
              <w:spacing w:line="240" w:lineRule="auto"/>
              <w:ind w:firstLine="0" w:firstLineChars="0"/>
              <w:jc w:val="center"/>
              <w:rPr>
                <w:rFonts w:hint="eastAsia"/>
                <w:sz w:val="21"/>
                <w:szCs w:val="21"/>
                <w:lang w:val="en-US" w:eastAsia="zh-CN"/>
              </w:rPr>
            </w:pPr>
            <w:r>
              <w:rPr>
                <w:rFonts w:hint="eastAsia"/>
                <w:sz w:val="21"/>
                <w:szCs w:val="21"/>
                <w:u w:val="single"/>
                <w:lang w:val="en-US" w:eastAsia="zh-CN"/>
              </w:rPr>
              <w:t>《农药制造工业大气污染物排放标准》（GB39727-2020）表1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vAlign w:val="center"/>
          </w:tcPr>
          <w:p>
            <w:pPr>
              <w:spacing w:line="240" w:lineRule="auto"/>
              <w:ind w:firstLine="0" w:firstLineChars="0"/>
              <w:jc w:val="center"/>
              <w:rPr>
                <w:sz w:val="21"/>
                <w:szCs w:val="21"/>
              </w:rPr>
            </w:pPr>
            <w:r>
              <w:rPr>
                <w:rFonts w:hint="eastAsia"/>
                <w:sz w:val="21"/>
                <w:szCs w:val="21"/>
              </w:rPr>
              <w:t>声环境</w:t>
            </w:r>
          </w:p>
        </w:tc>
        <w:tc>
          <w:tcPr>
            <w:tcW w:w="1065"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eastAsia="zh-CN"/>
              </w:rPr>
              <w:t>厂界四周外</w:t>
            </w:r>
            <w:r>
              <w:rPr>
                <w:rFonts w:hint="eastAsia"/>
                <w:sz w:val="21"/>
                <w:szCs w:val="21"/>
                <w:lang w:val="en-US" w:eastAsia="zh-CN"/>
              </w:rPr>
              <w:t>1米</w:t>
            </w:r>
          </w:p>
        </w:tc>
        <w:tc>
          <w:tcPr>
            <w:tcW w:w="780" w:type="pct"/>
            <w:vAlign w:val="center"/>
          </w:tcPr>
          <w:p>
            <w:pPr>
              <w:spacing w:line="240" w:lineRule="auto"/>
              <w:ind w:firstLine="0" w:firstLineChars="0"/>
              <w:jc w:val="center"/>
              <w:rPr>
                <w:sz w:val="21"/>
                <w:szCs w:val="21"/>
              </w:rPr>
            </w:pPr>
            <w:r>
              <w:rPr>
                <w:rFonts w:hint="eastAsia"/>
                <w:sz w:val="21"/>
                <w:szCs w:val="21"/>
              </w:rPr>
              <w:t>Leq</w:t>
            </w:r>
          </w:p>
        </w:tc>
        <w:tc>
          <w:tcPr>
            <w:tcW w:w="1216" w:type="pct"/>
            <w:vAlign w:val="center"/>
          </w:tcPr>
          <w:p>
            <w:pPr>
              <w:spacing w:line="240" w:lineRule="auto"/>
              <w:ind w:firstLine="0" w:firstLineChars="0"/>
              <w:jc w:val="center"/>
              <w:rPr>
                <w:sz w:val="21"/>
                <w:szCs w:val="21"/>
              </w:rPr>
            </w:pPr>
            <w:r>
              <w:rPr>
                <w:rFonts w:hint="eastAsia"/>
                <w:sz w:val="21"/>
                <w:szCs w:val="21"/>
              </w:rPr>
              <w:t>隔声、减振</w:t>
            </w:r>
          </w:p>
        </w:tc>
        <w:tc>
          <w:tcPr>
            <w:tcW w:w="1432" w:type="pct"/>
            <w:vAlign w:val="center"/>
          </w:tcPr>
          <w:p>
            <w:pPr>
              <w:spacing w:line="240" w:lineRule="auto"/>
              <w:ind w:firstLine="0" w:firstLineChars="0"/>
              <w:jc w:val="center"/>
              <w:rPr>
                <w:sz w:val="21"/>
                <w:szCs w:val="21"/>
              </w:rPr>
            </w:pPr>
            <w:r>
              <w:rPr>
                <w:rFonts w:hint="eastAsia"/>
                <w:sz w:val="21"/>
                <w:szCs w:val="21"/>
              </w:rPr>
              <w:t>《工业企业厂界环境噪声排放标准》（GB12348-2008）</w:t>
            </w:r>
            <w:r>
              <w:rPr>
                <w:rFonts w:hint="eastAsia"/>
                <w:sz w:val="21"/>
                <w:szCs w:val="21"/>
                <w:lang w:val="en-US" w:eastAsia="zh-CN"/>
              </w:rPr>
              <w:t>3</w:t>
            </w:r>
            <w:r>
              <w:rPr>
                <w:rFonts w:hint="eastAsia"/>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506" w:type="pct"/>
            <w:vAlign w:val="center"/>
          </w:tcPr>
          <w:p>
            <w:pPr>
              <w:spacing w:line="240" w:lineRule="auto"/>
              <w:ind w:firstLine="0" w:firstLineChars="0"/>
              <w:jc w:val="center"/>
              <w:rPr>
                <w:sz w:val="21"/>
                <w:szCs w:val="21"/>
              </w:rPr>
            </w:pPr>
            <w:r>
              <w:rPr>
                <w:rFonts w:hint="eastAsia"/>
                <w:sz w:val="21"/>
                <w:szCs w:val="21"/>
              </w:rPr>
              <w:t>固体废物</w:t>
            </w:r>
          </w:p>
        </w:tc>
        <w:tc>
          <w:tcPr>
            <w:tcW w:w="4493" w:type="pct"/>
            <w:gridSpan w:val="4"/>
            <w:vAlign w:val="center"/>
          </w:tcPr>
          <w:p>
            <w:pPr>
              <w:spacing w:line="276" w:lineRule="auto"/>
              <w:ind w:left="0" w:leftChars="0" w:firstLine="0" w:firstLineChars="0"/>
              <w:rPr>
                <w:sz w:val="21"/>
                <w:szCs w:val="21"/>
              </w:rPr>
            </w:pPr>
            <w:r>
              <w:rPr>
                <w:rFonts w:hint="eastAsia" w:cs="Times New Roman"/>
                <w:sz w:val="21"/>
                <w:szCs w:val="21"/>
                <w:lang w:eastAsia="zh-CN"/>
              </w:rPr>
              <w:t>本项目为包装好的丙类原料与产品在仓库内暂存项目，仓库内不涉及拆除原料或产品的包装，因此基本不产生废包装桶或包装袋等固体废物。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土壤及地下水</w:t>
            </w:r>
          </w:p>
          <w:p>
            <w:pPr>
              <w:spacing w:line="240" w:lineRule="auto"/>
              <w:ind w:firstLine="0" w:firstLineChars="0"/>
              <w:jc w:val="center"/>
              <w:rPr>
                <w:sz w:val="21"/>
                <w:szCs w:val="21"/>
              </w:rPr>
            </w:pPr>
            <w:r>
              <w:rPr>
                <w:rFonts w:hint="eastAsia" w:ascii="宋体" w:hAnsi="宋体" w:cs="宋体"/>
                <w:sz w:val="21"/>
                <w:szCs w:val="21"/>
              </w:rPr>
              <w:t>污染防治措施</w:t>
            </w:r>
          </w:p>
        </w:tc>
        <w:tc>
          <w:tcPr>
            <w:tcW w:w="4493" w:type="pct"/>
            <w:gridSpan w:val="4"/>
            <w:vAlign w:val="center"/>
          </w:tcPr>
          <w:p>
            <w:pPr>
              <w:spacing w:line="276" w:lineRule="auto"/>
              <w:ind w:firstLine="420"/>
              <w:rPr>
                <w:rFonts w:hint="eastAsia" w:eastAsia="宋体"/>
                <w:sz w:val="21"/>
                <w:szCs w:val="21"/>
                <w:lang w:eastAsia="zh-CN"/>
              </w:rPr>
            </w:pPr>
            <w:r>
              <w:rPr>
                <w:rFonts w:hint="eastAsia"/>
                <w:bCs/>
                <w:sz w:val="21"/>
                <w:szCs w:val="21"/>
                <w:lang w:eastAsia="zh-CN"/>
              </w:rPr>
              <w:t>为防止地下水、土壤污染采取的保护措施为：本项目仓库地面采用环氧树脂覆盖，进行防腐防渗处理，并设置防止液体流散的设施，</w:t>
            </w:r>
            <w:r>
              <w:rPr>
                <w:rFonts w:hint="eastAsia"/>
                <w:bCs/>
                <w:sz w:val="21"/>
                <w:szCs w:val="21"/>
              </w:rPr>
              <w:t>仓库内设有排液槽，地面设置成斜坡，使泄漏</w:t>
            </w:r>
            <w:r>
              <w:rPr>
                <w:rFonts w:hint="eastAsia"/>
                <w:bCs/>
                <w:sz w:val="21"/>
                <w:szCs w:val="21"/>
                <w:lang w:eastAsia="zh-CN"/>
              </w:rPr>
              <w:t>的</w:t>
            </w:r>
            <w:r>
              <w:rPr>
                <w:rFonts w:hint="eastAsia"/>
                <w:bCs/>
                <w:sz w:val="21"/>
                <w:szCs w:val="21"/>
              </w:rPr>
              <w:t>液体</w:t>
            </w:r>
            <w:r>
              <w:rPr>
                <w:rFonts w:hint="eastAsia"/>
                <w:bCs/>
                <w:sz w:val="21"/>
                <w:szCs w:val="21"/>
                <w:lang w:eastAsia="zh-CN"/>
              </w:rPr>
              <w:t>被</w:t>
            </w:r>
            <w:r>
              <w:rPr>
                <w:rFonts w:hint="eastAsia"/>
                <w:bCs/>
                <w:sz w:val="21"/>
                <w:szCs w:val="21"/>
              </w:rPr>
              <w:t>收集到排液槽内。排液槽设置一定的坡度，其末端设有一集液池，方便排液槽内的液体聚集到集液池内。集液池不小于</w:t>
            </w:r>
            <w:r>
              <w:rPr>
                <w:rFonts w:hint="eastAsia"/>
                <w:bCs/>
                <w:sz w:val="21"/>
                <w:szCs w:val="21"/>
                <w:lang w:val="en-US" w:eastAsia="zh-CN"/>
              </w:rPr>
              <w:t>4</w:t>
            </w:r>
            <w:r>
              <w:rPr>
                <w:rFonts w:hint="eastAsia"/>
                <w:bCs/>
                <w:sz w:val="21"/>
                <w:szCs w:val="21"/>
              </w:rPr>
              <w:t>m</w:t>
            </w:r>
            <w:r>
              <w:rPr>
                <w:rFonts w:hint="eastAsia"/>
                <w:bCs/>
                <w:sz w:val="21"/>
                <w:szCs w:val="21"/>
                <w:vertAlign w:val="superscript"/>
              </w:rPr>
              <w:t>3</w:t>
            </w:r>
            <w:r>
              <w:rPr>
                <w:rFonts w:hint="eastAsia"/>
                <w:bCs/>
                <w:sz w:val="21"/>
                <w:szCs w:val="21"/>
              </w:rPr>
              <w:t>，其结构防渗漏</w:t>
            </w:r>
            <w:r>
              <w:rPr>
                <w:rFonts w:hint="eastAsia"/>
                <w:bCs/>
                <w:sz w:val="21"/>
                <w:szCs w:val="21"/>
                <w:lang w:eastAsia="zh-CN"/>
              </w:rPr>
              <w:t>、防腐蚀</w:t>
            </w:r>
            <w:r>
              <w:rPr>
                <w:rFonts w:hint="eastAsia"/>
                <w:bCs/>
                <w:sz w:val="21"/>
                <w:szCs w:val="21"/>
              </w:rPr>
              <w:t>。集液池设置在墙角处，并于墙上设置一出口，便于</w:t>
            </w:r>
            <w:r>
              <w:rPr>
                <w:rFonts w:hint="eastAsia"/>
                <w:bCs/>
                <w:sz w:val="21"/>
                <w:szCs w:val="21"/>
                <w:lang w:eastAsia="zh-CN"/>
              </w:rPr>
              <w:t>及时</w:t>
            </w:r>
            <w:r>
              <w:rPr>
                <w:rFonts w:hint="eastAsia"/>
                <w:bCs/>
                <w:sz w:val="21"/>
                <w:szCs w:val="21"/>
              </w:rPr>
              <w:t>抽取泄漏液。</w:t>
            </w:r>
            <w:r>
              <w:rPr>
                <w:rFonts w:hint="eastAsia"/>
                <w:bCs/>
                <w:sz w:val="21"/>
                <w:szCs w:val="21"/>
                <w:lang w:eastAsia="zh-CN"/>
              </w:rPr>
              <w:t>能有效地防止储存的化学品渗漏进入地下，污染地下水和土壤。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vAlign w:val="center"/>
          </w:tcPr>
          <w:p>
            <w:pPr>
              <w:spacing w:line="240" w:lineRule="auto"/>
              <w:ind w:firstLine="0" w:firstLineChars="0"/>
              <w:jc w:val="center"/>
              <w:rPr>
                <w:sz w:val="21"/>
                <w:szCs w:val="21"/>
              </w:rPr>
            </w:pPr>
            <w:r>
              <w:rPr>
                <w:rFonts w:hint="eastAsia"/>
                <w:sz w:val="21"/>
                <w:szCs w:val="21"/>
              </w:rPr>
              <w:t>环境风险防范措施</w:t>
            </w:r>
          </w:p>
        </w:tc>
        <w:tc>
          <w:tcPr>
            <w:tcW w:w="4493" w:type="pct"/>
            <w:gridSpan w:val="4"/>
            <w:vAlign w:val="center"/>
          </w:tcPr>
          <w:p>
            <w:pPr>
              <w:numPr>
                <w:ilvl w:val="0"/>
                <w:numId w:val="7"/>
              </w:numPr>
              <w:spacing w:line="276" w:lineRule="auto"/>
              <w:ind w:firstLine="0" w:firstLineChars="0"/>
              <w:rPr>
                <w:rFonts w:hint="eastAsia"/>
                <w:bCs/>
                <w:sz w:val="21"/>
                <w:szCs w:val="21"/>
              </w:rPr>
            </w:pPr>
            <w:r>
              <w:rPr>
                <w:rFonts w:hint="eastAsia"/>
                <w:bCs/>
                <w:sz w:val="21"/>
                <w:szCs w:val="21"/>
              </w:rPr>
              <w:t>仓库储存的化学品应避免阳光直射，远离火源、热源、电源及产生火</w:t>
            </w:r>
            <w:r>
              <w:rPr>
                <w:rFonts w:hint="eastAsia"/>
                <w:bCs/>
                <w:sz w:val="21"/>
                <w:szCs w:val="21"/>
                <w:lang w:val="en-US" w:eastAsia="zh-CN"/>
              </w:rPr>
              <w:t>花</w:t>
            </w:r>
            <w:r>
              <w:rPr>
                <w:rFonts w:hint="eastAsia"/>
                <w:bCs/>
                <w:sz w:val="21"/>
                <w:szCs w:val="21"/>
              </w:rPr>
              <w:t>的环境。</w:t>
            </w:r>
          </w:p>
          <w:p>
            <w:pPr>
              <w:numPr>
                <w:ilvl w:val="0"/>
                <w:numId w:val="7"/>
              </w:numPr>
              <w:spacing w:line="276" w:lineRule="auto"/>
              <w:ind w:left="0" w:leftChars="0" w:firstLine="0" w:firstLineChars="0"/>
              <w:rPr>
                <w:rFonts w:hint="eastAsia"/>
                <w:bCs/>
                <w:sz w:val="21"/>
                <w:szCs w:val="21"/>
                <w:lang w:eastAsia="zh-CN"/>
              </w:rPr>
            </w:pPr>
            <w:r>
              <w:rPr>
                <w:rFonts w:hint="eastAsia"/>
                <w:bCs/>
                <w:sz w:val="21"/>
                <w:szCs w:val="21"/>
              </w:rPr>
              <w:t>本项目各类危险化学品</w:t>
            </w:r>
            <w:r>
              <w:rPr>
                <w:rFonts w:hint="eastAsia"/>
                <w:bCs/>
                <w:sz w:val="21"/>
                <w:szCs w:val="21"/>
                <w:lang w:val="en-US" w:eastAsia="zh-CN"/>
              </w:rPr>
              <w:t>将</w:t>
            </w:r>
            <w:r>
              <w:rPr>
                <w:rFonts w:hint="eastAsia"/>
                <w:bCs/>
                <w:sz w:val="21"/>
                <w:szCs w:val="21"/>
              </w:rPr>
              <w:t>严格按照《危险化学品储存通则》</w:t>
            </w:r>
            <w:r>
              <w:rPr>
                <w:rFonts w:hint="eastAsia"/>
                <w:bCs/>
                <w:sz w:val="21"/>
                <w:szCs w:val="21"/>
                <w:lang w:eastAsia="zh-CN"/>
              </w:rPr>
              <w:t>（</w:t>
            </w:r>
            <w:r>
              <w:rPr>
                <w:rFonts w:hint="eastAsia"/>
                <w:bCs/>
                <w:sz w:val="21"/>
                <w:szCs w:val="21"/>
              </w:rPr>
              <w:t>GB15603-2022</w:t>
            </w:r>
            <w:r>
              <w:rPr>
                <w:rFonts w:hint="eastAsia"/>
                <w:bCs/>
                <w:sz w:val="21"/>
                <w:szCs w:val="21"/>
                <w:lang w:eastAsia="zh-CN"/>
              </w:rPr>
              <w:t>）</w:t>
            </w:r>
            <w:r>
              <w:rPr>
                <w:rFonts w:hint="eastAsia"/>
                <w:bCs/>
                <w:sz w:val="21"/>
                <w:szCs w:val="21"/>
              </w:rPr>
              <w:t>的要求进行分区、分类、分库贮存，不得与禁忌物料混合贮存</w:t>
            </w:r>
            <w:r>
              <w:rPr>
                <w:rFonts w:hint="eastAsia"/>
                <w:bCs/>
                <w:sz w:val="21"/>
                <w:szCs w:val="21"/>
                <w:lang w:eastAsia="zh-CN"/>
              </w:rPr>
              <w:t>。</w:t>
            </w:r>
          </w:p>
          <w:p>
            <w:pPr>
              <w:numPr>
                <w:ilvl w:val="0"/>
                <w:numId w:val="7"/>
              </w:numPr>
              <w:spacing w:line="276" w:lineRule="auto"/>
              <w:ind w:left="0" w:leftChars="0" w:firstLine="0" w:firstLineChars="0"/>
              <w:rPr>
                <w:rFonts w:hint="eastAsia"/>
                <w:bCs/>
                <w:sz w:val="21"/>
                <w:szCs w:val="21"/>
                <w:lang w:eastAsia="zh-CN"/>
              </w:rPr>
            </w:pPr>
            <w:r>
              <w:rPr>
                <w:rFonts w:hint="eastAsia"/>
                <w:bCs/>
                <w:sz w:val="21"/>
                <w:szCs w:val="21"/>
              </w:rPr>
              <w:t>通风和空气调节系统应符合现行相关规范的要求。</w:t>
            </w:r>
          </w:p>
          <w:p>
            <w:pPr>
              <w:numPr>
                <w:ilvl w:val="0"/>
                <w:numId w:val="7"/>
              </w:numPr>
              <w:spacing w:line="276" w:lineRule="auto"/>
              <w:ind w:left="0" w:leftChars="0" w:firstLine="0" w:firstLineChars="0"/>
              <w:rPr>
                <w:rFonts w:hint="eastAsia"/>
                <w:bCs/>
                <w:sz w:val="21"/>
                <w:szCs w:val="21"/>
                <w:lang w:eastAsia="zh-CN"/>
              </w:rPr>
            </w:pPr>
            <w:r>
              <w:rPr>
                <w:rFonts w:hint="eastAsia"/>
                <w:bCs/>
                <w:sz w:val="21"/>
                <w:szCs w:val="21"/>
              </w:rPr>
              <w:t>化学品入库前必须检查登记，入库后应定期检查，并实行严格出入库发放管理制度。</w:t>
            </w:r>
          </w:p>
          <w:p>
            <w:pPr>
              <w:numPr>
                <w:ilvl w:val="0"/>
                <w:numId w:val="7"/>
              </w:numPr>
              <w:spacing w:line="276" w:lineRule="auto"/>
              <w:ind w:left="0" w:leftChars="0" w:firstLine="0" w:firstLineChars="0"/>
              <w:rPr>
                <w:rFonts w:hint="eastAsia"/>
                <w:bCs/>
                <w:sz w:val="21"/>
                <w:szCs w:val="21"/>
                <w:lang w:eastAsia="zh-CN"/>
              </w:rPr>
            </w:pPr>
            <w:r>
              <w:rPr>
                <w:rFonts w:hint="eastAsia"/>
                <w:bCs/>
                <w:sz w:val="21"/>
                <w:szCs w:val="21"/>
              </w:rPr>
              <w:t>化学品存处地点必须张贴所存储的所有化学品的物质安全资料表</w:t>
            </w:r>
          </w:p>
          <w:p>
            <w:pPr>
              <w:numPr>
                <w:ilvl w:val="0"/>
                <w:numId w:val="7"/>
              </w:numPr>
              <w:spacing w:line="276" w:lineRule="auto"/>
              <w:ind w:left="0" w:leftChars="0" w:firstLine="0" w:firstLineChars="0"/>
              <w:rPr>
                <w:rFonts w:hint="eastAsia"/>
                <w:bCs/>
                <w:sz w:val="21"/>
                <w:szCs w:val="21"/>
                <w:lang w:eastAsia="zh-CN"/>
              </w:rPr>
            </w:pPr>
            <w:r>
              <w:rPr>
                <w:rFonts w:hint="eastAsia"/>
                <w:bCs/>
                <w:sz w:val="21"/>
                <w:szCs w:val="21"/>
              </w:rPr>
              <w:t>仓库及罐区需设置监控摄像头和火灾探测器等监控探测系统，监控探测系统同时应满足电器防爆的要求。</w:t>
            </w:r>
          </w:p>
          <w:p>
            <w:pPr>
              <w:numPr>
                <w:ilvl w:val="0"/>
                <w:numId w:val="7"/>
              </w:numPr>
              <w:spacing w:line="276" w:lineRule="auto"/>
              <w:ind w:left="0" w:leftChars="0" w:firstLine="0" w:firstLineChars="0"/>
              <w:rPr>
                <w:rFonts w:hint="eastAsia"/>
                <w:bCs/>
                <w:sz w:val="21"/>
                <w:szCs w:val="21"/>
                <w:lang w:eastAsia="zh-CN"/>
              </w:rPr>
            </w:pPr>
            <w:r>
              <w:rPr>
                <w:rFonts w:hint="eastAsia"/>
                <w:bCs/>
                <w:sz w:val="21"/>
                <w:szCs w:val="21"/>
                <w:lang w:val="en-US" w:eastAsia="zh-CN"/>
              </w:rPr>
              <w:t>建立健全企业安全生产责任制和安全检查管理制度，加强对仓储设施的巡检力度，确保本项目的运营安全。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2" w:hRule="atLeast"/>
        </w:trPr>
        <w:tc>
          <w:tcPr>
            <w:tcW w:w="506" w:type="pct"/>
            <w:vAlign w:val="center"/>
          </w:tcPr>
          <w:p>
            <w:pPr>
              <w:spacing w:line="240" w:lineRule="auto"/>
              <w:ind w:firstLine="0" w:firstLineChars="0"/>
              <w:jc w:val="center"/>
              <w:rPr>
                <w:rFonts w:hint="eastAsia"/>
                <w:sz w:val="21"/>
                <w:szCs w:val="21"/>
              </w:rPr>
            </w:pPr>
            <w:r>
              <w:rPr>
                <w:rFonts w:hint="eastAsia"/>
                <w:sz w:val="21"/>
                <w:szCs w:val="21"/>
              </w:rPr>
              <w:t>其他</w:t>
            </w:r>
          </w:p>
          <w:p>
            <w:pPr>
              <w:spacing w:line="240" w:lineRule="auto"/>
              <w:ind w:firstLine="0" w:firstLineChars="0"/>
              <w:jc w:val="center"/>
              <w:rPr>
                <w:sz w:val="21"/>
                <w:szCs w:val="21"/>
              </w:rPr>
            </w:pPr>
            <w:r>
              <w:rPr>
                <w:rFonts w:hint="eastAsia"/>
                <w:sz w:val="21"/>
                <w:szCs w:val="21"/>
              </w:rPr>
              <w:t>环境</w:t>
            </w:r>
          </w:p>
          <w:p>
            <w:pPr>
              <w:spacing w:line="240" w:lineRule="auto"/>
              <w:ind w:firstLine="0" w:firstLineChars="0"/>
              <w:jc w:val="center"/>
              <w:rPr>
                <w:rFonts w:hint="eastAsia"/>
                <w:sz w:val="21"/>
                <w:szCs w:val="21"/>
              </w:rPr>
            </w:pPr>
            <w:r>
              <w:rPr>
                <w:rFonts w:hint="eastAsia"/>
                <w:sz w:val="21"/>
                <w:szCs w:val="21"/>
              </w:rPr>
              <w:t>管理</w:t>
            </w:r>
          </w:p>
          <w:p>
            <w:pPr>
              <w:spacing w:line="240" w:lineRule="auto"/>
              <w:ind w:firstLine="0" w:firstLineChars="0"/>
              <w:jc w:val="center"/>
              <w:rPr>
                <w:sz w:val="21"/>
                <w:szCs w:val="21"/>
              </w:rPr>
            </w:pPr>
            <w:r>
              <w:rPr>
                <w:rFonts w:hint="eastAsia"/>
                <w:sz w:val="21"/>
                <w:szCs w:val="21"/>
              </w:rPr>
              <w:t>要求</w:t>
            </w:r>
          </w:p>
        </w:tc>
        <w:tc>
          <w:tcPr>
            <w:tcW w:w="4493" w:type="pct"/>
            <w:gridSpan w:val="4"/>
            <w:vAlign w:val="center"/>
          </w:tcPr>
          <w:p>
            <w:pPr>
              <w:numPr>
                <w:ilvl w:val="0"/>
                <w:numId w:val="8"/>
              </w:numPr>
              <w:spacing w:line="276" w:lineRule="auto"/>
              <w:ind w:firstLine="0" w:firstLineChars="0"/>
              <w:rPr>
                <w:rFonts w:hint="eastAsia"/>
                <w:b/>
                <w:bCs/>
                <w:sz w:val="21"/>
                <w:szCs w:val="21"/>
                <w:lang w:val="en-US" w:eastAsia="zh-CN"/>
              </w:rPr>
            </w:pPr>
            <w:r>
              <w:rPr>
                <w:rFonts w:hint="eastAsia"/>
                <w:b/>
                <w:bCs/>
                <w:sz w:val="21"/>
                <w:szCs w:val="21"/>
                <w:lang w:val="en-US" w:eastAsia="zh-CN"/>
              </w:rPr>
              <w:t>成立环保机构，制定环境管理制度</w:t>
            </w:r>
          </w:p>
          <w:p>
            <w:pPr>
              <w:numPr>
                <w:ilvl w:val="0"/>
                <w:numId w:val="0"/>
              </w:numPr>
              <w:spacing w:line="276" w:lineRule="auto"/>
              <w:ind w:firstLine="420" w:firstLineChars="200"/>
              <w:rPr>
                <w:sz w:val="21"/>
                <w:szCs w:val="21"/>
              </w:rPr>
            </w:pPr>
            <w:r>
              <w:rPr>
                <w:rFonts w:hint="eastAsia"/>
                <w:sz w:val="21"/>
                <w:szCs w:val="21"/>
              </w:rPr>
              <w:t>落实环保管理机构及人员配备情况，设立环保管理机构，并配备环保专员，负责日常环境管理；做好污水、危险废物等有关记录和管理工作，原始记录和台账完整；核查环境影响评价中要求建设的环保设施的运行、监测计划落实情况。</w:t>
            </w:r>
          </w:p>
          <w:p>
            <w:pPr>
              <w:spacing w:line="276" w:lineRule="auto"/>
              <w:ind w:firstLine="0" w:firstLineChars="0"/>
              <w:rPr>
                <w:rFonts w:hint="eastAsia"/>
                <w:b/>
                <w:bCs/>
                <w:sz w:val="21"/>
                <w:szCs w:val="21"/>
                <w:lang w:val="en-US" w:eastAsia="zh-CN"/>
              </w:rPr>
            </w:pPr>
            <w:r>
              <w:rPr>
                <w:rFonts w:hint="eastAsia"/>
                <w:b/>
                <w:bCs/>
                <w:sz w:val="21"/>
                <w:szCs w:val="21"/>
                <w:lang w:val="en-US" w:eastAsia="zh-CN"/>
              </w:rPr>
              <w:t>2、排污许可管理</w:t>
            </w:r>
          </w:p>
          <w:p>
            <w:pPr>
              <w:spacing w:line="276" w:lineRule="auto"/>
              <w:ind w:firstLine="420" w:firstLineChars="200"/>
              <w:rPr>
                <w:rFonts w:hint="eastAsia"/>
                <w:sz w:val="21"/>
                <w:szCs w:val="21"/>
                <w:lang w:val="en-US" w:eastAsia="zh-CN"/>
              </w:rPr>
            </w:pPr>
            <w:r>
              <w:rPr>
                <w:rFonts w:hint="eastAsia"/>
                <w:sz w:val="21"/>
                <w:szCs w:val="21"/>
                <w:lang w:val="en-US" w:eastAsia="zh-CN"/>
              </w:rPr>
              <w:t>根据《固定源排污许可分类管理名录（2019年版）》，本项目属于“四十四、装卸搬运和仓储业”中的“危险品仓储 594”，其他危险品仓储，属于登记管理。</w:t>
            </w:r>
          </w:p>
          <w:p>
            <w:pPr>
              <w:spacing w:line="276" w:lineRule="auto"/>
              <w:ind w:firstLine="420" w:firstLineChars="200"/>
              <w:rPr>
                <w:sz w:val="21"/>
                <w:szCs w:val="21"/>
              </w:rPr>
            </w:pPr>
            <w:r>
              <w:rPr>
                <w:rFonts w:hint="eastAsia"/>
                <w:sz w:val="21"/>
                <w:szCs w:val="21"/>
                <w:lang w:val="en-US" w:eastAsia="zh-CN"/>
              </w:rPr>
              <w:t>本企业已建项目中涉及“化学农药制造”，“通用工序中的锅炉”等行业类别，为重点管理，本企业已于2024年3月27日重新办理了该企业的排污许可证，编号为：914307007225592012001P。</w:t>
            </w:r>
            <w:r>
              <w:rPr>
                <w:rFonts w:hint="eastAsia"/>
                <w:sz w:val="21"/>
                <w:szCs w:val="21"/>
                <w:lang w:eastAsia="zh-CN"/>
              </w:rPr>
              <w:t>本</w:t>
            </w:r>
            <w:r>
              <w:rPr>
                <w:rFonts w:hint="eastAsia"/>
                <w:sz w:val="21"/>
                <w:szCs w:val="21"/>
              </w:rPr>
              <w:t>项目建成</w:t>
            </w:r>
            <w:r>
              <w:rPr>
                <w:rFonts w:hint="eastAsia"/>
                <w:sz w:val="21"/>
                <w:szCs w:val="21"/>
                <w:lang w:eastAsia="zh-CN"/>
              </w:rPr>
              <w:t>后，</w:t>
            </w:r>
            <w:r>
              <w:rPr>
                <w:rFonts w:hint="eastAsia"/>
                <w:sz w:val="21"/>
                <w:szCs w:val="21"/>
              </w:rPr>
              <w:t>正式投产前</w:t>
            </w:r>
            <w:r>
              <w:rPr>
                <w:rFonts w:hint="eastAsia"/>
                <w:sz w:val="21"/>
                <w:szCs w:val="21"/>
                <w:lang w:val="en-US" w:eastAsia="zh-CN"/>
              </w:rPr>
              <w:t>2</w:t>
            </w:r>
            <w:r>
              <w:rPr>
                <w:rFonts w:hint="eastAsia"/>
                <w:sz w:val="21"/>
                <w:szCs w:val="21"/>
              </w:rPr>
              <w:t>0个工作日内，</w:t>
            </w:r>
            <w:r>
              <w:rPr>
                <w:rFonts w:hint="eastAsia"/>
                <w:sz w:val="21"/>
                <w:szCs w:val="21"/>
                <w:lang w:eastAsia="zh-CN"/>
              </w:rPr>
              <w:t>应根据相关要求，办理本企业排污许可证的相关变更</w:t>
            </w:r>
            <w:r>
              <w:rPr>
                <w:rFonts w:hint="eastAsia"/>
                <w:sz w:val="21"/>
                <w:szCs w:val="21"/>
              </w:rPr>
              <w:t>。</w:t>
            </w:r>
          </w:p>
          <w:p>
            <w:pPr>
              <w:spacing w:line="276" w:lineRule="auto"/>
              <w:ind w:firstLine="0" w:firstLineChars="0"/>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t>3</w:t>
            </w:r>
            <w:r>
              <w:rPr>
                <w:rFonts w:hint="default" w:ascii="Times New Roman" w:hAnsi="Times New Roman" w:cs="Times New Roman" w:eastAsiaTheme="minorEastAsia"/>
                <w:b/>
                <w:bCs/>
                <w:sz w:val="21"/>
                <w:szCs w:val="21"/>
                <w:lang w:val="en-US" w:eastAsia="zh-CN"/>
              </w:rPr>
              <w:t>、建设项目竣工环境保护验收</w:t>
            </w:r>
          </w:p>
          <w:p>
            <w:pPr>
              <w:spacing w:line="276" w:lineRule="auto"/>
              <w:ind w:firstLine="420" w:firstLineChars="200"/>
              <w:rPr>
                <w:rFonts w:hint="eastAsia"/>
                <w:sz w:val="21"/>
                <w:szCs w:val="21"/>
                <w:lang w:eastAsia="zh-CN"/>
              </w:rPr>
            </w:pPr>
            <w:r>
              <w:rPr>
                <w:rFonts w:hint="eastAsia"/>
                <w:sz w:val="21"/>
                <w:szCs w:val="21"/>
                <w:lang w:eastAsia="zh-CN"/>
              </w:rPr>
              <w:t>根据《建设项目环境保护管理条例》（国务院令682号，2017.10.1实施）中“第三章 环境保护设施建设”的相关规定要求：“建设项目需要配套建设的环境保护设施，必须与主体工程同时设计、同时施工、同时投产使用。”“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根据《建设项目竣工环境保护验收暂行办法》（国环规环评[2017]4号）验收的一般程序与内容如下：</w:t>
            </w:r>
          </w:p>
          <w:p>
            <w:pPr>
              <w:spacing w:line="276" w:lineRule="auto"/>
              <w:ind w:firstLine="0" w:firstLineChars="0"/>
              <w:rPr>
                <w:rFonts w:hint="eastAsia"/>
                <w:sz w:val="21"/>
                <w:szCs w:val="21"/>
                <w:lang w:eastAsia="zh-CN"/>
              </w:rPr>
            </w:pPr>
            <w:r>
              <w:rPr>
                <w:rFonts w:hint="eastAsia"/>
                <w:sz w:val="21"/>
                <w:szCs w:val="21"/>
                <w:lang w:eastAsia="zh-CN"/>
              </w:rPr>
              <w:t xml:space="preserve">   （1） 建设项目竣工后，建设单位应当如实查验、监测、记载建设项目环境保护设施的建设和调试情况，编制验收监测（调查）报告。</w:t>
            </w:r>
          </w:p>
          <w:p>
            <w:pPr>
              <w:spacing w:line="276" w:lineRule="auto"/>
              <w:ind w:firstLine="0" w:firstLineChars="0"/>
              <w:rPr>
                <w:rFonts w:hint="eastAsia"/>
                <w:sz w:val="21"/>
                <w:szCs w:val="21"/>
                <w:lang w:eastAsia="zh-CN"/>
              </w:rPr>
            </w:pPr>
            <w:r>
              <w:rPr>
                <w:rFonts w:hint="eastAsia"/>
                <w:sz w:val="21"/>
                <w:szCs w:val="21"/>
                <w:lang w:eastAsia="zh-CN"/>
              </w:rPr>
              <w:t xml:space="preserve">   （2）建设单位不具备编制验收监测（调查）报告能力的，可以委托有能力的技术机构编制。建设单位对受委托的技术机构编制的验收监测（调查）报告结论负责。</w:t>
            </w:r>
          </w:p>
          <w:p>
            <w:pPr>
              <w:spacing w:line="276" w:lineRule="auto"/>
              <w:ind w:firstLine="0" w:firstLineChars="0"/>
              <w:rPr>
                <w:rFonts w:hint="eastAsia"/>
                <w:sz w:val="21"/>
                <w:szCs w:val="21"/>
                <w:lang w:eastAsia="zh-CN"/>
              </w:rPr>
            </w:pPr>
            <w:r>
              <w:rPr>
                <w:rFonts w:hint="eastAsia"/>
                <w:sz w:val="21"/>
                <w:szCs w:val="21"/>
                <w:lang w:eastAsia="zh-CN"/>
              </w:rPr>
              <w:t xml:space="preserve">   （3）验收监测（调查）报告编制完成后，建设单位应当根据验收监测（调查）报告结论，逐一检查是否存在本办法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w:t>
            </w:r>
          </w:p>
          <w:p>
            <w:pPr>
              <w:spacing w:line="276" w:lineRule="auto"/>
              <w:ind w:firstLine="0" w:firstLineChars="0"/>
              <w:rPr>
                <w:rFonts w:hint="eastAsia"/>
                <w:sz w:val="21"/>
                <w:szCs w:val="21"/>
                <w:lang w:eastAsia="zh-CN"/>
              </w:rPr>
            </w:pPr>
            <w:r>
              <w:rPr>
                <w:rFonts w:hint="eastAsia"/>
                <w:sz w:val="21"/>
                <w:szCs w:val="21"/>
                <w:lang w:eastAsia="zh-CN"/>
              </w:rPr>
              <w:t xml:space="preserve">   （4）建设项目配套建设的环境保护设施经验收合格后，其主体工程方可投入生产或者使用；未经验收或者验收不合格的，不得投入生产或者使用。</w:t>
            </w:r>
          </w:p>
          <w:p>
            <w:pPr>
              <w:spacing w:line="276" w:lineRule="auto"/>
              <w:ind w:firstLine="0" w:firstLineChars="0"/>
              <w:rPr>
                <w:rFonts w:hint="eastAsia"/>
                <w:sz w:val="21"/>
                <w:szCs w:val="21"/>
                <w:lang w:eastAsia="zh-CN"/>
              </w:rPr>
            </w:pPr>
            <w:r>
              <w:rPr>
                <w:rFonts w:hint="eastAsia"/>
                <w:sz w:val="21"/>
                <w:szCs w:val="21"/>
                <w:lang w:eastAsia="zh-CN"/>
              </w:rPr>
              <w:t xml:space="preserve">   （5）除按照国家需要保密的情形外，建设单位应当通过其网站或其他便于公众知晓的方式，向社会公开项目相关信息.。验收报告编制完成后5个工作日内，公开验收报告，公示的期限不得少于20个工作日。</w:t>
            </w:r>
          </w:p>
          <w:p>
            <w:pPr>
              <w:spacing w:line="276" w:lineRule="auto"/>
              <w:ind w:left="0" w:leftChars="0" w:firstLine="420" w:firstLineChars="200"/>
              <w:rPr>
                <w:rFonts w:hint="eastAsia"/>
                <w:sz w:val="21"/>
                <w:szCs w:val="21"/>
                <w:lang w:eastAsia="zh-CN"/>
              </w:rPr>
            </w:pPr>
            <w:r>
              <w:rPr>
                <w:rFonts w:hint="eastAsia"/>
                <w:sz w:val="21"/>
                <w:szCs w:val="21"/>
                <w:lang w:eastAsia="zh-CN"/>
              </w:rPr>
              <w:t>（6）验收报告公示期满后5个工作日内，建设单位应当登录全国建设项目竣工环境保护验收信息平台，填报建设项目基本信息、环境保护设施验收情况等相关信息，环境保护主管部门对上述信息予以公开。建设单位应当将验收报告以及其他档案资料存档备查。</w:t>
            </w:r>
          </w:p>
          <w:p>
            <w:pPr>
              <w:spacing w:line="276" w:lineRule="auto"/>
              <w:ind w:firstLine="1260" w:firstLineChars="600"/>
              <w:rPr>
                <w:rFonts w:hint="eastAsia"/>
                <w:sz w:val="21"/>
                <w:szCs w:val="21"/>
                <w:lang w:eastAsia="zh-CN"/>
              </w:rPr>
            </w:pPr>
            <w:r>
              <w:rPr>
                <w:rFonts w:hint="eastAsia"/>
                <w:sz w:val="21"/>
                <w:szCs w:val="21"/>
                <w:lang w:eastAsia="zh-CN"/>
              </w:rPr>
              <w:t>表</w:t>
            </w:r>
            <w:r>
              <w:rPr>
                <w:rFonts w:hint="eastAsia"/>
                <w:sz w:val="21"/>
                <w:szCs w:val="21"/>
                <w:lang w:val="en-US" w:eastAsia="zh-CN"/>
              </w:rPr>
              <w:t>5</w:t>
            </w:r>
            <w:r>
              <w:rPr>
                <w:rFonts w:hint="eastAsia"/>
                <w:sz w:val="21"/>
                <w:szCs w:val="21"/>
                <w:lang w:eastAsia="zh-CN"/>
              </w:rPr>
              <w:t>-</w:t>
            </w:r>
            <w:r>
              <w:rPr>
                <w:rFonts w:hint="eastAsia"/>
                <w:sz w:val="21"/>
                <w:szCs w:val="21"/>
                <w:lang w:val="en-US" w:eastAsia="zh-CN"/>
              </w:rPr>
              <w:t xml:space="preserve">1  </w:t>
            </w:r>
            <w:r>
              <w:rPr>
                <w:rFonts w:hint="eastAsia"/>
                <w:sz w:val="21"/>
                <w:szCs w:val="21"/>
                <w:lang w:eastAsia="zh-CN"/>
              </w:rPr>
              <w:t>项目竣工环保措施“三同时”竣工验收监测计划表</w:t>
            </w:r>
          </w:p>
          <w:tbl>
            <w:tblPr>
              <w:tblStyle w:val="17"/>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921"/>
              <w:gridCol w:w="960"/>
              <w:gridCol w:w="1155"/>
              <w:gridCol w:w="1455"/>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类别</w:t>
                  </w:r>
                </w:p>
              </w:tc>
              <w:tc>
                <w:tcPr>
                  <w:tcW w:w="921" w:type="dxa"/>
                  <w:vAlign w:val="center"/>
                </w:tcPr>
                <w:p>
                  <w:pPr>
                    <w:spacing w:line="240" w:lineRule="auto"/>
                    <w:ind w:firstLine="0" w:firstLineChars="0"/>
                    <w:jc w:val="center"/>
                    <w:rPr>
                      <w:rFonts w:hint="eastAsia"/>
                      <w:sz w:val="21"/>
                      <w:szCs w:val="21"/>
                    </w:rPr>
                  </w:pPr>
                  <w:r>
                    <w:rPr>
                      <w:rFonts w:hint="eastAsia"/>
                      <w:sz w:val="21"/>
                      <w:szCs w:val="21"/>
                    </w:rPr>
                    <w:t>监测点位</w:t>
                  </w:r>
                </w:p>
              </w:tc>
              <w:tc>
                <w:tcPr>
                  <w:tcW w:w="960" w:type="dxa"/>
                  <w:vAlign w:val="center"/>
                </w:tcPr>
                <w:p>
                  <w:pPr>
                    <w:spacing w:line="240" w:lineRule="auto"/>
                    <w:ind w:firstLine="0" w:firstLineChars="0"/>
                    <w:jc w:val="center"/>
                    <w:rPr>
                      <w:rFonts w:hint="eastAsia"/>
                      <w:sz w:val="21"/>
                      <w:szCs w:val="21"/>
                    </w:rPr>
                  </w:pPr>
                  <w:r>
                    <w:rPr>
                      <w:rFonts w:hint="eastAsia"/>
                      <w:sz w:val="21"/>
                      <w:szCs w:val="21"/>
                    </w:rPr>
                    <w:t>监测</w:t>
                  </w:r>
                </w:p>
                <w:p>
                  <w:pPr>
                    <w:spacing w:line="240" w:lineRule="auto"/>
                    <w:ind w:firstLine="0" w:firstLineChars="0"/>
                    <w:jc w:val="center"/>
                    <w:rPr>
                      <w:sz w:val="21"/>
                      <w:szCs w:val="21"/>
                    </w:rPr>
                  </w:pPr>
                  <w:r>
                    <w:rPr>
                      <w:rFonts w:hint="eastAsia"/>
                      <w:sz w:val="21"/>
                      <w:szCs w:val="21"/>
                    </w:rPr>
                    <w:t>因子</w:t>
                  </w:r>
                </w:p>
              </w:tc>
              <w:tc>
                <w:tcPr>
                  <w:tcW w:w="1155" w:type="dxa"/>
                  <w:vAlign w:val="center"/>
                </w:tcPr>
                <w:p>
                  <w:pPr>
                    <w:spacing w:line="240" w:lineRule="auto"/>
                    <w:ind w:firstLine="0" w:firstLineChars="0"/>
                    <w:jc w:val="center"/>
                    <w:rPr>
                      <w:sz w:val="21"/>
                      <w:szCs w:val="21"/>
                    </w:rPr>
                  </w:pPr>
                  <w:r>
                    <w:rPr>
                      <w:rFonts w:hint="eastAsia"/>
                      <w:sz w:val="21"/>
                      <w:szCs w:val="21"/>
                    </w:rPr>
                    <w:t>监测频次</w:t>
                  </w:r>
                </w:p>
              </w:tc>
              <w:tc>
                <w:tcPr>
                  <w:tcW w:w="1455" w:type="dxa"/>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环保措施</w:t>
                  </w:r>
                </w:p>
              </w:tc>
              <w:tc>
                <w:tcPr>
                  <w:tcW w:w="2800" w:type="dxa"/>
                  <w:vAlign w:val="center"/>
                </w:tcPr>
                <w:p>
                  <w:pPr>
                    <w:spacing w:line="240" w:lineRule="auto"/>
                    <w:ind w:firstLine="0" w:firstLineChars="0"/>
                    <w:jc w:val="center"/>
                    <w:rPr>
                      <w:rFonts w:hint="eastAsia"/>
                      <w:sz w:val="21"/>
                      <w:szCs w:val="21"/>
                    </w:rPr>
                  </w:pPr>
                  <w:r>
                    <w:rPr>
                      <w:rFonts w:hint="eastAsia"/>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619" w:type="dxa"/>
                  <w:vMerge w:val="restart"/>
                  <w:vAlign w:val="center"/>
                </w:tcPr>
                <w:p>
                  <w:pPr>
                    <w:spacing w:line="240" w:lineRule="auto"/>
                    <w:ind w:firstLine="0" w:firstLineChars="0"/>
                    <w:jc w:val="center"/>
                    <w:rPr>
                      <w:rFonts w:hint="eastAsia"/>
                      <w:sz w:val="21"/>
                      <w:szCs w:val="21"/>
                      <w:lang w:eastAsia="zh-CN"/>
                    </w:rPr>
                  </w:pPr>
                  <w:r>
                    <w:rPr>
                      <w:rFonts w:hint="eastAsia"/>
                      <w:sz w:val="21"/>
                      <w:szCs w:val="21"/>
                      <w:lang w:eastAsia="zh-CN"/>
                    </w:rPr>
                    <w:t>废气</w:t>
                  </w:r>
                </w:p>
                <w:p>
                  <w:pPr>
                    <w:spacing w:line="240" w:lineRule="auto"/>
                    <w:ind w:firstLine="0" w:firstLineChars="0"/>
                    <w:jc w:val="center"/>
                    <w:rPr>
                      <w:rFonts w:hint="eastAsia" w:eastAsia="宋体"/>
                      <w:sz w:val="21"/>
                      <w:szCs w:val="21"/>
                      <w:lang w:eastAsia="zh-CN"/>
                    </w:rPr>
                  </w:pPr>
                </w:p>
              </w:tc>
              <w:tc>
                <w:tcPr>
                  <w:tcW w:w="921" w:type="dxa"/>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本项目仓库边界外浓度最高点</w:t>
                  </w:r>
                </w:p>
              </w:tc>
              <w:tc>
                <w:tcPr>
                  <w:tcW w:w="960" w:type="dxa"/>
                  <w:vMerge w:val="restart"/>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挥发性有机物</w:t>
                  </w:r>
                </w:p>
              </w:tc>
              <w:tc>
                <w:tcPr>
                  <w:tcW w:w="1155" w:type="dxa"/>
                  <w:vMerge w:val="restart"/>
                  <w:vAlign w:val="center"/>
                </w:tcPr>
                <w:p>
                  <w:pPr>
                    <w:spacing w:line="240" w:lineRule="auto"/>
                    <w:ind w:firstLine="0" w:firstLineChars="0"/>
                    <w:jc w:val="center"/>
                    <w:rPr>
                      <w:rFonts w:hint="eastAsia"/>
                      <w:sz w:val="21"/>
                      <w:szCs w:val="21"/>
                    </w:rPr>
                  </w:pPr>
                  <w:r>
                    <w:rPr>
                      <w:rFonts w:hint="eastAsia"/>
                      <w:sz w:val="21"/>
                      <w:szCs w:val="21"/>
                      <w:lang w:val="en-US" w:eastAsia="zh-CN"/>
                    </w:rPr>
                    <w:t>3</w:t>
                  </w:r>
                  <w:r>
                    <w:rPr>
                      <w:rFonts w:hint="eastAsia"/>
                      <w:sz w:val="21"/>
                      <w:szCs w:val="21"/>
                    </w:rPr>
                    <w:t>次</w:t>
                  </w:r>
                  <w:r>
                    <w:rPr>
                      <w:rFonts w:hint="eastAsia"/>
                      <w:sz w:val="21"/>
                      <w:szCs w:val="21"/>
                      <w:lang w:val="en-US" w:eastAsia="zh-CN"/>
                    </w:rPr>
                    <w:t>/</w:t>
                  </w:r>
                  <w:r>
                    <w:rPr>
                      <w:rFonts w:hint="eastAsia"/>
                      <w:sz w:val="21"/>
                      <w:szCs w:val="21"/>
                      <w:lang w:eastAsia="zh-CN"/>
                    </w:rPr>
                    <w:t>天</w:t>
                  </w:r>
                  <w:r>
                    <w:rPr>
                      <w:rFonts w:hint="eastAsia"/>
                      <w:sz w:val="21"/>
                      <w:szCs w:val="21"/>
                      <w:lang w:val="en-US" w:eastAsia="zh-CN"/>
                    </w:rPr>
                    <w:t>,连续2天</w:t>
                  </w:r>
                </w:p>
              </w:tc>
              <w:tc>
                <w:tcPr>
                  <w:tcW w:w="1455" w:type="dxa"/>
                  <w:vAlign w:val="center"/>
                </w:tcPr>
                <w:p>
                  <w:pPr>
                    <w:spacing w:line="240" w:lineRule="auto"/>
                    <w:ind w:firstLine="0" w:firstLineChars="0"/>
                    <w:jc w:val="center"/>
                    <w:rPr>
                      <w:rFonts w:hint="eastAsia"/>
                      <w:sz w:val="21"/>
                      <w:szCs w:val="21"/>
                      <w:lang w:eastAsia="zh-CN"/>
                    </w:rPr>
                  </w:pPr>
                  <w:r>
                    <w:rPr>
                      <w:rFonts w:hint="eastAsia"/>
                      <w:sz w:val="21"/>
                      <w:szCs w:val="21"/>
                      <w:lang w:eastAsia="zh-CN"/>
                    </w:rPr>
                    <w:t>自然通风与机械排风</w:t>
                  </w:r>
                </w:p>
              </w:tc>
              <w:tc>
                <w:tcPr>
                  <w:tcW w:w="2800" w:type="dxa"/>
                  <w:vAlign w:val="center"/>
                </w:tcPr>
                <w:p>
                  <w:pPr>
                    <w:spacing w:line="240" w:lineRule="auto"/>
                    <w:ind w:firstLine="0" w:firstLineChars="0"/>
                    <w:jc w:val="center"/>
                    <w:rPr>
                      <w:rFonts w:hint="eastAsia"/>
                      <w:sz w:val="21"/>
                      <w:szCs w:val="21"/>
                    </w:rPr>
                  </w:pPr>
                  <w:r>
                    <w:rPr>
                      <w:rFonts w:hint="eastAsia"/>
                      <w:sz w:val="21"/>
                      <w:szCs w:val="21"/>
                      <w:lang w:val="en-US" w:eastAsia="zh-CN"/>
                    </w:rPr>
                    <w:t>《挥发性有机物无组织排放控制标准》（GB 37822-2019）表A.1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619" w:type="dxa"/>
                  <w:vMerge w:val="continue"/>
                  <w:vAlign w:val="center"/>
                </w:tcPr>
                <w:p>
                  <w:pPr>
                    <w:spacing w:line="240" w:lineRule="auto"/>
                    <w:ind w:firstLine="0" w:firstLineChars="0"/>
                    <w:jc w:val="center"/>
                    <w:rPr>
                      <w:rFonts w:hint="eastAsia" w:eastAsia="宋体"/>
                      <w:sz w:val="21"/>
                      <w:szCs w:val="21"/>
                      <w:lang w:eastAsia="zh-CN"/>
                    </w:rPr>
                  </w:pPr>
                </w:p>
              </w:tc>
              <w:tc>
                <w:tcPr>
                  <w:tcW w:w="921"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焚烧炉排气筒</w:t>
                  </w:r>
                </w:p>
              </w:tc>
              <w:tc>
                <w:tcPr>
                  <w:tcW w:w="960" w:type="dxa"/>
                  <w:vMerge w:val="continue"/>
                  <w:vAlign w:val="center"/>
                </w:tcPr>
                <w:p>
                  <w:pPr>
                    <w:spacing w:line="240" w:lineRule="auto"/>
                    <w:ind w:firstLine="0" w:firstLineChars="0"/>
                    <w:jc w:val="center"/>
                    <w:rPr>
                      <w:rFonts w:hint="eastAsia"/>
                      <w:sz w:val="21"/>
                      <w:szCs w:val="21"/>
                      <w:lang w:eastAsia="zh-CN"/>
                    </w:rPr>
                  </w:pPr>
                </w:p>
              </w:tc>
              <w:tc>
                <w:tcPr>
                  <w:tcW w:w="1155" w:type="dxa"/>
                  <w:vMerge w:val="continue"/>
                  <w:vAlign w:val="center"/>
                </w:tcPr>
                <w:p>
                  <w:pPr>
                    <w:spacing w:line="240" w:lineRule="auto"/>
                    <w:ind w:firstLine="0" w:firstLineChars="0"/>
                    <w:jc w:val="center"/>
                    <w:rPr>
                      <w:rFonts w:hint="eastAsia"/>
                      <w:sz w:val="21"/>
                      <w:szCs w:val="21"/>
                      <w:lang w:val="en-US" w:eastAsia="zh-CN"/>
                    </w:rPr>
                  </w:pPr>
                </w:p>
              </w:tc>
              <w:tc>
                <w:tcPr>
                  <w:tcW w:w="1455" w:type="dxa"/>
                  <w:vAlign w:val="center"/>
                </w:tcPr>
                <w:p>
                  <w:pPr>
                    <w:spacing w:line="240" w:lineRule="auto"/>
                    <w:ind w:firstLine="0" w:firstLineChars="0"/>
                    <w:jc w:val="center"/>
                    <w:rPr>
                      <w:rFonts w:hint="eastAsia"/>
                      <w:sz w:val="21"/>
                      <w:szCs w:val="21"/>
                      <w:lang w:eastAsia="zh-CN"/>
                    </w:rPr>
                  </w:pPr>
                  <w:r>
                    <w:rPr>
                      <w:rFonts w:hint="eastAsia"/>
                      <w:sz w:val="21"/>
                      <w:szCs w:val="21"/>
                      <w:lang w:eastAsia="zh-CN"/>
                    </w:rPr>
                    <w:t>焚烧</w:t>
                  </w:r>
                </w:p>
              </w:tc>
              <w:tc>
                <w:tcPr>
                  <w:tcW w:w="2800" w:type="dxa"/>
                  <w:vAlign w:val="center"/>
                </w:tcPr>
                <w:p>
                  <w:pPr>
                    <w:spacing w:line="240" w:lineRule="auto"/>
                    <w:ind w:firstLine="0" w:firstLineChars="0"/>
                    <w:jc w:val="center"/>
                    <w:rPr>
                      <w:rFonts w:hint="eastAsia"/>
                      <w:sz w:val="21"/>
                      <w:szCs w:val="21"/>
                      <w:lang w:val="en-US" w:eastAsia="zh-CN"/>
                    </w:rPr>
                  </w:pPr>
                  <w:r>
                    <w:rPr>
                      <w:rFonts w:hint="eastAsia"/>
                      <w:sz w:val="21"/>
                      <w:szCs w:val="21"/>
                      <w:u w:val="single"/>
                      <w:lang w:val="en-US" w:eastAsia="zh-CN"/>
                    </w:rPr>
                    <w:t>《农药制造工业大气污染物排放标准》（GB39727-2020）表1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噪声</w:t>
                  </w:r>
                </w:p>
              </w:tc>
              <w:tc>
                <w:tcPr>
                  <w:tcW w:w="921" w:type="dxa"/>
                  <w:vAlign w:val="center"/>
                </w:tcPr>
                <w:p>
                  <w:pPr>
                    <w:spacing w:line="240" w:lineRule="auto"/>
                    <w:ind w:firstLine="0" w:firstLineChars="0"/>
                    <w:jc w:val="center"/>
                    <w:rPr>
                      <w:rFonts w:hint="eastAsia"/>
                      <w:sz w:val="21"/>
                      <w:szCs w:val="21"/>
                      <w:lang w:eastAsia="zh-CN"/>
                    </w:rPr>
                  </w:pPr>
                  <w:r>
                    <w:rPr>
                      <w:rFonts w:hint="eastAsia"/>
                      <w:sz w:val="21"/>
                      <w:szCs w:val="21"/>
                      <w:lang w:eastAsia="zh-CN"/>
                    </w:rPr>
                    <w:t>厂界四周</w:t>
                  </w:r>
                </w:p>
              </w:tc>
              <w:tc>
                <w:tcPr>
                  <w:tcW w:w="960" w:type="dxa"/>
                  <w:vAlign w:val="center"/>
                </w:tcPr>
                <w:p>
                  <w:pPr>
                    <w:spacing w:line="240" w:lineRule="auto"/>
                    <w:ind w:firstLine="0" w:firstLineChars="0"/>
                    <w:jc w:val="center"/>
                    <w:rPr>
                      <w:rFonts w:hint="eastAsia"/>
                      <w:sz w:val="21"/>
                      <w:szCs w:val="21"/>
                    </w:rPr>
                  </w:pPr>
                  <w:r>
                    <w:rPr>
                      <w:rFonts w:hint="eastAsia"/>
                      <w:sz w:val="21"/>
                      <w:szCs w:val="21"/>
                    </w:rPr>
                    <w:t>Leq</w:t>
                  </w:r>
                </w:p>
              </w:tc>
              <w:tc>
                <w:tcPr>
                  <w:tcW w:w="1155" w:type="dxa"/>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每天昼间、夜间各</w:t>
                  </w:r>
                  <w:r>
                    <w:rPr>
                      <w:rFonts w:hint="eastAsia"/>
                      <w:sz w:val="21"/>
                      <w:szCs w:val="21"/>
                      <w:lang w:val="en-US" w:eastAsia="zh-CN"/>
                    </w:rPr>
                    <w:t>1次</w:t>
                  </w:r>
                  <w:r>
                    <w:rPr>
                      <w:rFonts w:hint="eastAsia"/>
                      <w:sz w:val="21"/>
                      <w:szCs w:val="21"/>
                      <w:lang w:eastAsia="zh-CN"/>
                    </w:rPr>
                    <w:t>，</w:t>
                  </w:r>
                  <w:r>
                    <w:rPr>
                      <w:rFonts w:hint="eastAsia"/>
                      <w:sz w:val="21"/>
                      <w:szCs w:val="21"/>
                      <w:lang w:val="en-US" w:eastAsia="zh-CN"/>
                    </w:rPr>
                    <w:t>连续2天</w:t>
                  </w:r>
                </w:p>
              </w:tc>
              <w:tc>
                <w:tcPr>
                  <w:tcW w:w="1455" w:type="dxa"/>
                  <w:vAlign w:val="center"/>
                </w:tcPr>
                <w:p>
                  <w:pPr>
                    <w:spacing w:line="240" w:lineRule="auto"/>
                    <w:ind w:firstLine="0" w:firstLineChars="0"/>
                    <w:jc w:val="center"/>
                    <w:rPr>
                      <w:rFonts w:hint="eastAsia"/>
                      <w:sz w:val="21"/>
                      <w:szCs w:val="21"/>
                      <w:lang w:eastAsia="zh-CN"/>
                    </w:rPr>
                  </w:pPr>
                  <w:r>
                    <w:rPr>
                      <w:rFonts w:hint="eastAsia"/>
                      <w:sz w:val="21"/>
                      <w:szCs w:val="21"/>
                    </w:rPr>
                    <w:t>隔声、减振</w:t>
                  </w:r>
                </w:p>
              </w:tc>
              <w:tc>
                <w:tcPr>
                  <w:tcW w:w="2800" w:type="dxa"/>
                  <w:vAlign w:val="center"/>
                </w:tcPr>
                <w:p>
                  <w:pPr>
                    <w:spacing w:line="240" w:lineRule="auto"/>
                    <w:ind w:firstLine="0" w:firstLineChars="0"/>
                    <w:jc w:val="center"/>
                    <w:rPr>
                      <w:rFonts w:hint="eastAsia"/>
                      <w:sz w:val="21"/>
                      <w:szCs w:val="21"/>
                    </w:rPr>
                  </w:pPr>
                  <w:r>
                    <w:rPr>
                      <w:rFonts w:hint="eastAsia"/>
                      <w:sz w:val="21"/>
                      <w:szCs w:val="21"/>
                    </w:rPr>
                    <w:t>《工业企业厂界环境噪声排放标准》（GB12348-2008）</w:t>
                  </w:r>
                  <w:r>
                    <w:rPr>
                      <w:rFonts w:hint="eastAsia"/>
                      <w:sz w:val="21"/>
                      <w:szCs w:val="21"/>
                      <w:lang w:val="en-US" w:eastAsia="zh-CN"/>
                    </w:rPr>
                    <w:t>3</w:t>
                  </w:r>
                  <w:r>
                    <w:rPr>
                      <w:rFonts w:hint="eastAsia"/>
                      <w:sz w:val="21"/>
                      <w:szCs w:val="21"/>
                    </w:rPr>
                    <w:t>类</w:t>
                  </w:r>
                  <w:r>
                    <w:rPr>
                      <w:rFonts w:hint="eastAsia"/>
                      <w:sz w:val="21"/>
                      <w:szCs w:val="21"/>
                      <w:lang w:eastAsia="zh-CN"/>
                    </w:rPr>
                    <w:t>限值</w:t>
                  </w:r>
                </w:p>
              </w:tc>
            </w:tr>
          </w:tbl>
          <w:p>
            <w:pPr>
              <w:spacing w:line="276" w:lineRule="auto"/>
              <w:ind w:left="0" w:leftChars="0" w:firstLine="0" w:firstLineChars="0"/>
              <w:rPr>
                <w:rFonts w:ascii="宋体" w:hAnsi="宋体" w:eastAsia="宋体" w:cs="宋体"/>
                <w:sz w:val="24"/>
                <w:szCs w:val="24"/>
              </w:rPr>
            </w:pPr>
            <w:r>
              <w:rPr>
                <w:rFonts w:hint="eastAsia" w:cs="Times New Roman" w:eastAsiaTheme="minorEastAsia"/>
                <w:b/>
                <w:bCs/>
                <w:sz w:val="21"/>
                <w:szCs w:val="21"/>
                <w:lang w:val="en-US" w:eastAsia="zh-CN"/>
              </w:rPr>
              <w:t>4</w:t>
            </w:r>
            <w:r>
              <w:rPr>
                <w:rFonts w:hint="eastAsia" w:ascii="Times New Roman" w:hAnsi="Times New Roman" w:cs="Times New Roman" w:eastAsiaTheme="minorEastAsia"/>
                <w:b/>
                <w:bCs/>
                <w:sz w:val="21"/>
                <w:szCs w:val="21"/>
                <w:lang w:val="en-US" w:eastAsia="zh-CN"/>
              </w:rPr>
              <w:t>、</w:t>
            </w:r>
            <w:r>
              <w:rPr>
                <w:rFonts w:hint="default" w:ascii="Times New Roman" w:hAnsi="Times New Roman" w:cs="Times New Roman" w:eastAsiaTheme="minorEastAsia"/>
                <w:b/>
                <w:bCs/>
                <w:sz w:val="21"/>
                <w:szCs w:val="21"/>
                <w:lang w:val="en-US" w:eastAsia="zh-CN"/>
              </w:rPr>
              <w:t>环境管理台账的要求</w:t>
            </w:r>
            <w:r>
              <w:rPr>
                <w:rFonts w:ascii="宋体" w:hAnsi="宋体" w:eastAsia="宋体" w:cs="宋体"/>
                <w:sz w:val="24"/>
                <w:szCs w:val="24"/>
              </w:rPr>
              <w:t xml:space="preserve"> </w:t>
            </w:r>
          </w:p>
          <w:p>
            <w:pPr>
              <w:spacing w:line="276" w:lineRule="auto"/>
              <w:ind w:left="0" w:leftChars="0" w:firstLine="420" w:firstLineChars="200"/>
              <w:rPr>
                <w:rFonts w:hint="eastAsia" w:eastAsia="宋体"/>
                <w:sz w:val="21"/>
                <w:szCs w:val="21"/>
                <w:lang w:eastAsia="zh-CN"/>
              </w:rPr>
            </w:pPr>
            <w:r>
              <w:rPr>
                <w:rFonts w:ascii="宋体" w:hAnsi="宋体" w:eastAsia="宋体" w:cs="宋体"/>
                <w:sz w:val="21"/>
                <w:szCs w:val="21"/>
              </w:rPr>
              <w:t xml:space="preserve">根据《环境管理台账及排污许可证执行报告技术规范总则（试行）》 </w:t>
            </w:r>
            <w:r>
              <w:rPr>
                <w:rFonts w:hint="default" w:ascii="Times New Roman" w:hAnsi="Times New Roman" w:eastAsia="宋体" w:cs="Times New Roman"/>
                <w:sz w:val="21"/>
                <w:szCs w:val="21"/>
              </w:rPr>
              <w:t>（HJ944-2018）</w:t>
            </w:r>
            <w:r>
              <w:rPr>
                <w:rFonts w:ascii="宋体" w:hAnsi="宋体" w:eastAsia="宋体" w:cs="宋体"/>
                <w:sz w:val="21"/>
                <w:szCs w:val="21"/>
              </w:rPr>
              <w:t>及相关法律法规和规范要求，本项目在运行过程中应落实 环境管理台账记录制度，明确责任人和人员工作职责，包括台账的记录、 整理、维护和管理等，并对台账的真实性、完整性和规范性负责。</w:t>
            </w:r>
          </w:p>
        </w:tc>
      </w:tr>
    </w:tbl>
    <w:p>
      <w:pPr>
        <w:ind w:firstLine="480"/>
        <w:sectPr>
          <w:pgSz w:w="11906" w:h="16838"/>
          <w:pgMar w:top="1701" w:right="1531" w:bottom="1701" w:left="1531" w:header="851" w:footer="992" w:gutter="0"/>
          <w:pgNumType w:fmt="numberInDash"/>
          <w:cols w:space="0" w:num="1"/>
          <w:rtlGutter w:val="0"/>
          <w:docGrid w:type="lines" w:linePitch="327" w:charSpace="0"/>
        </w:sectPr>
      </w:pPr>
    </w:p>
    <w:p>
      <w:pPr>
        <w:pStyle w:val="2"/>
        <w:jc w:val="center"/>
        <w:rPr>
          <w:rFonts w:ascii="黑体" w:hAnsi="黑体" w:eastAsia="黑体"/>
          <w:b w:val="0"/>
          <w:bCs w:val="0"/>
          <w:sz w:val="30"/>
          <w:szCs w:val="30"/>
        </w:rPr>
      </w:pPr>
      <w:r>
        <w:rPr>
          <w:rFonts w:hint="eastAsia" w:ascii="黑体" w:hAnsi="黑体" w:eastAsia="黑体"/>
          <w:b w:val="0"/>
          <w:bCs w:val="0"/>
          <w:sz w:val="30"/>
          <w:szCs w:val="30"/>
        </w:rPr>
        <w:t>六、结论</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ind w:firstLine="420"/>
              <w:rPr>
                <w:sz w:val="21"/>
                <w:szCs w:val="21"/>
              </w:rPr>
            </w:pPr>
            <w:r>
              <w:rPr>
                <w:rFonts w:hint="eastAsia"/>
                <w:sz w:val="21"/>
                <w:szCs w:val="21"/>
              </w:rPr>
              <w:t>综上所述，本项目</w:t>
            </w:r>
            <w:r>
              <w:rPr>
                <w:rFonts w:hint="eastAsia"/>
                <w:sz w:val="21"/>
                <w:szCs w:val="21"/>
                <w:lang w:val="en-US" w:eastAsia="zh-CN"/>
              </w:rPr>
              <w:t>在厂区内原1号原料库区域进行改建，将原厂区分散储存集中优化，不增加厂区内总储存量，按照新化学品储存标准进行建设，配套废气收集系统，依托已有RTO进行处置，</w:t>
            </w:r>
            <w:r>
              <w:rPr>
                <w:rFonts w:hint="eastAsia"/>
                <w:sz w:val="21"/>
                <w:szCs w:val="21"/>
              </w:rPr>
              <w:t>符合国家产业政策，选址和平面布局合理。本项目产生的污染物在采取了本报告提出的相应的环保治理对策措施，严格执行国家有关环保法规和条例的前提下，从环境保护角度分析，本项目是可行的。</w:t>
            </w: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firstLine="420"/>
              <w:rPr>
                <w:sz w:val="21"/>
                <w:szCs w:val="21"/>
              </w:rPr>
            </w:pPr>
          </w:p>
          <w:p>
            <w:pPr>
              <w:ind w:left="0" w:leftChars="0" w:firstLine="0" w:firstLineChars="0"/>
              <w:rPr>
                <w:sz w:val="21"/>
                <w:szCs w:val="21"/>
              </w:rPr>
            </w:pPr>
          </w:p>
        </w:tc>
      </w:tr>
    </w:tbl>
    <w:p>
      <w:pPr>
        <w:pStyle w:val="2"/>
        <w:rPr>
          <w:rFonts w:ascii="黑体" w:hAnsi="黑体" w:eastAsia="黑体"/>
          <w:b w:val="0"/>
          <w:bCs w:val="0"/>
          <w:sz w:val="30"/>
          <w:szCs w:val="30"/>
        </w:rPr>
        <w:sectPr>
          <w:pgSz w:w="11906" w:h="16838"/>
          <w:pgMar w:top="1701" w:right="1531" w:bottom="1701" w:left="1531" w:header="851" w:footer="992" w:gutter="0"/>
          <w:pgNumType w:fmt="numberInDash"/>
          <w:cols w:space="0" w:num="1"/>
          <w:rtlGutter w:val="0"/>
          <w:docGrid w:type="lines" w:linePitch="327" w:charSpace="0"/>
        </w:sectPr>
      </w:pPr>
    </w:p>
    <w:p>
      <w:pPr>
        <w:ind w:left="0" w:leftChars="0" w:firstLine="0" w:firstLineChars="0"/>
        <w:rPr>
          <w:rFonts w:hint="eastAsia"/>
          <w:lang w:eastAsia="zh-CN"/>
        </w:rPr>
      </w:pPr>
      <w:r>
        <w:rPr>
          <w:rFonts w:hint="eastAsia"/>
          <w:lang w:eastAsia="zh-CN"/>
        </w:rPr>
        <w:t>附</w:t>
      </w:r>
    </w:p>
    <w:p>
      <w:pPr>
        <w:pStyle w:val="3"/>
        <w:rPr>
          <w:rFonts w:hint="eastAsia" w:ascii="仿宋_GB2312" w:eastAsia="仿宋_GB2312"/>
          <w:sz w:val="36"/>
          <w:szCs w:val="36"/>
          <w:lang w:eastAsia="zh-CN"/>
        </w:rPr>
      </w:pPr>
    </w:p>
    <w:p>
      <w:pPr>
        <w:pStyle w:val="3"/>
        <w:jc w:val="center"/>
        <w:rPr>
          <w:rFonts w:hint="eastAsia" w:ascii="仿宋_GB2312" w:eastAsia="仿宋_GB2312"/>
          <w:sz w:val="48"/>
          <w:szCs w:val="48"/>
          <w:lang w:eastAsia="zh-CN"/>
        </w:rPr>
      </w:pPr>
      <w:r>
        <w:rPr>
          <w:rFonts w:hint="eastAsia" w:ascii="仿宋_GB2312" w:eastAsia="仿宋_GB2312"/>
          <w:sz w:val="48"/>
          <w:szCs w:val="48"/>
          <w:lang w:eastAsia="zh-CN"/>
        </w:rPr>
        <w:t>湖南海利常德农药化工有限公司</w:t>
      </w:r>
    </w:p>
    <w:p>
      <w:pPr>
        <w:pStyle w:val="3"/>
        <w:jc w:val="center"/>
        <w:rPr>
          <w:rFonts w:hint="eastAsia" w:ascii="仿宋_GB2312" w:eastAsia="仿宋_GB2312"/>
          <w:sz w:val="36"/>
          <w:szCs w:val="36"/>
          <w:lang w:val="en-US" w:eastAsia="zh-CN"/>
        </w:rPr>
      </w:pPr>
      <w:r>
        <w:rPr>
          <w:rFonts w:hint="eastAsia" w:ascii="仿宋_GB2312" w:eastAsia="仿宋_GB2312"/>
          <w:sz w:val="48"/>
          <w:szCs w:val="48"/>
          <w:lang w:val="en-US" w:eastAsia="zh-CN"/>
        </w:rPr>
        <w:t>仓库改造和建设项目</w:t>
      </w:r>
    </w:p>
    <w:p>
      <w:pPr>
        <w:pStyle w:val="13"/>
        <w:keepNext w:val="0"/>
        <w:keepLines w:val="0"/>
        <w:pageBreakBefore w:val="0"/>
        <w:widowControl/>
        <w:kinsoku/>
        <w:wordWrap/>
        <w:overflowPunct/>
        <w:topLinePunct w:val="0"/>
        <w:autoSpaceDE/>
        <w:autoSpaceDN/>
        <w:bidi w:val="0"/>
        <w:adjustRightInd w:val="0"/>
        <w:snapToGrid w:val="0"/>
        <w:spacing w:before="328" w:beforeLines="100" w:beforeAutospacing="0" w:after="0" w:afterAutospacing="0" w:line="648" w:lineRule="auto"/>
        <w:ind w:firstLine="723" w:firstLineChars="100"/>
        <w:jc w:val="both"/>
        <w:textAlignment w:val="auto"/>
        <w:outlineLvl w:val="0"/>
        <w:rPr>
          <w:rFonts w:ascii="宋体" w:hAnsi="宋体" w:cs="黑体"/>
          <w:b/>
          <w:sz w:val="72"/>
          <w:szCs w:val="72"/>
        </w:rPr>
      </w:pPr>
      <w:bookmarkStart w:id="4" w:name="_Toc134106162"/>
      <w:r>
        <w:rPr>
          <w:rFonts w:hint="eastAsia" w:ascii="宋体" w:hAnsi="宋体" w:cs="黑体"/>
          <w:b/>
          <w:sz w:val="72"/>
          <w:szCs w:val="72"/>
        </w:rPr>
        <w:t>环境风险影响评价专项</w:t>
      </w:r>
      <w:bookmarkEnd w:id="4"/>
    </w:p>
    <w:p>
      <w:pPr>
        <w:adjustRightInd w:val="0"/>
        <w:snapToGrid w:val="0"/>
        <w:spacing w:line="288" w:lineRule="auto"/>
        <w:ind w:left="2460" w:leftChars="200" w:hanging="1980" w:hangingChars="550"/>
        <w:rPr>
          <w:rFonts w:hint="eastAsia" w:ascii="仿宋" w:hAnsi="仿宋" w:eastAsia="仿宋"/>
          <w:sz w:val="36"/>
          <w:szCs w:val="36"/>
          <w:u w:val="single"/>
        </w:rPr>
      </w:pPr>
      <w:r>
        <w:rPr>
          <w:rFonts w:hint="eastAsia" w:ascii="仿宋" w:hAnsi="仿宋" w:eastAsia="仿宋"/>
          <w:sz w:val="36"/>
          <w:szCs w:val="36"/>
        </w:rPr>
        <w:t>项目名称：</w:t>
      </w:r>
      <w:r>
        <w:rPr>
          <w:rFonts w:hint="eastAsia" w:ascii="仿宋" w:hAnsi="仿宋" w:eastAsia="仿宋"/>
          <w:sz w:val="36"/>
          <w:szCs w:val="36"/>
          <w:u w:val="single"/>
        </w:rPr>
        <w:t>湖南海利常德农药化工有限公司</w:t>
      </w:r>
    </w:p>
    <w:p>
      <w:pPr>
        <w:adjustRightInd w:val="0"/>
        <w:snapToGrid w:val="0"/>
        <w:spacing w:line="288" w:lineRule="auto"/>
        <w:ind w:left="2460" w:leftChars="200" w:hanging="1980" w:hangingChars="550"/>
        <w:jc w:val="center"/>
        <w:rPr>
          <w:rFonts w:ascii="仿宋" w:hAnsi="仿宋" w:eastAsia="仿宋"/>
          <w:sz w:val="36"/>
          <w:szCs w:val="36"/>
          <w:u w:val="single"/>
        </w:rPr>
      </w:pPr>
      <w:r>
        <w:rPr>
          <w:rFonts w:hint="eastAsia" w:ascii="仿宋" w:hAnsi="仿宋" w:eastAsia="仿宋"/>
          <w:sz w:val="36"/>
          <w:szCs w:val="36"/>
          <w:u w:val="single"/>
        </w:rPr>
        <w:t>仓库改造和建设项目</w:t>
      </w:r>
    </w:p>
    <w:p>
      <w:pPr>
        <w:adjustRightInd w:val="0"/>
        <w:snapToGrid w:val="0"/>
        <w:spacing w:line="288" w:lineRule="auto"/>
        <w:rPr>
          <w:rFonts w:ascii="仿宋" w:hAnsi="仿宋" w:eastAsia="仿宋"/>
          <w:sz w:val="36"/>
          <w:szCs w:val="36"/>
          <w:u w:val="single"/>
        </w:rPr>
      </w:pPr>
      <w:r>
        <w:rPr>
          <w:rFonts w:hint="eastAsia" w:ascii="仿宋" w:hAnsi="仿宋" w:eastAsia="仿宋"/>
          <w:sz w:val="36"/>
          <w:szCs w:val="36"/>
        </w:rPr>
        <w:t>建设单位（盖章）：</w:t>
      </w:r>
      <w:r>
        <w:rPr>
          <w:rFonts w:hint="eastAsia" w:ascii="仿宋" w:hAnsi="仿宋" w:eastAsia="仿宋"/>
          <w:sz w:val="36"/>
          <w:szCs w:val="36"/>
          <w:u w:val="single"/>
        </w:rPr>
        <w:t xml:space="preserve">湖南海利常德农药化工有限公司    </w:t>
      </w:r>
    </w:p>
    <w:p>
      <w:pPr>
        <w:ind w:left="480" w:leftChars="200"/>
        <w:rPr>
          <w:rFonts w:eastAsia="仿宋"/>
          <w:sz w:val="44"/>
          <w:szCs w:val="44"/>
        </w:rPr>
      </w:pPr>
      <w:r>
        <w:rPr>
          <w:rFonts w:hint="eastAsia" w:ascii="仿宋" w:hAnsi="仿宋" w:eastAsia="仿宋"/>
          <w:sz w:val="36"/>
          <w:szCs w:val="36"/>
        </w:rPr>
        <w:t>编制日期：</w:t>
      </w:r>
      <w:r>
        <w:rPr>
          <w:rFonts w:hint="eastAsia" w:ascii="仿宋" w:hAnsi="仿宋" w:eastAsia="仿宋"/>
          <w:sz w:val="36"/>
          <w:szCs w:val="36"/>
          <w:u w:val="single"/>
        </w:rPr>
        <w:t xml:space="preserve">            202</w:t>
      </w:r>
      <w:r>
        <w:rPr>
          <w:rFonts w:hint="eastAsia" w:ascii="仿宋" w:hAnsi="仿宋" w:eastAsia="仿宋"/>
          <w:sz w:val="36"/>
          <w:szCs w:val="36"/>
          <w:u w:val="single"/>
          <w:lang w:val="en-US" w:eastAsia="zh-CN"/>
        </w:rPr>
        <w:t>6</w:t>
      </w:r>
      <w:r>
        <w:rPr>
          <w:rFonts w:hint="eastAsia" w:ascii="仿宋" w:hAnsi="仿宋" w:eastAsia="仿宋"/>
          <w:sz w:val="36"/>
          <w:szCs w:val="36"/>
          <w:u w:val="single"/>
        </w:rPr>
        <w:t>年</w:t>
      </w:r>
      <w:r>
        <w:rPr>
          <w:rFonts w:hint="eastAsia" w:ascii="仿宋" w:hAnsi="仿宋" w:eastAsia="仿宋"/>
          <w:sz w:val="36"/>
          <w:szCs w:val="36"/>
          <w:u w:val="single"/>
          <w:lang w:val="en-US" w:eastAsia="zh-CN"/>
        </w:rPr>
        <w:t>1</w:t>
      </w:r>
      <w:r>
        <w:rPr>
          <w:rFonts w:hint="eastAsia" w:ascii="仿宋" w:hAnsi="仿宋" w:eastAsia="仿宋"/>
          <w:sz w:val="36"/>
          <w:szCs w:val="36"/>
          <w:u w:val="single"/>
        </w:rPr>
        <w:t>月</w:t>
      </w:r>
      <w:r>
        <w:rPr>
          <w:rFonts w:ascii="仿宋" w:hAnsi="仿宋" w:eastAsia="仿宋"/>
          <w:sz w:val="36"/>
          <w:szCs w:val="36"/>
          <w:u w:val="single"/>
        </w:rPr>
        <w:t xml:space="preserve">  </w:t>
      </w:r>
      <w:r>
        <w:rPr>
          <w:rFonts w:hint="eastAsia" w:ascii="仿宋" w:hAnsi="仿宋" w:eastAsia="仿宋"/>
          <w:sz w:val="36"/>
          <w:szCs w:val="36"/>
          <w:u w:val="single"/>
        </w:rPr>
        <w:t xml:space="preserve">  </w:t>
      </w:r>
      <w:r>
        <w:rPr>
          <w:rFonts w:ascii="仿宋" w:hAnsi="仿宋" w:eastAsia="仿宋"/>
          <w:sz w:val="36"/>
          <w:szCs w:val="36"/>
          <w:u w:val="single"/>
        </w:rPr>
        <w:t xml:space="preserve">      </w:t>
      </w:r>
      <w:r>
        <w:rPr>
          <w:rFonts w:hint="eastAsia" w:ascii="仿宋" w:hAnsi="仿宋" w:eastAsia="仿宋"/>
          <w:sz w:val="36"/>
          <w:szCs w:val="36"/>
          <w:u w:val="single"/>
        </w:rPr>
        <w:t xml:space="preserve"> </w:t>
      </w:r>
      <w:r>
        <w:rPr>
          <w:rFonts w:ascii="仿宋" w:hAnsi="仿宋" w:eastAsia="仿宋"/>
          <w:sz w:val="36"/>
          <w:szCs w:val="36"/>
          <w:u w:val="single"/>
        </w:rPr>
        <w:t xml:space="preserve"> </w:t>
      </w: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rPr>
          <w:rFonts w:hint="eastAsia" w:ascii="楷体_GB2312" w:eastAsia="楷体_GB2312"/>
          <w:sz w:val="36"/>
          <w:szCs w:val="36"/>
        </w:rPr>
      </w:pPr>
      <w:r>
        <w:rPr>
          <w:rFonts w:hint="eastAsia" w:ascii="楷体_GB2312" w:eastAsia="楷体_GB2312"/>
          <w:sz w:val="36"/>
          <w:szCs w:val="36"/>
        </w:rPr>
        <w:t>编制单位：湖南义格环保科技有限公司</w:t>
      </w:r>
    </w:p>
    <w:p>
      <w:pPr>
        <w:rPr>
          <w:rFonts w:hint="eastAsia" w:ascii="楷体_GB2312" w:eastAsia="楷体_GB2312"/>
          <w:sz w:val="36"/>
          <w:szCs w:val="36"/>
        </w:rPr>
      </w:pPr>
    </w:p>
    <w:p>
      <w:pPr>
        <w:rPr>
          <w:rFonts w:hint="eastAsia" w:ascii="楷体_GB2312" w:eastAsia="楷体_GB2312"/>
          <w:sz w:val="36"/>
          <w:szCs w:val="36"/>
        </w:rPr>
      </w:pPr>
    </w:p>
    <w:p>
      <w:pPr>
        <w:rPr>
          <w:rFonts w:hint="eastAsia" w:ascii="楷体_GB2312" w:eastAsia="楷体_GB2312"/>
          <w:sz w:val="36"/>
          <w:szCs w:val="36"/>
        </w:rPr>
      </w:pPr>
    </w:p>
    <w:p>
      <w:pPr>
        <w:rPr>
          <w:rFonts w:hint="eastAsia" w:ascii="楷体_GB2312" w:eastAsia="楷体_GB2312"/>
          <w:sz w:val="36"/>
          <w:szCs w:val="36"/>
        </w:rPr>
      </w:pPr>
    </w:p>
    <w:p>
      <w:pPr>
        <w:pStyle w:val="46"/>
        <w:tabs>
          <w:tab w:val="left" w:pos="6638"/>
        </w:tabs>
        <w:ind w:firstLine="0" w:firstLineChars="0"/>
        <w:rPr>
          <w:rStyle w:val="47"/>
          <w:b/>
          <w:sz w:val="21"/>
          <w:szCs w:val="21"/>
        </w:rPr>
      </w:pPr>
      <w:bookmarkStart w:id="5" w:name="_Toc129251475"/>
      <w:bookmarkStart w:id="6" w:name="_Toc14556924"/>
      <w:bookmarkStart w:id="7" w:name="_Toc14857184"/>
      <w:bookmarkStart w:id="8" w:name="_Toc131490051"/>
      <w:r>
        <w:rPr>
          <w:rStyle w:val="47"/>
          <w:rFonts w:hint="eastAsia"/>
          <w:b/>
          <w:sz w:val="21"/>
          <w:szCs w:val="21"/>
        </w:rPr>
        <w:t xml:space="preserve">1 </w:t>
      </w:r>
      <w:r>
        <w:rPr>
          <w:rStyle w:val="47"/>
          <w:b/>
          <w:sz w:val="21"/>
          <w:szCs w:val="21"/>
        </w:rPr>
        <w:t>总论</w:t>
      </w:r>
      <w:bookmarkEnd w:id="5"/>
      <w:bookmarkEnd w:id="6"/>
      <w:bookmarkEnd w:id="7"/>
      <w:bookmarkEnd w:id="8"/>
      <w:bookmarkStart w:id="9" w:name="_Toc14556925"/>
      <w:bookmarkStart w:id="10" w:name="_Toc14857185"/>
    </w:p>
    <w:p>
      <w:pPr>
        <w:pStyle w:val="46"/>
        <w:tabs>
          <w:tab w:val="left" w:pos="6638"/>
        </w:tabs>
        <w:ind w:firstLine="0" w:firstLineChars="0"/>
        <w:rPr>
          <w:rStyle w:val="47"/>
          <w:b/>
          <w:sz w:val="21"/>
          <w:szCs w:val="21"/>
        </w:rPr>
      </w:pPr>
      <w:bookmarkStart w:id="11" w:name="_Toc129251476"/>
      <w:bookmarkStart w:id="12" w:name="_Toc131490052"/>
      <w:r>
        <w:rPr>
          <w:rStyle w:val="47"/>
          <w:b/>
          <w:sz w:val="21"/>
          <w:szCs w:val="21"/>
        </w:rPr>
        <w:t>1.1</w:t>
      </w:r>
      <w:r>
        <w:rPr>
          <w:rStyle w:val="47"/>
          <w:rFonts w:hint="eastAsia"/>
          <w:b/>
          <w:sz w:val="21"/>
          <w:szCs w:val="21"/>
        </w:rPr>
        <w:t xml:space="preserve"> </w:t>
      </w:r>
      <w:r>
        <w:rPr>
          <w:rStyle w:val="47"/>
          <w:b/>
          <w:sz w:val="21"/>
          <w:szCs w:val="21"/>
        </w:rPr>
        <w:t>评价依据</w:t>
      </w:r>
      <w:bookmarkEnd w:id="9"/>
      <w:bookmarkEnd w:id="10"/>
      <w:bookmarkEnd w:id="11"/>
      <w:bookmarkEnd w:id="12"/>
    </w:p>
    <w:p>
      <w:pPr>
        <w:pStyle w:val="46"/>
        <w:tabs>
          <w:tab w:val="left" w:pos="6638"/>
        </w:tabs>
        <w:ind w:firstLine="0" w:firstLineChars="0"/>
        <w:rPr>
          <w:rStyle w:val="47"/>
          <w:b/>
          <w:sz w:val="21"/>
          <w:szCs w:val="21"/>
        </w:rPr>
      </w:pPr>
      <w:r>
        <w:rPr>
          <w:rStyle w:val="47"/>
          <w:b/>
          <w:sz w:val="21"/>
          <w:szCs w:val="21"/>
        </w:rPr>
        <w:t>1.1.1</w:t>
      </w:r>
      <w:r>
        <w:rPr>
          <w:rStyle w:val="47"/>
          <w:rFonts w:hint="eastAsia"/>
          <w:b/>
          <w:sz w:val="21"/>
          <w:szCs w:val="21"/>
        </w:rPr>
        <w:t xml:space="preserve"> </w:t>
      </w:r>
      <w:r>
        <w:rPr>
          <w:rStyle w:val="47"/>
          <w:b/>
          <w:sz w:val="21"/>
          <w:szCs w:val="21"/>
        </w:rPr>
        <w:t>国家相关法律</w:t>
      </w:r>
      <w:r>
        <w:rPr>
          <w:rStyle w:val="47"/>
          <w:rFonts w:hint="eastAsia"/>
          <w:b/>
          <w:sz w:val="21"/>
          <w:szCs w:val="21"/>
        </w:rPr>
        <w:t>、</w:t>
      </w:r>
      <w:r>
        <w:rPr>
          <w:rStyle w:val="47"/>
          <w:b/>
          <w:sz w:val="21"/>
          <w:szCs w:val="21"/>
        </w:rPr>
        <w:t>法规</w:t>
      </w:r>
      <w:r>
        <w:rPr>
          <w:rStyle w:val="47"/>
          <w:rFonts w:hint="eastAsia"/>
          <w:b/>
          <w:sz w:val="21"/>
          <w:szCs w:val="21"/>
        </w:rPr>
        <w:t>、部门规章</w:t>
      </w:r>
    </w:p>
    <w:p>
      <w:pPr>
        <w:pStyle w:val="39"/>
        <w:spacing w:line="360" w:lineRule="auto"/>
        <w:rPr>
          <w:bCs/>
        </w:rPr>
      </w:pPr>
      <w:bookmarkStart w:id="13" w:name="_Toc14857187"/>
      <w:bookmarkStart w:id="14" w:name="_Toc14556927"/>
      <w:r>
        <w:rPr>
          <w:bCs/>
        </w:rPr>
        <w:t>（1）《中华人民共和国环境保护法》（2021年修订本），2021年1月1日施行；</w:t>
      </w:r>
    </w:p>
    <w:p>
      <w:pPr>
        <w:pStyle w:val="39"/>
        <w:spacing w:line="360" w:lineRule="auto"/>
        <w:rPr>
          <w:bCs/>
        </w:rPr>
      </w:pPr>
      <w:r>
        <w:rPr>
          <w:bCs/>
        </w:rPr>
        <w:t>（2）《中华人民共和国环境影响评价法》，2018年12月29日修订；</w:t>
      </w:r>
    </w:p>
    <w:p>
      <w:pPr>
        <w:pStyle w:val="39"/>
        <w:spacing w:line="360" w:lineRule="auto"/>
        <w:rPr>
          <w:bCs/>
        </w:rPr>
      </w:pPr>
      <w:r>
        <w:rPr>
          <w:bCs/>
        </w:rPr>
        <w:t>（3）《中华人民共和国水污染防治法》（2017修正），2017年6月27日修订；</w:t>
      </w:r>
    </w:p>
    <w:p>
      <w:pPr>
        <w:pStyle w:val="39"/>
        <w:spacing w:line="360" w:lineRule="auto"/>
        <w:rPr>
          <w:bCs/>
        </w:rPr>
      </w:pPr>
      <w:r>
        <w:rPr>
          <w:bCs/>
        </w:rPr>
        <w:t>（4）《中华人民共和国大气污染防治法》，2018年10月26日修订；</w:t>
      </w:r>
    </w:p>
    <w:p>
      <w:pPr>
        <w:pStyle w:val="39"/>
        <w:spacing w:line="360" w:lineRule="auto"/>
        <w:rPr>
          <w:bCs/>
        </w:rPr>
      </w:pPr>
      <w:r>
        <w:rPr>
          <w:bCs/>
        </w:rPr>
        <w:t>（5）《中华人民共和国固体废物污染环境防治法》，2020年9月1日起施行；</w:t>
      </w:r>
    </w:p>
    <w:p>
      <w:pPr>
        <w:pStyle w:val="39"/>
        <w:spacing w:line="360" w:lineRule="auto"/>
        <w:rPr>
          <w:bCs/>
        </w:rPr>
      </w:pPr>
      <w:r>
        <w:rPr>
          <w:bCs/>
        </w:rPr>
        <w:t>（6）《中华人民共和国环境噪声污染防治法》，2018年12月29日修订；</w:t>
      </w:r>
    </w:p>
    <w:p>
      <w:pPr>
        <w:pStyle w:val="39"/>
        <w:spacing w:line="360" w:lineRule="auto"/>
        <w:rPr>
          <w:bCs/>
        </w:rPr>
      </w:pPr>
      <w:r>
        <w:rPr>
          <w:bCs/>
        </w:rPr>
        <w:t>（7）《中华人民共和国土壤污染防治法》，2019年1月1日起施行；</w:t>
      </w:r>
    </w:p>
    <w:p>
      <w:pPr>
        <w:pStyle w:val="39"/>
        <w:spacing w:line="360" w:lineRule="auto"/>
        <w:rPr>
          <w:bCs/>
        </w:rPr>
      </w:pPr>
      <w:r>
        <w:rPr>
          <w:bCs/>
        </w:rPr>
        <w:t>（</w:t>
      </w:r>
      <w:r>
        <w:rPr>
          <w:rFonts w:hint="eastAsia"/>
          <w:bCs/>
        </w:rPr>
        <w:t>8</w:t>
      </w:r>
      <w:r>
        <w:rPr>
          <w:bCs/>
        </w:rPr>
        <w:t>）《中华人民共和国水法》，2016年7月2日修订；</w:t>
      </w:r>
    </w:p>
    <w:p>
      <w:pPr>
        <w:pStyle w:val="39"/>
        <w:spacing w:line="360" w:lineRule="auto"/>
        <w:rPr>
          <w:bCs/>
        </w:rPr>
      </w:pPr>
      <w:r>
        <w:rPr>
          <w:bCs/>
        </w:rPr>
        <w:t>（</w:t>
      </w:r>
      <w:r>
        <w:rPr>
          <w:rFonts w:hint="eastAsia"/>
          <w:bCs/>
        </w:rPr>
        <w:t>9</w:t>
      </w:r>
      <w:r>
        <w:rPr>
          <w:bCs/>
        </w:rPr>
        <w:t>）《中华人民共和国土地管理法》，2019年8月26日修订；</w:t>
      </w:r>
    </w:p>
    <w:p>
      <w:pPr>
        <w:pStyle w:val="39"/>
        <w:spacing w:line="360" w:lineRule="auto"/>
        <w:rPr>
          <w:bCs/>
        </w:rPr>
      </w:pPr>
      <w:r>
        <w:rPr>
          <w:bCs/>
        </w:rPr>
        <w:t>（1</w:t>
      </w:r>
      <w:r>
        <w:rPr>
          <w:rFonts w:hint="eastAsia"/>
          <w:bCs/>
        </w:rPr>
        <w:t>0</w:t>
      </w:r>
      <w:r>
        <w:rPr>
          <w:bCs/>
        </w:rPr>
        <w:t>）《中华人民共和国水土保持法》，2011年3月1日施行；</w:t>
      </w:r>
    </w:p>
    <w:p>
      <w:pPr>
        <w:pStyle w:val="39"/>
        <w:spacing w:line="360" w:lineRule="auto"/>
        <w:rPr>
          <w:bCs/>
        </w:rPr>
      </w:pPr>
      <w:r>
        <w:rPr>
          <w:bCs/>
        </w:rPr>
        <w:t>（1</w:t>
      </w:r>
      <w:r>
        <w:rPr>
          <w:rFonts w:hint="eastAsia"/>
          <w:bCs/>
        </w:rPr>
        <w:t>1</w:t>
      </w:r>
      <w:r>
        <w:rPr>
          <w:bCs/>
        </w:rPr>
        <w:t>）《中华人民共和国清洁生产促进法》，2012年7月1日施行；</w:t>
      </w:r>
    </w:p>
    <w:p>
      <w:pPr>
        <w:pStyle w:val="39"/>
        <w:spacing w:line="360" w:lineRule="auto"/>
        <w:rPr>
          <w:bCs/>
        </w:rPr>
      </w:pPr>
      <w:r>
        <w:rPr>
          <w:rFonts w:hint="eastAsia"/>
          <w:bCs/>
        </w:rPr>
        <w:t>（12）</w:t>
      </w:r>
      <w:r>
        <w:rPr>
          <w:bCs/>
        </w:rPr>
        <w:t>《中华人民共和国安全生产法》（2021修订版），2021年9月1日起施行；</w:t>
      </w:r>
    </w:p>
    <w:p>
      <w:pPr>
        <w:pStyle w:val="39"/>
        <w:spacing w:line="360" w:lineRule="auto"/>
        <w:rPr>
          <w:bCs/>
        </w:rPr>
      </w:pPr>
      <w:r>
        <w:rPr>
          <w:rFonts w:hint="eastAsia"/>
          <w:bCs/>
        </w:rPr>
        <w:t>（13）</w:t>
      </w:r>
      <w:r>
        <w:rPr>
          <w:bCs/>
        </w:rPr>
        <w:t>《建设项目环境保护管理条例》，国务院令第682号，2017年10月1日施行；</w:t>
      </w:r>
    </w:p>
    <w:p>
      <w:r>
        <w:rPr>
          <w:rFonts w:hint="eastAsia"/>
          <w:bCs/>
        </w:rPr>
        <w:t>（14）</w:t>
      </w:r>
      <w:r>
        <w:t>《产业结构调整指导目录（2019年本）》，国家发展改革委第29号令，2020年1月1日施行；</w:t>
      </w:r>
    </w:p>
    <w:p>
      <w:pPr>
        <w:pStyle w:val="39"/>
        <w:spacing w:line="360" w:lineRule="auto"/>
        <w:rPr>
          <w:bCs/>
        </w:rPr>
      </w:pPr>
      <w:r>
        <w:rPr>
          <w:rFonts w:hint="eastAsia"/>
          <w:bCs/>
        </w:rPr>
        <w:t>（15）</w:t>
      </w:r>
      <w:r>
        <w:rPr>
          <w:szCs w:val="21"/>
        </w:rPr>
        <w:t>《建设项目环境影响评价分类管理名录》，环境保护部令第16号，2021年1月1日起施行；</w:t>
      </w:r>
    </w:p>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pPr>
      <w:r>
        <w:rPr>
          <w:rFonts w:hint="eastAsia"/>
          <w:bCs/>
        </w:rPr>
        <w:t>（16）</w:t>
      </w:r>
      <w:r>
        <w:rPr>
          <w:szCs w:val="21"/>
        </w:rPr>
        <w:t>《关于进一步加强环境影响评价管理防范环境风险的通知》，环发【2012】77号，2012年7月3日；</w:t>
      </w:r>
    </w:p>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szCs w:val="21"/>
        </w:rPr>
      </w:pPr>
      <w:r>
        <w:rPr>
          <w:rFonts w:hint="eastAsia"/>
          <w:lang w:eastAsia="zh-CN"/>
        </w:rPr>
        <w:t>（</w:t>
      </w:r>
      <w:r>
        <w:rPr>
          <w:rFonts w:hint="eastAsia"/>
          <w:lang w:val="en-US" w:eastAsia="zh-CN"/>
        </w:rPr>
        <w:t>17</w:t>
      </w:r>
      <w:r>
        <w:rPr>
          <w:rFonts w:hint="eastAsia"/>
          <w:lang w:eastAsia="zh-CN"/>
        </w:rPr>
        <w:t>）</w:t>
      </w:r>
      <w:r>
        <w:rPr>
          <w:szCs w:val="21"/>
        </w:rPr>
        <w:t>《关于切实加强风险防范严格环境影响评价管理的通知》，环发【2012】98号，2012年8月7日；</w:t>
      </w:r>
    </w:p>
    <w:p/>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szCs w:val="21"/>
        </w:rPr>
      </w:pPr>
      <w:r>
        <w:rPr>
          <w:rFonts w:hint="eastAsia"/>
          <w:szCs w:val="21"/>
          <w:lang w:eastAsia="zh-CN"/>
        </w:rPr>
        <w:t>（</w:t>
      </w:r>
      <w:r>
        <w:rPr>
          <w:rFonts w:hint="eastAsia"/>
          <w:szCs w:val="21"/>
          <w:lang w:val="en-US" w:eastAsia="zh-CN"/>
        </w:rPr>
        <w:t>18</w:t>
      </w:r>
      <w:r>
        <w:rPr>
          <w:rFonts w:hint="eastAsia"/>
          <w:szCs w:val="21"/>
          <w:lang w:eastAsia="zh-CN"/>
        </w:rPr>
        <w:t>）</w:t>
      </w:r>
      <w:r>
        <w:rPr>
          <w:szCs w:val="21"/>
        </w:rPr>
        <w:t>《国家危险废物名录</w:t>
      </w:r>
      <w:r>
        <w:rPr>
          <w:rFonts w:hint="eastAsia"/>
          <w:szCs w:val="21"/>
          <w:lang w:eastAsia="zh-CN"/>
        </w:rPr>
        <w:t>（</w:t>
      </w:r>
      <w:r>
        <w:rPr>
          <w:rFonts w:hint="eastAsia"/>
          <w:szCs w:val="21"/>
          <w:lang w:val="en-US" w:eastAsia="zh-CN"/>
        </w:rPr>
        <w:t>2025年版</w:t>
      </w:r>
      <w:r>
        <w:rPr>
          <w:rFonts w:hint="eastAsia"/>
          <w:szCs w:val="21"/>
          <w:lang w:eastAsia="zh-CN"/>
        </w:rPr>
        <w:t>）</w:t>
      </w:r>
      <w:r>
        <w:rPr>
          <w:szCs w:val="21"/>
        </w:rPr>
        <w:t>》，环境保护部令第</w:t>
      </w:r>
      <w:r>
        <w:rPr>
          <w:rFonts w:hint="eastAsia"/>
          <w:szCs w:val="21"/>
          <w:lang w:val="en-US" w:eastAsia="zh-CN"/>
        </w:rPr>
        <w:t>36</w:t>
      </w:r>
      <w:r>
        <w:rPr>
          <w:szCs w:val="21"/>
        </w:rPr>
        <w:t>号，202</w:t>
      </w:r>
      <w:r>
        <w:rPr>
          <w:rFonts w:hint="eastAsia"/>
          <w:szCs w:val="21"/>
          <w:lang w:val="en-US" w:eastAsia="zh-CN"/>
        </w:rPr>
        <w:t>5</w:t>
      </w:r>
      <w:r>
        <w:rPr>
          <w:szCs w:val="21"/>
        </w:rPr>
        <w:t>年</w:t>
      </w:r>
      <w:r>
        <w:rPr>
          <w:rFonts w:hint="eastAsia"/>
          <w:szCs w:val="21"/>
          <w:lang w:val="en-US" w:eastAsia="zh-CN"/>
        </w:rPr>
        <w:t>1</w:t>
      </w:r>
      <w:r>
        <w:rPr>
          <w:szCs w:val="21"/>
        </w:rPr>
        <w:t>月1日起施行；</w:t>
      </w:r>
    </w:p>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szCs w:val="21"/>
        </w:rPr>
      </w:pPr>
      <w:r>
        <w:rPr>
          <w:rFonts w:hint="eastAsia"/>
          <w:szCs w:val="21"/>
          <w:lang w:eastAsia="zh-CN"/>
        </w:rPr>
        <w:t>（</w:t>
      </w:r>
      <w:r>
        <w:rPr>
          <w:rFonts w:hint="eastAsia"/>
          <w:szCs w:val="21"/>
          <w:lang w:val="en-US" w:eastAsia="zh-CN"/>
        </w:rPr>
        <w:t>19</w:t>
      </w:r>
      <w:r>
        <w:rPr>
          <w:rFonts w:hint="eastAsia"/>
          <w:szCs w:val="21"/>
          <w:lang w:eastAsia="zh-CN"/>
        </w:rPr>
        <w:t>）</w:t>
      </w:r>
      <w:r>
        <w:rPr>
          <w:szCs w:val="21"/>
        </w:rPr>
        <w:t>《关于发布&lt;建设项目危险废物环境影响评价指南&gt;的公告》，环境保护部公告2017年第43号</w:t>
      </w:r>
      <w:r>
        <w:rPr>
          <w:rFonts w:hint="eastAsia"/>
          <w:szCs w:val="21"/>
        </w:rPr>
        <w:t>。</w:t>
      </w:r>
    </w:p>
    <w:bookmarkEnd w:id="13"/>
    <w:bookmarkEnd w:id="14"/>
    <w:p>
      <w:pPr>
        <w:pStyle w:val="46"/>
        <w:tabs>
          <w:tab w:val="left" w:pos="6638"/>
        </w:tabs>
        <w:ind w:firstLine="0" w:firstLineChars="0"/>
        <w:rPr>
          <w:rStyle w:val="47"/>
          <w:b/>
          <w:sz w:val="21"/>
          <w:szCs w:val="21"/>
        </w:rPr>
      </w:pPr>
      <w:r>
        <w:rPr>
          <w:rStyle w:val="47"/>
          <w:b/>
          <w:sz w:val="21"/>
          <w:szCs w:val="21"/>
        </w:rPr>
        <w:t>1.1.2</w:t>
      </w:r>
      <w:r>
        <w:rPr>
          <w:rStyle w:val="47"/>
          <w:rFonts w:hint="eastAsia"/>
          <w:b/>
          <w:sz w:val="21"/>
          <w:szCs w:val="21"/>
        </w:rPr>
        <w:t xml:space="preserve"> </w:t>
      </w:r>
      <w:r>
        <w:rPr>
          <w:rStyle w:val="47"/>
          <w:b/>
          <w:sz w:val="21"/>
          <w:szCs w:val="21"/>
        </w:rPr>
        <w:t>地方环保法规、规划</w:t>
      </w:r>
    </w:p>
    <w:p>
      <w:pPr>
        <w:pStyle w:val="48"/>
        <w:numPr>
          <w:ilvl w:val="0"/>
          <w:numId w:val="9"/>
        </w:numPr>
        <w:adjustRightInd w:val="0"/>
        <w:snapToGrid w:val="0"/>
        <w:spacing w:line="360" w:lineRule="auto"/>
        <w:ind w:left="0" w:firstLine="0" w:firstLineChars="0"/>
        <w:rPr>
          <w:szCs w:val="21"/>
        </w:rPr>
      </w:pPr>
      <w:r>
        <w:rPr>
          <w:szCs w:val="21"/>
        </w:rPr>
        <w:t>《湖南省环境保护条例》，湖南省生态环境厅，20</w:t>
      </w:r>
      <w:r>
        <w:rPr>
          <w:rFonts w:hint="eastAsia"/>
          <w:szCs w:val="21"/>
          <w:lang w:val="en-US" w:eastAsia="zh-CN"/>
        </w:rPr>
        <w:t>25</w:t>
      </w:r>
      <w:r>
        <w:rPr>
          <w:szCs w:val="21"/>
        </w:rPr>
        <w:t>年</w:t>
      </w:r>
      <w:r>
        <w:rPr>
          <w:rFonts w:hint="eastAsia"/>
          <w:szCs w:val="21"/>
          <w:lang w:val="en-US" w:eastAsia="zh-CN"/>
        </w:rPr>
        <w:t>7</w:t>
      </w:r>
      <w:r>
        <w:rPr>
          <w:szCs w:val="21"/>
        </w:rPr>
        <w:t>月</w:t>
      </w:r>
      <w:r>
        <w:rPr>
          <w:rFonts w:hint="eastAsia"/>
          <w:szCs w:val="21"/>
          <w:lang w:val="en-US" w:eastAsia="zh-CN"/>
        </w:rPr>
        <w:t>31</w:t>
      </w:r>
      <w:r>
        <w:rPr>
          <w:szCs w:val="21"/>
        </w:rPr>
        <w:t>日</w:t>
      </w:r>
      <w:r>
        <w:rPr>
          <w:rFonts w:hint="eastAsia"/>
          <w:szCs w:val="21"/>
          <w:lang w:eastAsia="zh-CN"/>
        </w:rPr>
        <w:t>修订</w:t>
      </w:r>
      <w:r>
        <w:rPr>
          <w:szCs w:val="21"/>
        </w:rPr>
        <w:t>；</w:t>
      </w:r>
    </w:p>
    <w:p>
      <w:pPr>
        <w:pStyle w:val="48"/>
        <w:numPr>
          <w:ilvl w:val="0"/>
          <w:numId w:val="9"/>
        </w:numPr>
        <w:adjustRightInd w:val="0"/>
        <w:snapToGrid w:val="0"/>
        <w:spacing w:line="360" w:lineRule="auto"/>
        <w:ind w:left="0" w:firstLine="0" w:firstLineChars="0"/>
        <w:rPr>
          <w:szCs w:val="21"/>
        </w:rPr>
      </w:pPr>
      <w:r>
        <w:rPr>
          <w:rFonts w:hint="eastAsia"/>
          <w:szCs w:val="21"/>
        </w:rPr>
        <w:t>《湖南省“三线一单”生态环境总体管控要求暨省级以上产业园区生态环境准入清单》（湘环函[2024]26号），</w:t>
      </w:r>
      <w:r>
        <w:rPr>
          <w:szCs w:val="21"/>
        </w:rPr>
        <w:t>20</w:t>
      </w:r>
      <w:r>
        <w:rPr>
          <w:rFonts w:hint="eastAsia"/>
          <w:szCs w:val="21"/>
          <w:lang w:val="en-US" w:eastAsia="zh-CN"/>
        </w:rPr>
        <w:t>24</w:t>
      </w:r>
      <w:r>
        <w:rPr>
          <w:szCs w:val="21"/>
        </w:rPr>
        <w:t>年</w:t>
      </w:r>
      <w:r>
        <w:rPr>
          <w:rFonts w:hint="eastAsia"/>
          <w:szCs w:val="21"/>
          <w:lang w:val="en-US" w:eastAsia="zh-CN"/>
        </w:rPr>
        <w:t>4</w:t>
      </w:r>
      <w:r>
        <w:rPr>
          <w:szCs w:val="21"/>
        </w:rPr>
        <w:t>月11日；</w:t>
      </w:r>
    </w:p>
    <w:p>
      <w:pPr>
        <w:pStyle w:val="48"/>
        <w:numPr>
          <w:ilvl w:val="0"/>
          <w:numId w:val="9"/>
        </w:numPr>
        <w:adjustRightInd w:val="0"/>
        <w:snapToGrid w:val="0"/>
        <w:spacing w:line="360" w:lineRule="auto"/>
        <w:ind w:left="0" w:firstLine="0" w:firstLineChars="0"/>
        <w:rPr>
          <w:szCs w:val="21"/>
        </w:rPr>
      </w:pPr>
      <w:r>
        <w:rPr>
          <w:szCs w:val="21"/>
        </w:rPr>
        <w:t>《湖南省人民政府关于印发&lt;湖南省主体功能区规划&gt;的通知》，湘政发【2012】39号，2012年12月26日；</w:t>
      </w:r>
    </w:p>
    <w:p>
      <w:pPr>
        <w:pStyle w:val="48"/>
        <w:numPr>
          <w:ilvl w:val="0"/>
          <w:numId w:val="9"/>
        </w:numPr>
        <w:adjustRightInd w:val="0"/>
        <w:snapToGrid w:val="0"/>
        <w:spacing w:line="360" w:lineRule="auto"/>
        <w:ind w:left="0" w:firstLine="0" w:firstLineChars="0"/>
        <w:rPr>
          <w:szCs w:val="21"/>
        </w:rPr>
      </w:pPr>
      <w:r>
        <w:rPr>
          <w:szCs w:val="21"/>
        </w:rPr>
        <w:t>《湖南省主要水系地表水环境功能区划》（DB43/023-2005）；</w:t>
      </w:r>
    </w:p>
    <w:p>
      <w:pPr>
        <w:pStyle w:val="48"/>
        <w:numPr>
          <w:ilvl w:val="0"/>
          <w:numId w:val="9"/>
        </w:numPr>
        <w:adjustRightInd w:val="0"/>
        <w:snapToGrid w:val="0"/>
        <w:spacing w:line="360" w:lineRule="auto"/>
        <w:ind w:left="0" w:firstLine="0" w:firstLineChars="0"/>
        <w:rPr>
          <w:szCs w:val="21"/>
        </w:rPr>
      </w:pPr>
      <w:r>
        <w:rPr>
          <w:szCs w:val="21"/>
        </w:rPr>
        <w:t>《湖南省人民政府关于公布&lt;湖南省县级以上地表水集中式饮用水水源保护区划定方案&gt;的通知》，湘政函【2016】176号；</w:t>
      </w:r>
    </w:p>
    <w:p>
      <w:pPr>
        <w:pStyle w:val="48"/>
        <w:numPr>
          <w:ilvl w:val="0"/>
          <w:numId w:val="9"/>
        </w:numPr>
        <w:adjustRightInd w:val="0"/>
        <w:snapToGrid w:val="0"/>
        <w:spacing w:line="360" w:lineRule="auto"/>
        <w:ind w:left="0" w:firstLine="0" w:firstLineChars="0"/>
        <w:rPr>
          <w:szCs w:val="21"/>
        </w:rPr>
      </w:pPr>
      <w:r>
        <w:rPr>
          <w:rFonts w:hint="eastAsia"/>
          <w:color w:val="auto"/>
          <w:sz w:val="24"/>
        </w:rPr>
        <w:t>《湖南省长江经济带发展负面清单实施细则（试行，2022年版）》</w:t>
      </w:r>
    </w:p>
    <w:p>
      <w:pPr>
        <w:pStyle w:val="48"/>
        <w:numPr>
          <w:ilvl w:val="0"/>
          <w:numId w:val="9"/>
        </w:numPr>
        <w:adjustRightInd w:val="0"/>
        <w:snapToGrid w:val="0"/>
        <w:spacing w:line="360" w:lineRule="auto"/>
        <w:ind w:left="0" w:firstLine="0" w:firstLineChars="0"/>
        <w:rPr>
          <w:szCs w:val="21"/>
        </w:rPr>
      </w:pPr>
      <w:r>
        <w:rPr>
          <w:szCs w:val="21"/>
        </w:rPr>
        <w:t>《湖南省人民政府关于印发&lt;湖南省土壤污染防治工作方案&gt;的通知》，湘政发【2017】4号，2017年1月23日；</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zh-CN" w:eastAsia="zh-CN"/>
        </w:rPr>
        <w:t>《湖南省空气质量持续改善行动计划实施方案》（湘政办发〔2024〕33号</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eastAsia="宋体" w:cs="Times New Roman"/>
          <w:color w:val="auto"/>
          <w:kern w:val="2"/>
          <w:sz w:val="24"/>
          <w:szCs w:val="22"/>
          <w:u w:val="none"/>
          <w:lang w:val="zh-CN" w:eastAsia="zh-CN" w:bidi="ar-SA"/>
        </w:rPr>
      </w:pPr>
      <w:r>
        <w:rPr>
          <w:rFonts w:hint="eastAsia" w:ascii="Times New Roman" w:hAnsi="Times New Roman" w:eastAsia="宋体" w:cs="Times New Roman"/>
          <w:color w:val="auto"/>
          <w:kern w:val="2"/>
          <w:sz w:val="24"/>
          <w:szCs w:val="22"/>
          <w:u w:val="none"/>
          <w:lang w:val="en-US" w:eastAsia="zh-CN" w:bidi="ar-SA"/>
        </w:rPr>
        <w:t>湖南省《</w:t>
      </w:r>
      <w:r>
        <w:rPr>
          <w:rFonts w:hint="eastAsia" w:ascii="Times New Roman" w:hAnsi="Times New Roman" w:eastAsia="宋体" w:cs="Times New Roman"/>
          <w:color w:val="auto"/>
          <w:kern w:val="2"/>
          <w:sz w:val="24"/>
          <w:szCs w:val="22"/>
          <w:u w:val="none"/>
          <w:lang w:val="zh-CN" w:eastAsia="zh-CN" w:bidi="ar-SA"/>
        </w:rPr>
        <w:t>关于印发</w:t>
      </w:r>
      <w:r>
        <w:rPr>
          <w:rFonts w:hint="eastAsia" w:ascii="Times New Roman" w:hAnsi="Times New Roman" w:eastAsia="宋体" w:cs="Times New Roman"/>
          <w:color w:val="auto"/>
          <w:kern w:val="2"/>
          <w:sz w:val="24"/>
          <w:szCs w:val="22"/>
          <w:u w:val="none"/>
          <w:lang w:val="en-US" w:eastAsia="zh-CN" w:bidi="ar-SA"/>
        </w:rPr>
        <w:t>&lt;</w:t>
      </w:r>
      <w:r>
        <w:rPr>
          <w:rFonts w:hint="eastAsia" w:ascii="Times New Roman" w:hAnsi="Times New Roman" w:eastAsia="宋体" w:cs="Times New Roman"/>
          <w:color w:val="auto"/>
          <w:kern w:val="2"/>
          <w:sz w:val="24"/>
          <w:szCs w:val="22"/>
          <w:u w:val="none"/>
          <w:lang w:val="zh-CN" w:eastAsia="zh-CN" w:bidi="ar-SA"/>
        </w:rPr>
        <w:t>关于加强重点城市大气污染联防联控的若干措施</w:t>
      </w:r>
      <w:r>
        <w:rPr>
          <w:rFonts w:hint="eastAsia" w:ascii="Times New Roman" w:hAnsi="Times New Roman" w:eastAsia="宋体" w:cs="Times New Roman"/>
          <w:color w:val="auto"/>
          <w:kern w:val="2"/>
          <w:sz w:val="24"/>
          <w:szCs w:val="22"/>
          <w:u w:val="none"/>
          <w:lang w:val="en-US" w:eastAsia="zh-CN" w:bidi="ar-SA"/>
        </w:rPr>
        <w:t>&gt;</w:t>
      </w:r>
      <w:r>
        <w:rPr>
          <w:rFonts w:hint="eastAsia" w:ascii="Times New Roman" w:hAnsi="Times New Roman" w:eastAsia="宋体" w:cs="Times New Roman"/>
          <w:color w:val="auto"/>
          <w:kern w:val="2"/>
          <w:sz w:val="24"/>
          <w:szCs w:val="22"/>
          <w:u w:val="none"/>
          <w:lang w:val="zh-CN" w:eastAsia="zh-CN" w:bidi="ar-SA"/>
        </w:rPr>
        <w:t>的通知</w:t>
      </w:r>
      <w:r>
        <w:rPr>
          <w:rFonts w:hint="eastAsia" w:ascii="Times New Roman" w:hAnsi="Times New Roman" w:eastAsia="宋体" w:cs="Times New Roman"/>
          <w:color w:val="auto"/>
          <w:kern w:val="2"/>
          <w:sz w:val="24"/>
          <w:szCs w:val="22"/>
          <w:u w:val="none"/>
          <w:lang w:val="en-US" w:eastAsia="zh-CN" w:bidi="ar-SA"/>
        </w:rPr>
        <w:t>》</w:t>
      </w:r>
      <w:r>
        <w:rPr>
          <w:rFonts w:hint="eastAsia" w:ascii="Times New Roman" w:hAnsi="Times New Roman" w:eastAsia="宋体" w:cs="Times New Roman"/>
          <w:color w:val="auto"/>
          <w:kern w:val="2"/>
          <w:sz w:val="24"/>
          <w:szCs w:val="22"/>
          <w:u w:val="none"/>
          <w:lang w:val="zh-CN" w:eastAsia="zh-CN" w:bidi="ar-SA"/>
        </w:rPr>
        <w:t>，</w:t>
      </w:r>
      <w:r>
        <w:rPr>
          <w:rFonts w:hint="eastAsia" w:ascii="Times New Roman" w:hAnsi="Times New Roman" w:eastAsia="宋体" w:cs="Times New Roman"/>
          <w:color w:val="auto"/>
          <w:kern w:val="2"/>
          <w:sz w:val="24"/>
          <w:szCs w:val="22"/>
          <w:u w:val="none"/>
          <w:lang w:val="en-US" w:eastAsia="zh-CN" w:bidi="ar-SA"/>
        </w:rPr>
        <w:t>2025.10.10</w:t>
      </w:r>
    </w:p>
    <w:p>
      <w:pPr>
        <w:pStyle w:val="48"/>
        <w:numPr>
          <w:ilvl w:val="0"/>
          <w:numId w:val="0"/>
        </w:numPr>
        <w:adjustRightInd w:val="0"/>
        <w:snapToGrid w:val="0"/>
        <w:spacing w:line="360" w:lineRule="auto"/>
        <w:ind w:leftChars="0"/>
        <w:rPr>
          <w:szCs w:val="21"/>
        </w:rPr>
      </w:pPr>
    </w:p>
    <w:p>
      <w:pPr>
        <w:pStyle w:val="46"/>
        <w:tabs>
          <w:tab w:val="left" w:pos="6638"/>
        </w:tabs>
        <w:ind w:firstLine="0" w:firstLineChars="0"/>
        <w:rPr>
          <w:rStyle w:val="47"/>
          <w:b/>
          <w:sz w:val="21"/>
          <w:szCs w:val="21"/>
        </w:rPr>
      </w:pPr>
      <w:r>
        <w:rPr>
          <w:rStyle w:val="47"/>
          <w:b/>
          <w:sz w:val="21"/>
          <w:szCs w:val="21"/>
        </w:rPr>
        <w:t>1.1.3</w:t>
      </w:r>
      <w:r>
        <w:rPr>
          <w:rStyle w:val="47"/>
          <w:rFonts w:hint="eastAsia"/>
          <w:b/>
          <w:sz w:val="21"/>
          <w:szCs w:val="21"/>
        </w:rPr>
        <w:t xml:space="preserve"> </w:t>
      </w:r>
      <w:r>
        <w:rPr>
          <w:rStyle w:val="47"/>
          <w:b/>
          <w:sz w:val="21"/>
          <w:szCs w:val="21"/>
        </w:rPr>
        <w:t>相关导则、标准</w:t>
      </w:r>
    </w:p>
    <w:p>
      <w:pPr>
        <w:pStyle w:val="48"/>
        <w:numPr>
          <w:ilvl w:val="0"/>
          <w:numId w:val="10"/>
        </w:numPr>
        <w:adjustRightInd w:val="0"/>
        <w:snapToGrid w:val="0"/>
        <w:spacing w:line="360" w:lineRule="auto"/>
        <w:ind w:firstLineChars="0"/>
        <w:rPr>
          <w:szCs w:val="21"/>
        </w:rPr>
      </w:pPr>
      <w:r>
        <w:rPr>
          <w:szCs w:val="21"/>
        </w:rPr>
        <w:t>《建设项目环境影响评价技术导则  总纲》（HJ2.1-2016）；</w:t>
      </w:r>
    </w:p>
    <w:p>
      <w:pPr>
        <w:pStyle w:val="48"/>
        <w:numPr>
          <w:ilvl w:val="0"/>
          <w:numId w:val="10"/>
        </w:numPr>
        <w:adjustRightInd w:val="0"/>
        <w:snapToGrid w:val="0"/>
        <w:spacing w:line="360" w:lineRule="auto"/>
        <w:ind w:firstLineChars="0"/>
        <w:rPr>
          <w:szCs w:val="21"/>
        </w:rPr>
      </w:pPr>
      <w:r>
        <w:rPr>
          <w:szCs w:val="21"/>
        </w:rPr>
        <w:t>《环境影响评价技术导则  大气环境》（HJ2.2-2018）；</w:t>
      </w:r>
    </w:p>
    <w:p>
      <w:pPr>
        <w:pStyle w:val="48"/>
        <w:numPr>
          <w:ilvl w:val="0"/>
          <w:numId w:val="10"/>
        </w:numPr>
        <w:adjustRightInd w:val="0"/>
        <w:snapToGrid w:val="0"/>
        <w:spacing w:line="360" w:lineRule="auto"/>
        <w:ind w:firstLineChars="0"/>
        <w:rPr>
          <w:szCs w:val="21"/>
        </w:rPr>
      </w:pPr>
      <w:r>
        <w:rPr>
          <w:szCs w:val="21"/>
        </w:rPr>
        <w:t>《环境影响评价技术导则  地表水环境》（HJ2.3-2018）；</w:t>
      </w:r>
    </w:p>
    <w:p>
      <w:pPr>
        <w:pStyle w:val="48"/>
        <w:numPr>
          <w:ilvl w:val="0"/>
          <w:numId w:val="10"/>
        </w:numPr>
        <w:adjustRightInd w:val="0"/>
        <w:snapToGrid w:val="0"/>
        <w:spacing w:line="360" w:lineRule="auto"/>
        <w:ind w:firstLineChars="0"/>
        <w:rPr>
          <w:szCs w:val="21"/>
        </w:rPr>
      </w:pPr>
      <w:r>
        <w:rPr>
          <w:szCs w:val="21"/>
        </w:rPr>
        <w:t>《环境影响评价技术导则  地下水环境》（HJ610-2016）；</w:t>
      </w:r>
    </w:p>
    <w:p>
      <w:pPr>
        <w:pStyle w:val="48"/>
        <w:numPr>
          <w:ilvl w:val="0"/>
          <w:numId w:val="10"/>
        </w:numPr>
        <w:adjustRightInd w:val="0"/>
        <w:snapToGrid w:val="0"/>
        <w:spacing w:line="360" w:lineRule="auto"/>
        <w:ind w:firstLineChars="0"/>
        <w:rPr>
          <w:szCs w:val="21"/>
        </w:rPr>
      </w:pPr>
      <w:r>
        <w:rPr>
          <w:szCs w:val="21"/>
        </w:rPr>
        <w:t>《环境影响评价技术导则  声环境》（HJ2.4-2021）；</w:t>
      </w:r>
    </w:p>
    <w:p>
      <w:pPr>
        <w:pStyle w:val="48"/>
        <w:numPr>
          <w:ilvl w:val="0"/>
          <w:numId w:val="10"/>
        </w:numPr>
        <w:adjustRightInd w:val="0"/>
        <w:snapToGrid w:val="0"/>
        <w:spacing w:line="360" w:lineRule="auto"/>
        <w:ind w:firstLineChars="0"/>
        <w:rPr>
          <w:szCs w:val="21"/>
        </w:rPr>
      </w:pPr>
      <w:r>
        <w:rPr>
          <w:szCs w:val="21"/>
        </w:rPr>
        <w:t>《环境影响评价技术导则  土壤环境（试行）》（HJ964-2018）；</w:t>
      </w:r>
    </w:p>
    <w:p>
      <w:pPr>
        <w:pStyle w:val="48"/>
        <w:numPr>
          <w:ilvl w:val="0"/>
          <w:numId w:val="10"/>
        </w:numPr>
        <w:adjustRightInd w:val="0"/>
        <w:snapToGrid w:val="0"/>
        <w:spacing w:line="360" w:lineRule="auto"/>
        <w:ind w:firstLineChars="0"/>
        <w:rPr>
          <w:szCs w:val="21"/>
        </w:rPr>
      </w:pPr>
      <w:r>
        <w:rPr>
          <w:sz w:val="24"/>
          <w:szCs w:val="24"/>
        </w:rPr>
        <w:t>《</w:t>
      </w:r>
      <w:r>
        <w:rPr>
          <w:rStyle w:val="37"/>
          <w:rFonts w:hint="default" w:ascii="Times New Roman" w:hAnsi="Times New Roman"/>
          <w:sz w:val="24"/>
          <w:szCs w:val="24"/>
        </w:rPr>
        <w:t>环境影响评价技术导则  生态影响</w:t>
      </w:r>
      <w:r>
        <w:rPr>
          <w:sz w:val="24"/>
          <w:szCs w:val="24"/>
        </w:rPr>
        <w:t>》（HJ19-2022）</w:t>
      </w:r>
      <w:r>
        <w:rPr>
          <w:szCs w:val="21"/>
        </w:rPr>
        <w:t>；</w:t>
      </w:r>
    </w:p>
    <w:p>
      <w:pPr>
        <w:pStyle w:val="48"/>
        <w:numPr>
          <w:ilvl w:val="0"/>
          <w:numId w:val="10"/>
        </w:numPr>
        <w:adjustRightInd w:val="0"/>
        <w:snapToGrid w:val="0"/>
        <w:spacing w:line="360" w:lineRule="auto"/>
        <w:ind w:firstLineChars="0"/>
        <w:rPr>
          <w:szCs w:val="21"/>
        </w:rPr>
      </w:pPr>
      <w:r>
        <w:rPr>
          <w:sz w:val="24"/>
          <w:szCs w:val="24"/>
        </w:rPr>
        <w:t>《</w:t>
      </w:r>
      <w:r>
        <w:rPr>
          <w:rStyle w:val="37"/>
          <w:rFonts w:hint="default" w:ascii="Times New Roman" w:hAnsi="Times New Roman"/>
          <w:sz w:val="24"/>
          <w:szCs w:val="24"/>
        </w:rPr>
        <w:t>建设项目环境风险评价技术导则</w:t>
      </w:r>
      <w:r>
        <w:rPr>
          <w:sz w:val="24"/>
          <w:szCs w:val="24"/>
        </w:rPr>
        <w:t>》（HJ169-2018）</w:t>
      </w:r>
      <w:r>
        <w:rPr>
          <w:szCs w:val="21"/>
        </w:rPr>
        <w:t>；</w:t>
      </w:r>
    </w:p>
    <w:p>
      <w:pPr>
        <w:pStyle w:val="48"/>
        <w:numPr>
          <w:ilvl w:val="0"/>
          <w:numId w:val="0"/>
        </w:numPr>
        <w:adjustRightInd w:val="0"/>
        <w:snapToGrid w:val="0"/>
        <w:spacing w:line="360" w:lineRule="auto"/>
        <w:ind w:leftChars="0"/>
        <w:rPr>
          <w:szCs w:val="21"/>
        </w:rPr>
      </w:pPr>
      <w:r>
        <w:rPr>
          <w:rFonts w:hint="eastAsia"/>
          <w:szCs w:val="21"/>
          <w:lang w:eastAsia="zh-CN"/>
        </w:rPr>
        <w:t>（</w:t>
      </w:r>
      <w:r>
        <w:rPr>
          <w:rFonts w:hint="eastAsia"/>
          <w:szCs w:val="21"/>
          <w:lang w:val="en-US" w:eastAsia="zh-CN"/>
        </w:rPr>
        <w:t>9</w:t>
      </w:r>
      <w:r>
        <w:rPr>
          <w:rFonts w:hint="eastAsia"/>
          <w:szCs w:val="21"/>
          <w:lang w:eastAsia="zh-CN"/>
        </w:rPr>
        <w:t>）</w:t>
      </w:r>
      <w:r>
        <w:rPr>
          <w:szCs w:val="21"/>
        </w:rPr>
        <w:t>《固体废物鉴别标准 通则》（GB34330-2017）；</w:t>
      </w:r>
    </w:p>
    <w:p>
      <w:pPr>
        <w:pStyle w:val="48"/>
        <w:numPr>
          <w:ilvl w:val="0"/>
          <w:numId w:val="0"/>
        </w:numPr>
        <w:adjustRightInd w:val="0"/>
        <w:snapToGrid w:val="0"/>
        <w:spacing w:line="360" w:lineRule="auto"/>
        <w:ind w:leftChars="0"/>
      </w:pPr>
      <w:r>
        <w:rPr>
          <w:rFonts w:hint="eastAsia"/>
          <w:szCs w:val="21"/>
          <w:lang w:val="en-US" w:eastAsia="zh-CN"/>
        </w:rPr>
        <w:t>（10）</w:t>
      </w:r>
      <w:r>
        <w:rPr>
          <w:szCs w:val="21"/>
        </w:rPr>
        <w:t>《一般工业固体废物贮存和填埋污染控制标准》（GB18599-2020）</w:t>
      </w:r>
      <w:r>
        <w:rPr>
          <w:rFonts w:hint="eastAsia"/>
          <w:szCs w:val="21"/>
        </w:rPr>
        <w:t>；</w:t>
      </w:r>
    </w:p>
    <w:p>
      <w:pPr>
        <w:pStyle w:val="48"/>
        <w:numPr>
          <w:ilvl w:val="0"/>
          <w:numId w:val="0"/>
        </w:numPr>
        <w:adjustRightInd w:val="0"/>
        <w:snapToGrid w:val="0"/>
        <w:spacing w:line="360" w:lineRule="auto"/>
        <w:ind w:leftChars="0"/>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《危险废物贮存污染控制标准》（GB18597-2023）</w:t>
      </w:r>
      <w:r>
        <w:rPr>
          <w:rStyle w:val="37"/>
          <w:rFonts w:hint="default" w:ascii="Times New Roman" w:hAnsi="Times New Roman"/>
          <w:sz w:val="21"/>
          <w:szCs w:val="21"/>
        </w:rPr>
        <w:t>。</w:t>
      </w:r>
    </w:p>
    <w:p>
      <w:pPr>
        <w:pStyle w:val="46"/>
        <w:tabs>
          <w:tab w:val="left" w:pos="6638"/>
        </w:tabs>
        <w:ind w:firstLine="0" w:firstLineChars="0"/>
        <w:rPr>
          <w:rStyle w:val="47"/>
          <w:b/>
          <w:sz w:val="21"/>
          <w:szCs w:val="21"/>
        </w:rPr>
      </w:pPr>
      <w:r>
        <w:rPr>
          <w:rStyle w:val="47"/>
          <w:b/>
          <w:sz w:val="21"/>
          <w:szCs w:val="21"/>
        </w:rPr>
        <w:t>1.</w:t>
      </w:r>
      <w:r>
        <w:rPr>
          <w:rStyle w:val="47"/>
          <w:rFonts w:hint="eastAsia"/>
          <w:b/>
          <w:sz w:val="21"/>
          <w:szCs w:val="21"/>
        </w:rPr>
        <w:t xml:space="preserve">2 </w:t>
      </w:r>
      <w:r>
        <w:rPr>
          <w:rStyle w:val="47"/>
          <w:b/>
          <w:sz w:val="21"/>
          <w:szCs w:val="21"/>
        </w:rPr>
        <w:t>评价</w:t>
      </w:r>
      <w:r>
        <w:rPr>
          <w:rStyle w:val="47"/>
          <w:rFonts w:hint="eastAsia"/>
          <w:b/>
          <w:sz w:val="21"/>
          <w:szCs w:val="21"/>
        </w:rPr>
        <w:t>目的</w:t>
      </w:r>
    </w:p>
    <w:p>
      <w:pPr>
        <w:pStyle w:val="6"/>
        <w:spacing w:line="360" w:lineRule="auto"/>
        <w:ind w:firstLineChars="200"/>
        <w:rPr>
          <w:snapToGrid w:val="0"/>
          <w:kern w:val="0"/>
          <w:szCs w:val="21"/>
        </w:rPr>
      </w:pPr>
      <w:r>
        <w:rPr>
          <w:rFonts w:hint="eastAsia"/>
          <w:snapToGrid w:val="0"/>
          <w:kern w:val="0"/>
          <w:szCs w:val="21"/>
        </w:rPr>
        <w:t>环境风险评价是评判环境风险的概率及其后果可接受性的过程，环境风险评价的最终目的是取得什么样的风险是社会和环境可以接受的。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pStyle w:val="46"/>
        <w:tabs>
          <w:tab w:val="left" w:pos="6638"/>
        </w:tabs>
        <w:ind w:firstLine="0" w:firstLineChars="0"/>
        <w:rPr>
          <w:rStyle w:val="47"/>
          <w:b/>
          <w:sz w:val="21"/>
          <w:szCs w:val="21"/>
        </w:rPr>
      </w:pPr>
      <w:r>
        <w:rPr>
          <w:rStyle w:val="47"/>
          <w:rFonts w:hint="eastAsia"/>
          <w:b/>
          <w:sz w:val="21"/>
          <w:szCs w:val="21"/>
        </w:rPr>
        <w:t>2 风险调查</w:t>
      </w:r>
    </w:p>
    <w:p>
      <w:pPr>
        <w:pStyle w:val="6"/>
        <w:spacing w:line="360" w:lineRule="auto"/>
        <w:rPr>
          <w:snapToGrid w:val="0"/>
          <w:kern w:val="0"/>
          <w:szCs w:val="21"/>
        </w:rPr>
      </w:pPr>
      <w:r>
        <w:rPr>
          <w:rFonts w:hint="eastAsia"/>
          <w:snapToGrid w:val="0"/>
          <w:kern w:val="0"/>
          <w:szCs w:val="21"/>
        </w:rPr>
        <w:t>风险防范是企业安全生产的前提和保障，本评价将对项目危险化学品使用及储运等过程中可能发生的潜在危险进行分析，以找出主要危险环节，识别危险程度，进而针对性地采取预防和应急措施，尽可能将风险可能性和危险性降到最低程度。按照《建设项目环境风险评价技术导则》（HJ 169-2018）规定，在进行风险评价时，首先要调查建设项目危险物质数量和分布情况、生产工艺特点，确定项目中哪些物质应该进行危险性评价</w:t>
      </w:r>
      <w:r>
        <w:rPr>
          <w:snapToGrid w:val="0"/>
          <w:kern w:val="0"/>
          <w:szCs w:val="21"/>
        </w:rPr>
        <w:t>。</w:t>
      </w:r>
    </w:p>
    <w:p>
      <w:pPr>
        <w:pStyle w:val="6"/>
        <w:spacing w:line="360" w:lineRule="auto"/>
        <w:ind w:left="0" w:leftChars="0" w:firstLine="0" w:firstLineChars="0"/>
        <w:rPr>
          <w:rFonts w:hint="eastAsia" w:eastAsia="宋体"/>
          <w:b/>
          <w:bCs/>
          <w:snapToGrid w:val="0"/>
          <w:kern w:val="0"/>
          <w:szCs w:val="21"/>
          <w:lang w:val="en-US" w:eastAsia="zh-CN"/>
        </w:rPr>
      </w:pPr>
      <w:r>
        <w:rPr>
          <w:rFonts w:hint="eastAsia"/>
          <w:b/>
          <w:bCs/>
          <w:snapToGrid w:val="0"/>
          <w:kern w:val="0"/>
          <w:szCs w:val="21"/>
          <w:lang w:val="en-US" w:eastAsia="zh-CN"/>
        </w:rPr>
        <w:t>2.1风险源调查</w:t>
      </w:r>
    </w:p>
    <w:p>
      <w:pPr>
        <w:pStyle w:val="6"/>
        <w:spacing w:line="360" w:lineRule="auto"/>
        <w:rPr>
          <w:snapToGrid w:val="0"/>
          <w:kern w:val="0"/>
          <w:szCs w:val="21"/>
          <w:u w:val="single"/>
        </w:rPr>
      </w:pPr>
      <w:r>
        <w:rPr>
          <w:rFonts w:hint="eastAsia"/>
          <w:snapToGrid w:val="0"/>
          <w:kern w:val="0"/>
          <w:szCs w:val="21"/>
          <w:u w:val="single"/>
        </w:rPr>
        <w:t>本项目仓库为具有独立厂房的风险单元，与企业其他的储罐区、仓库区具有明显的物理隔离，所以本次评价只对丙类仓库区的风险进行评价。根据《建设项目环境风险评价技术导则》（HJ169-2018）附录B对项目所涉及的危险物质进行调查和识别，筛选出本项目危险物质数量和分布情况</w:t>
      </w:r>
      <w:r>
        <w:rPr>
          <w:snapToGrid w:val="0"/>
          <w:kern w:val="0"/>
          <w:szCs w:val="21"/>
          <w:u w:val="single"/>
        </w:rPr>
        <w:t>见下表</w:t>
      </w:r>
      <w:r>
        <w:rPr>
          <w:rFonts w:hint="eastAsia"/>
          <w:snapToGrid w:val="0"/>
          <w:kern w:val="0"/>
          <w:szCs w:val="21"/>
          <w:u w:val="single"/>
        </w:rPr>
        <w:t>1</w:t>
      </w:r>
      <w:r>
        <w:rPr>
          <w:snapToGrid w:val="0"/>
          <w:kern w:val="0"/>
          <w:szCs w:val="21"/>
          <w:u w:val="single"/>
        </w:rPr>
        <w:t>。</w:t>
      </w:r>
    </w:p>
    <w:p>
      <w:pPr>
        <w:pStyle w:val="6"/>
        <w:spacing w:line="360" w:lineRule="auto"/>
        <w:ind w:firstLine="1054" w:firstLineChars="500"/>
        <w:jc w:val="center"/>
        <w:rPr>
          <w:snapToGrid w:val="0"/>
          <w:kern w:val="0"/>
          <w:sz w:val="21"/>
          <w:szCs w:val="21"/>
          <w:u w:val="single"/>
        </w:rPr>
      </w:pPr>
      <w:r>
        <w:rPr>
          <w:b/>
          <w:bCs/>
          <w:kern w:val="0"/>
          <w:sz w:val="21"/>
          <w:szCs w:val="21"/>
          <w:u w:val="single"/>
        </w:rPr>
        <w:t xml:space="preserve">表1  </w:t>
      </w:r>
      <w:r>
        <w:rPr>
          <w:rFonts w:hint="eastAsia"/>
          <w:b/>
          <w:bCs/>
          <w:kern w:val="0"/>
          <w:sz w:val="21"/>
          <w:szCs w:val="21"/>
          <w:u w:val="single"/>
        </w:rPr>
        <w:t>本项目</w:t>
      </w:r>
      <w:r>
        <w:rPr>
          <w:rFonts w:hint="eastAsia"/>
          <w:b/>
          <w:bCs/>
          <w:kern w:val="0"/>
          <w:sz w:val="21"/>
          <w:szCs w:val="21"/>
          <w:u w:val="single"/>
          <w:lang w:eastAsia="zh-CN"/>
        </w:rPr>
        <w:t>丙类仓库风</w:t>
      </w:r>
      <w:r>
        <w:rPr>
          <w:rFonts w:hint="eastAsia"/>
          <w:b/>
          <w:bCs/>
          <w:kern w:val="0"/>
          <w:sz w:val="21"/>
          <w:szCs w:val="21"/>
          <w:u w:val="single"/>
        </w:rPr>
        <w:t>险物质数量和分布情况</w:t>
      </w:r>
      <w:r>
        <w:rPr>
          <w:b/>
          <w:bCs/>
          <w:kern w:val="0"/>
          <w:sz w:val="21"/>
          <w:szCs w:val="21"/>
          <w:u w:val="single"/>
        </w:rPr>
        <w:t>一览表</w:t>
      </w:r>
    </w:p>
    <w:tbl>
      <w:tblPr>
        <w:tblStyle w:val="16"/>
        <w:tblW w:w="4961" w:type="pct"/>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830"/>
        <w:gridCol w:w="930"/>
        <w:gridCol w:w="2017"/>
        <w:gridCol w:w="1229"/>
        <w:gridCol w:w="1992"/>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PrEx>
        <w:trPr>
          <w:trHeight w:val="285" w:hRule="atLeast"/>
        </w:trPr>
        <w:tc>
          <w:tcPr>
            <w:tcW w:w="461"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防火分区</w:t>
            </w:r>
          </w:p>
        </w:tc>
        <w:tc>
          <w:tcPr>
            <w:tcW w:w="517"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序号</w:t>
            </w:r>
          </w:p>
        </w:tc>
        <w:tc>
          <w:tcPr>
            <w:tcW w:w="1121"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物料名称</w:t>
            </w:r>
          </w:p>
        </w:tc>
        <w:tc>
          <w:tcPr>
            <w:tcW w:w="683"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rPr>
            </w:pPr>
            <w:r>
              <w:rPr>
                <w:rFonts w:hint="eastAsia" w:cs="Times New Roman"/>
                <w:color w:val="auto"/>
                <w:sz w:val="21"/>
                <w:szCs w:val="21"/>
                <w:u w:val="single"/>
                <w:lang w:eastAsia="zh-CN"/>
              </w:rPr>
              <w:t>设计</w:t>
            </w:r>
            <w:r>
              <w:rPr>
                <w:rFonts w:hint="default" w:ascii="Times New Roman" w:hAnsi="Times New Roman" w:eastAsia="宋体" w:cs="Times New Roman"/>
                <w:color w:val="auto"/>
                <w:sz w:val="21"/>
                <w:szCs w:val="21"/>
                <w:u w:val="single"/>
              </w:rPr>
              <w:t>储存量（t）</w:t>
            </w:r>
          </w:p>
        </w:tc>
        <w:tc>
          <w:tcPr>
            <w:tcW w:w="1107"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类别</w:t>
            </w:r>
          </w:p>
        </w:tc>
        <w:tc>
          <w:tcPr>
            <w:tcW w:w="1107" w:type="pct"/>
            <w:shd w:val="clear" w:color="auto" w:fill="FFFFFF" w:themeFill="background1"/>
            <w:vAlign w:val="center"/>
          </w:tcPr>
          <w:p>
            <w:pPr>
              <w:spacing w:line="240" w:lineRule="auto"/>
              <w:ind w:firstLine="0" w:firstLineChars="0"/>
              <w:jc w:val="center"/>
              <w:rPr>
                <w:rFonts w:hint="eastAsia" w:cs="Times New Roman"/>
                <w:color w:val="auto"/>
                <w:sz w:val="21"/>
                <w:szCs w:val="21"/>
                <w:u w:val="single"/>
                <w:lang w:val="en-US" w:eastAsia="zh-CN"/>
              </w:rPr>
            </w:pPr>
            <w:r>
              <w:rPr>
                <w:rFonts w:ascii="Times New Roman" w:hAnsi="Times New Roman" w:eastAsia="宋体" w:cs="Times New Roman"/>
                <w:color w:val="auto"/>
                <w:sz w:val="22"/>
                <w:szCs w:val="24"/>
                <w:highlight w:val="none"/>
                <w:u w:val="single"/>
                <w:lang w:val="zh-CN"/>
              </w:rPr>
              <w:t>临界量（吨）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61" w:type="pct"/>
            <w:vMerge w:val="restar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防火分区一</w:t>
            </w:r>
          </w:p>
        </w:tc>
        <w:tc>
          <w:tcPr>
            <w:tcW w:w="517"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1</w:t>
            </w:r>
          </w:p>
        </w:tc>
        <w:tc>
          <w:tcPr>
            <w:tcW w:w="1121"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冷冻机油</w:t>
            </w:r>
          </w:p>
        </w:tc>
        <w:tc>
          <w:tcPr>
            <w:tcW w:w="683"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10</w:t>
            </w:r>
          </w:p>
        </w:tc>
        <w:tc>
          <w:tcPr>
            <w:tcW w:w="1107"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油类物质</w:t>
            </w:r>
          </w:p>
        </w:tc>
        <w:tc>
          <w:tcPr>
            <w:tcW w:w="1107"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61"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p>
        </w:tc>
        <w:tc>
          <w:tcPr>
            <w:tcW w:w="517"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w:t>
            </w:r>
          </w:p>
        </w:tc>
        <w:tc>
          <w:tcPr>
            <w:tcW w:w="1121"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苯甲醇</w:t>
            </w:r>
          </w:p>
        </w:tc>
        <w:tc>
          <w:tcPr>
            <w:tcW w:w="683"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4</w:t>
            </w:r>
          </w:p>
        </w:tc>
        <w:tc>
          <w:tcPr>
            <w:tcW w:w="1107" w:type="pct"/>
            <w:vMerge w:val="restar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ascii="Times New Roman" w:hAnsi="Times New Roman" w:eastAsia="宋体" w:cs="Times New Roman"/>
                <w:color w:val="auto"/>
                <w:sz w:val="22"/>
                <w:szCs w:val="24"/>
                <w:highlight w:val="none"/>
                <w:u w:val="single"/>
                <w:lang w:val="zh-CN"/>
              </w:rPr>
              <w:t>健康危险急性毒性物质（类别2，类别3）</w:t>
            </w:r>
          </w:p>
        </w:tc>
        <w:tc>
          <w:tcPr>
            <w:tcW w:w="1107" w:type="pct"/>
            <w:vMerge w:val="restar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461"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p>
        </w:tc>
        <w:tc>
          <w:tcPr>
            <w:tcW w:w="517"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3</w:t>
            </w:r>
          </w:p>
        </w:tc>
        <w:tc>
          <w:tcPr>
            <w:tcW w:w="1121"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乙二醇</w:t>
            </w:r>
          </w:p>
        </w:tc>
        <w:tc>
          <w:tcPr>
            <w:tcW w:w="683"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w:t>
            </w:r>
          </w:p>
        </w:tc>
        <w:tc>
          <w:tcPr>
            <w:tcW w:w="1107" w:type="pct"/>
            <w:vMerge w:val="continue"/>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p>
        </w:tc>
        <w:tc>
          <w:tcPr>
            <w:tcW w:w="1107" w:type="pct"/>
            <w:vMerge w:val="continue"/>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461"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p>
        </w:tc>
        <w:tc>
          <w:tcPr>
            <w:tcW w:w="517"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4</w:t>
            </w:r>
          </w:p>
        </w:tc>
        <w:tc>
          <w:tcPr>
            <w:tcW w:w="1121"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丁硫克百威</w:t>
            </w:r>
          </w:p>
        </w:tc>
        <w:tc>
          <w:tcPr>
            <w:tcW w:w="683"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200</w:t>
            </w:r>
          </w:p>
        </w:tc>
        <w:tc>
          <w:tcPr>
            <w:tcW w:w="1107" w:type="pct"/>
            <w:vMerge w:val="continue"/>
            <w:shd w:val="clear" w:color="auto" w:fill="FFFFFF" w:themeFill="background1"/>
            <w:noWrap/>
            <w:vAlign w:val="center"/>
          </w:tcPr>
          <w:p>
            <w:pPr>
              <w:spacing w:line="240" w:lineRule="auto"/>
              <w:ind w:firstLine="0" w:firstLineChars="0"/>
              <w:jc w:val="center"/>
              <w:rPr>
                <w:rFonts w:hint="default" w:cs="Times New Roman"/>
                <w:color w:val="auto"/>
                <w:sz w:val="21"/>
                <w:szCs w:val="21"/>
                <w:u w:val="single"/>
                <w:lang w:val="en-US" w:eastAsia="zh-CN"/>
              </w:rPr>
            </w:pPr>
          </w:p>
        </w:tc>
        <w:tc>
          <w:tcPr>
            <w:tcW w:w="1107" w:type="pct"/>
            <w:vMerge w:val="continue"/>
            <w:shd w:val="clear" w:color="auto" w:fill="FFFFFF" w:themeFill="background1"/>
            <w:noWrap/>
            <w:vAlign w:val="center"/>
          </w:tcPr>
          <w:p>
            <w:pPr>
              <w:spacing w:line="240" w:lineRule="auto"/>
              <w:ind w:firstLine="0" w:firstLineChars="0"/>
              <w:jc w:val="center"/>
              <w:rPr>
                <w:rFonts w:hint="eastAsia" w:cs="Times New Roman"/>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461"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p>
        </w:tc>
        <w:tc>
          <w:tcPr>
            <w:tcW w:w="517"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w:t>
            </w:r>
          </w:p>
        </w:tc>
        <w:tc>
          <w:tcPr>
            <w:tcW w:w="1121"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丙硫克百威</w:t>
            </w:r>
          </w:p>
        </w:tc>
        <w:tc>
          <w:tcPr>
            <w:tcW w:w="683"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200</w:t>
            </w:r>
          </w:p>
        </w:tc>
        <w:tc>
          <w:tcPr>
            <w:tcW w:w="1107" w:type="pct"/>
            <w:vMerge w:val="continue"/>
            <w:shd w:val="clear" w:color="auto" w:fill="FFFFFF" w:themeFill="background1"/>
            <w:noWrap/>
            <w:vAlign w:val="center"/>
          </w:tcPr>
          <w:p>
            <w:pPr>
              <w:spacing w:line="240" w:lineRule="auto"/>
              <w:ind w:firstLine="0" w:firstLineChars="0"/>
              <w:jc w:val="center"/>
              <w:rPr>
                <w:rFonts w:hint="default" w:cs="Times New Roman"/>
                <w:color w:val="auto"/>
                <w:sz w:val="21"/>
                <w:szCs w:val="21"/>
                <w:u w:val="single"/>
                <w:lang w:val="en-US" w:eastAsia="zh-CN"/>
              </w:rPr>
            </w:pPr>
          </w:p>
        </w:tc>
        <w:tc>
          <w:tcPr>
            <w:tcW w:w="1107" w:type="pct"/>
            <w:vMerge w:val="continue"/>
            <w:shd w:val="clear" w:color="auto" w:fill="FFFFFF" w:themeFill="background1"/>
            <w:noWrap/>
            <w:vAlign w:val="center"/>
          </w:tcPr>
          <w:p>
            <w:pPr>
              <w:spacing w:line="240" w:lineRule="auto"/>
              <w:ind w:firstLine="0" w:firstLineChars="0"/>
              <w:jc w:val="center"/>
              <w:rPr>
                <w:rFonts w:hint="eastAsia" w:cs="Times New Roman"/>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461" w:type="pct"/>
            <w:vMerge w:val="restar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防火分区二</w:t>
            </w:r>
          </w:p>
        </w:tc>
        <w:tc>
          <w:tcPr>
            <w:tcW w:w="517"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6</w:t>
            </w:r>
          </w:p>
        </w:tc>
        <w:tc>
          <w:tcPr>
            <w:tcW w:w="1121"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甲嘧原油</w:t>
            </w:r>
            <w:r>
              <w:rPr>
                <w:rFonts w:hint="eastAsia" w:cs="Times New Roman"/>
                <w:color w:val="auto"/>
                <w:sz w:val="21"/>
                <w:szCs w:val="21"/>
                <w:u w:val="single"/>
                <w:lang w:val="en-US" w:eastAsia="zh-CN"/>
              </w:rPr>
              <w:t>（</w:t>
            </w:r>
            <w:r>
              <w:rPr>
                <w:rFonts w:ascii="Times New Roman" w:hAnsi="Times New Roman" w:eastAsia="宋体" w:cs="Times New Roman"/>
                <w:color w:val="auto"/>
                <w:sz w:val="22"/>
                <w:szCs w:val="24"/>
                <w:highlight w:val="none"/>
                <w:u w:val="single"/>
                <w:lang w:val="zh-CN"/>
              </w:rPr>
              <w:t>甲基嘧啶磷</w:t>
            </w:r>
            <w:r>
              <w:rPr>
                <w:rFonts w:hint="eastAsia" w:cs="Times New Roman"/>
                <w:color w:val="auto"/>
                <w:sz w:val="21"/>
                <w:szCs w:val="21"/>
                <w:u w:val="single"/>
                <w:lang w:val="en-US" w:eastAsia="zh-CN"/>
              </w:rPr>
              <w:t>）</w:t>
            </w:r>
          </w:p>
        </w:tc>
        <w:tc>
          <w:tcPr>
            <w:tcW w:w="683"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200</w:t>
            </w:r>
          </w:p>
        </w:tc>
        <w:tc>
          <w:tcPr>
            <w:tcW w:w="1107" w:type="pct"/>
            <w:vMerge w:val="continue"/>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p>
        </w:tc>
        <w:tc>
          <w:tcPr>
            <w:tcW w:w="1107" w:type="pct"/>
            <w:vMerge w:val="continue"/>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2" w:hRule="atLeast"/>
        </w:trPr>
        <w:tc>
          <w:tcPr>
            <w:tcW w:w="461" w:type="pct"/>
            <w:vMerge w:val="continue"/>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p>
        </w:tc>
        <w:tc>
          <w:tcPr>
            <w:tcW w:w="517"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7</w:t>
            </w:r>
          </w:p>
        </w:tc>
        <w:tc>
          <w:tcPr>
            <w:tcW w:w="1121" w:type="pct"/>
            <w:shd w:val="clear" w:color="auto" w:fill="FFFFFF" w:themeFill="background1"/>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仲丁威</w:t>
            </w:r>
          </w:p>
        </w:tc>
        <w:tc>
          <w:tcPr>
            <w:tcW w:w="683" w:type="pct"/>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200</w:t>
            </w:r>
          </w:p>
        </w:tc>
        <w:tc>
          <w:tcPr>
            <w:tcW w:w="1107" w:type="pct"/>
            <w:vMerge w:val="continue"/>
            <w:shd w:val="clear" w:color="auto" w:fill="FFFFFF" w:themeFill="background1"/>
            <w:noWrap/>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p>
        </w:tc>
        <w:tc>
          <w:tcPr>
            <w:tcW w:w="1107" w:type="pct"/>
            <w:vMerge w:val="continue"/>
            <w:shd w:val="clear" w:color="auto" w:fill="FFFFFF" w:themeFill="background1"/>
            <w:noWrap/>
            <w:vAlign w:val="center"/>
          </w:tcPr>
          <w:p>
            <w:pPr>
              <w:spacing w:line="240" w:lineRule="auto"/>
              <w:ind w:firstLine="0" w:firstLineChars="0"/>
              <w:jc w:val="center"/>
              <w:rPr>
                <w:rFonts w:hint="eastAsia" w:cs="Times New Roman"/>
                <w:color w:val="auto"/>
                <w:sz w:val="21"/>
                <w:szCs w:val="21"/>
                <w:u w:val="single"/>
                <w:lang w:val="en-US" w:eastAsia="zh-CN"/>
              </w:rPr>
            </w:pPr>
          </w:p>
        </w:tc>
      </w:tr>
    </w:tbl>
    <w:p>
      <w:pPr>
        <w:pStyle w:val="46"/>
        <w:tabs>
          <w:tab w:val="left" w:pos="6638"/>
        </w:tabs>
        <w:ind w:firstLine="0" w:firstLineChars="0"/>
        <w:rPr>
          <w:rStyle w:val="47"/>
          <w:b/>
          <w:sz w:val="21"/>
          <w:szCs w:val="21"/>
        </w:rPr>
      </w:pPr>
      <w:r>
        <w:rPr>
          <w:rStyle w:val="47"/>
          <w:rFonts w:hint="eastAsia"/>
          <w:b/>
          <w:sz w:val="21"/>
          <w:szCs w:val="21"/>
        </w:rPr>
        <w:t>2.2 环境敏感目标调查</w:t>
      </w:r>
    </w:p>
    <w:p>
      <w:pPr>
        <w:pStyle w:val="6"/>
        <w:spacing w:line="360" w:lineRule="auto"/>
        <w:rPr>
          <w:rFonts w:hint="eastAsia" w:eastAsia="宋体"/>
          <w:snapToGrid w:val="0"/>
          <w:kern w:val="0"/>
          <w:szCs w:val="21"/>
          <w:lang w:eastAsia="zh-CN"/>
        </w:rPr>
      </w:pPr>
      <w:r>
        <w:rPr>
          <w:rFonts w:hint="eastAsia"/>
          <w:snapToGrid w:val="0"/>
          <w:kern w:val="0"/>
          <w:szCs w:val="21"/>
        </w:rPr>
        <w:t>本项目位于湖南海利常德农药化工有限公司</w:t>
      </w:r>
      <w:r>
        <w:rPr>
          <w:rFonts w:hint="eastAsia"/>
          <w:snapToGrid w:val="0"/>
          <w:kern w:val="0"/>
          <w:szCs w:val="21"/>
          <w:lang w:eastAsia="zh-CN"/>
        </w:rPr>
        <w:t>现有厂区内。</w:t>
      </w:r>
      <w:r>
        <w:rPr>
          <w:rFonts w:hint="eastAsia"/>
          <w:snapToGrid w:val="0"/>
          <w:kern w:val="0"/>
          <w:szCs w:val="21"/>
        </w:rPr>
        <w:t>湖南海利常德农药化工有限公司</w:t>
      </w:r>
      <w:r>
        <w:rPr>
          <w:rFonts w:hint="eastAsia"/>
          <w:snapToGrid w:val="0"/>
          <w:kern w:val="0"/>
          <w:szCs w:val="21"/>
          <w:lang w:eastAsia="zh-CN"/>
        </w:rPr>
        <w:t>废水经厂区内自建污水处理设施处理后排入德山污水处理厂深度处理，德山污水处理厂排口</w:t>
      </w:r>
      <w:r>
        <w:rPr>
          <w:rFonts w:hint="eastAsia"/>
          <w:snapToGrid w:val="0"/>
          <w:kern w:val="0"/>
          <w:szCs w:val="21"/>
          <w:lang w:val="en-US" w:eastAsia="zh-CN"/>
        </w:rPr>
        <w:t>下东风河入沅江口</w:t>
      </w:r>
      <w:r>
        <w:rPr>
          <w:rFonts w:hint="eastAsia"/>
          <w:snapToGrid w:val="0"/>
          <w:kern w:val="0"/>
          <w:szCs w:val="21"/>
          <w:lang w:eastAsia="zh-CN"/>
        </w:rPr>
        <w:t>位于沅水武陵段青虾中华鳖国家级水产种质资源保护区实验区内。沅水武陵段青虾中华鳖国家级水产种质资源保护区为地表水环境敏感保护目标。厂界外500米范围内无地下水集中式饮用水水源和热水、矿泉水、温泉等特殊地下水资源；距离厂界50m范围内无声环境保护目标，因此本项目无地下水环境和声环境的保护目标。企业周边半径5km范围内有居住区、文化教育等环境空气保护目标。</w:t>
      </w:r>
    </w:p>
    <w:p>
      <w:pPr>
        <w:spacing w:line="276" w:lineRule="auto"/>
        <w:ind w:firstLine="0" w:firstLineChars="0"/>
        <w:jc w:val="center"/>
        <w:rPr>
          <w:b/>
          <w:bCs/>
          <w:sz w:val="21"/>
          <w:szCs w:val="21"/>
        </w:rPr>
      </w:pPr>
      <w:r>
        <w:rPr>
          <w:b/>
          <w:bCs/>
          <w:sz w:val="21"/>
          <w:szCs w:val="21"/>
        </w:rPr>
        <w:t>表</w:t>
      </w:r>
      <w:r>
        <w:rPr>
          <w:rFonts w:hint="eastAsia"/>
          <w:b/>
          <w:bCs/>
          <w:sz w:val="21"/>
          <w:szCs w:val="21"/>
          <w:lang w:val="en-US" w:eastAsia="zh-CN"/>
        </w:rPr>
        <w:t xml:space="preserve">2 </w:t>
      </w:r>
      <w:r>
        <w:rPr>
          <w:b/>
          <w:bCs/>
          <w:sz w:val="21"/>
          <w:szCs w:val="21"/>
        </w:rPr>
        <w:t xml:space="preserve"> 环境空气保护目标</w:t>
      </w:r>
    </w:p>
    <w:tbl>
      <w:tblPr>
        <w:tblStyle w:val="17"/>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945"/>
        <w:gridCol w:w="1102"/>
        <w:gridCol w:w="1369"/>
        <w:gridCol w:w="961"/>
        <w:gridCol w:w="1119"/>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2" w:type="pct"/>
            <w:vAlign w:val="center"/>
          </w:tcPr>
          <w:p>
            <w:pPr>
              <w:spacing w:line="240" w:lineRule="auto"/>
              <w:ind w:firstLine="0" w:firstLineChars="0"/>
              <w:jc w:val="center"/>
              <w:rPr>
                <w:sz w:val="21"/>
                <w:szCs w:val="21"/>
              </w:rPr>
            </w:pPr>
            <w:r>
              <w:rPr>
                <w:sz w:val="21"/>
                <w:szCs w:val="21"/>
              </w:rPr>
              <w:t>名称</w:t>
            </w:r>
          </w:p>
        </w:tc>
        <w:tc>
          <w:tcPr>
            <w:tcW w:w="1087" w:type="pct"/>
            <w:vAlign w:val="center"/>
          </w:tcPr>
          <w:p>
            <w:pPr>
              <w:spacing w:line="240" w:lineRule="auto"/>
              <w:ind w:firstLine="0" w:firstLineChars="0"/>
              <w:jc w:val="center"/>
              <w:rPr>
                <w:sz w:val="21"/>
                <w:szCs w:val="21"/>
              </w:rPr>
            </w:pPr>
            <w:r>
              <w:rPr>
                <w:sz w:val="21"/>
                <w:szCs w:val="21"/>
              </w:rPr>
              <w:t>坐标</w:t>
            </w:r>
          </w:p>
        </w:tc>
        <w:tc>
          <w:tcPr>
            <w:tcW w:w="616" w:type="pct"/>
            <w:vAlign w:val="center"/>
          </w:tcPr>
          <w:p>
            <w:pPr>
              <w:spacing w:line="240" w:lineRule="auto"/>
              <w:ind w:firstLine="0" w:firstLineChars="0"/>
              <w:jc w:val="center"/>
              <w:rPr>
                <w:sz w:val="21"/>
                <w:szCs w:val="21"/>
              </w:rPr>
            </w:pPr>
            <w:r>
              <w:rPr>
                <w:sz w:val="21"/>
                <w:szCs w:val="21"/>
              </w:rPr>
              <w:t>保护对象</w:t>
            </w:r>
          </w:p>
        </w:tc>
        <w:tc>
          <w:tcPr>
            <w:tcW w:w="765" w:type="pct"/>
            <w:vAlign w:val="center"/>
          </w:tcPr>
          <w:p>
            <w:pPr>
              <w:spacing w:line="240" w:lineRule="auto"/>
              <w:ind w:firstLine="0" w:firstLineChars="0"/>
              <w:jc w:val="center"/>
              <w:rPr>
                <w:sz w:val="21"/>
                <w:szCs w:val="21"/>
              </w:rPr>
            </w:pPr>
            <w:r>
              <w:rPr>
                <w:sz w:val="21"/>
                <w:szCs w:val="21"/>
              </w:rPr>
              <w:t>保护内容</w:t>
            </w:r>
          </w:p>
        </w:tc>
        <w:tc>
          <w:tcPr>
            <w:tcW w:w="537" w:type="pct"/>
            <w:vAlign w:val="center"/>
          </w:tcPr>
          <w:p>
            <w:pPr>
              <w:spacing w:line="240" w:lineRule="auto"/>
              <w:ind w:firstLine="0" w:firstLineChars="0"/>
              <w:jc w:val="center"/>
              <w:rPr>
                <w:sz w:val="21"/>
                <w:szCs w:val="21"/>
              </w:rPr>
            </w:pPr>
            <w:r>
              <w:rPr>
                <w:sz w:val="21"/>
                <w:szCs w:val="21"/>
              </w:rPr>
              <w:t>保护功能区</w:t>
            </w:r>
          </w:p>
        </w:tc>
        <w:tc>
          <w:tcPr>
            <w:tcW w:w="625" w:type="pct"/>
            <w:vAlign w:val="center"/>
          </w:tcPr>
          <w:p>
            <w:pPr>
              <w:spacing w:line="240" w:lineRule="auto"/>
              <w:ind w:firstLine="0" w:firstLineChars="0"/>
              <w:jc w:val="center"/>
              <w:rPr>
                <w:sz w:val="21"/>
                <w:szCs w:val="21"/>
              </w:rPr>
            </w:pPr>
            <w:r>
              <w:rPr>
                <w:sz w:val="21"/>
                <w:szCs w:val="21"/>
              </w:rPr>
              <w:t>相对厂址方位</w:t>
            </w:r>
          </w:p>
        </w:tc>
        <w:tc>
          <w:tcPr>
            <w:tcW w:w="675" w:type="pct"/>
            <w:vAlign w:val="center"/>
          </w:tcPr>
          <w:p>
            <w:pPr>
              <w:spacing w:line="240" w:lineRule="auto"/>
              <w:ind w:firstLine="0" w:firstLineChars="0"/>
              <w:jc w:val="center"/>
              <w:rPr>
                <w:sz w:val="21"/>
                <w:szCs w:val="21"/>
              </w:rPr>
            </w:pPr>
            <w:r>
              <w:rPr>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苏家渡社区居民</w:t>
            </w:r>
          </w:p>
        </w:tc>
        <w:tc>
          <w:tcPr>
            <w:tcW w:w="1087"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E：</w:t>
            </w:r>
            <w:r>
              <w:rPr>
                <w:rFonts w:hint="eastAsia"/>
                <w:sz w:val="21"/>
                <w:szCs w:val="21"/>
              </w:rPr>
              <w:t>111.</w:t>
            </w:r>
            <w:r>
              <w:rPr>
                <w:rFonts w:hint="eastAsia"/>
                <w:sz w:val="21"/>
                <w:szCs w:val="21"/>
                <w:lang w:val="en-US" w:eastAsia="zh-CN"/>
              </w:rPr>
              <w:t>736826</w:t>
            </w:r>
          </w:p>
          <w:p>
            <w:pPr>
              <w:spacing w:line="240" w:lineRule="auto"/>
              <w:ind w:firstLine="0" w:firstLineChars="0"/>
              <w:jc w:val="center"/>
              <w:rPr>
                <w:sz w:val="21"/>
                <w:szCs w:val="21"/>
              </w:rPr>
            </w:pPr>
            <w:r>
              <w:rPr>
                <w:rFonts w:hint="eastAsia"/>
                <w:sz w:val="21"/>
                <w:szCs w:val="21"/>
                <w:lang w:val="en-US" w:eastAsia="zh-CN"/>
              </w:rPr>
              <w:t>N：</w:t>
            </w:r>
            <w:r>
              <w:rPr>
                <w:rFonts w:hint="eastAsia"/>
                <w:sz w:val="21"/>
                <w:szCs w:val="21"/>
              </w:rPr>
              <w:t>28.9</w:t>
            </w:r>
            <w:r>
              <w:rPr>
                <w:rFonts w:hint="eastAsia"/>
                <w:sz w:val="21"/>
                <w:szCs w:val="21"/>
                <w:lang w:val="en-US" w:eastAsia="zh-CN"/>
              </w:rPr>
              <w:t>59626</w:t>
            </w:r>
            <w:r>
              <w:rPr>
                <w:rFonts w:hint="eastAsia"/>
                <w:sz w:val="21"/>
                <w:szCs w:val="21"/>
              </w:rPr>
              <w:t>0</w:t>
            </w:r>
          </w:p>
        </w:tc>
        <w:tc>
          <w:tcPr>
            <w:tcW w:w="616" w:type="pct"/>
            <w:vAlign w:val="center"/>
          </w:tcPr>
          <w:p>
            <w:pPr>
              <w:spacing w:line="240" w:lineRule="auto"/>
              <w:ind w:firstLine="0" w:firstLineChars="0"/>
              <w:jc w:val="center"/>
              <w:rPr>
                <w:sz w:val="21"/>
                <w:szCs w:val="21"/>
              </w:rPr>
            </w:pPr>
            <w:r>
              <w:rPr>
                <w:rFonts w:hint="eastAsia"/>
                <w:sz w:val="21"/>
                <w:szCs w:val="21"/>
              </w:rPr>
              <w:t>居民</w:t>
            </w:r>
            <w:r>
              <w:rPr>
                <w:rFonts w:hint="eastAsia"/>
                <w:sz w:val="21"/>
                <w:szCs w:val="21"/>
                <w:lang w:eastAsia="zh-CN"/>
              </w:rPr>
              <w:t>区</w:t>
            </w:r>
          </w:p>
        </w:tc>
        <w:tc>
          <w:tcPr>
            <w:tcW w:w="765" w:type="pct"/>
            <w:vAlign w:val="center"/>
          </w:tcPr>
          <w:p>
            <w:pPr>
              <w:spacing w:line="240" w:lineRule="auto"/>
              <w:ind w:firstLine="0" w:firstLineChars="0"/>
              <w:jc w:val="center"/>
              <w:rPr>
                <w:sz w:val="21"/>
                <w:szCs w:val="21"/>
              </w:rPr>
            </w:pPr>
            <w:r>
              <w:rPr>
                <w:rFonts w:hint="eastAsia"/>
                <w:sz w:val="21"/>
                <w:szCs w:val="21"/>
                <w:lang w:val="en-US" w:eastAsia="zh-CN"/>
              </w:rPr>
              <w:t>200</w:t>
            </w:r>
            <w:r>
              <w:rPr>
                <w:rFonts w:hint="eastAsia"/>
                <w:sz w:val="21"/>
                <w:szCs w:val="21"/>
              </w:rPr>
              <w:t>户</w:t>
            </w:r>
            <w:r>
              <w:rPr>
                <w:rFonts w:hint="eastAsia"/>
                <w:sz w:val="21"/>
                <w:szCs w:val="21"/>
                <w:lang w:val="en-US" w:eastAsia="zh-CN"/>
              </w:rPr>
              <w:t>730</w:t>
            </w:r>
            <w:r>
              <w:rPr>
                <w:rFonts w:hint="eastAsia"/>
                <w:sz w:val="21"/>
                <w:szCs w:val="21"/>
              </w:rPr>
              <w:t>人</w:t>
            </w:r>
          </w:p>
        </w:tc>
        <w:tc>
          <w:tcPr>
            <w:tcW w:w="537" w:type="pct"/>
            <w:vAlign w:val="center"/>
          </w:tcPr>
          <w:p>
            <w:pPr>
              <w:spacing w:line="240" w:lineRule="auto"/>
              <w:ind w:firstLine="0" w:firstLineChars="0"/>
              <w:jc w:val="center"/>
              <w:rPr>
                <w:sz w:val="21"/>
                <w:szCs w:val="21"/>
              </w:rPr>
            </w:pPr>
            <w:r>
              <w:rPr>
                <w:rFonts w:hint="eastAsia"/>
                <w:sz w:val="21"/>
                <w:szCs w:val="21"/>
              </w:rPr>
              <w:t>二级</w:t>
            </w:r>
          </w:p>
        </w:tc>
        <w:tc>
          <w:tcPr>
            <w:tcW w:w="625" w:type="pct"/>
            <w:vAlign w:val="center"/>
          </w:tcPr>
          <w:p>
            <w:pPr>
              <w:spacing w:line="240" w:lineRule="auto"/>
              <w:ind w:firstLine="0" w:firstLineChars="0"/>
              <w:jc w:val="center"/>
              <w:rPr>
                <w:rFonts w:hint="eastAsia" w:eastAsia="宋体"/>
                <w:sz w:val="21"/>
                <w:szCs w:val="21"/>
                <w:lang w:eastAsia="zh-CN"/>
              </w:rPr>
            </w:pPr>
            <w:r>
              <w:rPr>
                <w:rFonts w:hint="eastAsia"/>
                <w:sz w:val="21"/>
                <w:szCs w:val="21"/>
              </w:rPr>
              <w:t>西</w:t>
            </w:r>
            <w:r>
              <w:rPr>
                <w:rFonts w:hint="eastAsia"/>
                <w:sz w:val="21"/>
                <w:szCs w:val="21"/>
                <w:lang w:eastAsia="zh-CN"/>
              </w:rPr>
              <w:t>侧</w:t>
            </w:r>
          </w:p>
        </w:tc>
        <w:tc>
          <w:tcPr>
            <w:tcW w:w="675"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spacing w:line="240" w:lineRule="auto"/>
              <w:ind w:firstLine="0" w:firstLineChars="0"/>
              <w:jc w:val="center"/>
              <w:rPr>
                <w:rFonts w:hint="eastAsia"/>
                <w:sz w:val="21"/>
                <w:szCs w:val="21"/>
                <w:lang w:eastAsia="zh-CN"/>
              </w:rPr>
            </w:pPr>
            <w:r>
              <w:rPr>
                <w:rFonts w:hint="eastAsia"/>
                <w:sz w:val="21"/>
                <w:szCs w:val="21"/>
                <w:lang w:eastAsia="zh-CN"/>
              </w:rPr>
              <w:t>常德市第九中学</w:t>
            </w:r>
          </w:p>
        </w:tc>
        <w:tc>
          <w:tcPr>
            <w:tcW w:w="1087"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E：111.734351</w:t>
            </w:r>
          </w:p>
          <w:p>
            <w:pPr>
              <w:spacing w:line="240" w:lineRule="auto"/>
              <w:ind w:firstLine="0" w:firstLineChars="0"/>
              <w:jc w:val="center"/>
              <w:rPr>
                <w:rFonts w:hint="default"/>
                <w:sz w:val="21"/>
                <w:szCs w:val="21"/>
                <w:lang w:val="en-US" w:eastAsia="zh-CN"/>
              </w:rPr>
            </w:pPr>
            <w:r>
              <w:rPr>
                <w:rFonts w:hint="eastAsia"/>
                <w:sz w:val="21"/>
                <w:szCs w:val="21"/>
                <w:lang w:val="en-US" w:eastAsia="zh-CN"/>
              </w:rPr>
              <w:t>N：28.959847</w:t>
            </w:r>
          </w:p>
        </w:tc>
        <w:tc>
          <w:tcPr>
            <w:tcW w:w="616" w:type="pct"/>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学校</w:t>
            </w:r>
          </w:p>
        </w:tc>
        <w:tc>
          <w:tcPr>
            <w:tcW w:w="765" w:type="pct"/>
            <w:vAlign w:val="center"/>
          </w:tcPr>
          <w:p>
            <w:pPr>
              <w:spacing w:line="240" w:lineRule="auto"/>
              <w:ind w:firstLine="0" w:firstLineChars="0"/>
              <w:jc w:val="center"/>
              <w:rPr>
                <w:rFonts w:hint="eastAsia"/>
                <w:sz w:val="21"/>
                <w:szCs w:val="21"/>
                <w:lang w:eastAsia="zh-CN"/>
              </w:rPr>
            </w:pPr>
            <w:r>
              <w:rPr>
                <w:rFonts w:hint="eastAsia"/>
                <w:sz w:val="21"/>
                <w:szCs w:val="21"/>
                <w:lang w:val="en-US" w:eastAsia="zh-CN"/>
              </w:rPr>
              <w:t>师生3000</w:t>
            </w:r>
            <w:r>
              <w:rPr>
                <w:rFonts w:hint="eastAsia"/>
                <w:sz w:val="21"/>
                <w:szCs w:val="21"/>
              </w:rPr>
              <w:t>人</w:t>
            </w:r>
          </w:p>
        </w:tc>
        <w:tc>
          <w:tcPr>
            <w:tcW w:w="537" w:type="pct"/>
            <w:vAlign w:val="center"/>
          </w:tcPr>
          <w:p>
            <w:pPr>
              <w:spacing w:line="240" w:lineRule="auto"/>
              <w:ind w:firstLine="0" w:firstLineChars="0"/>
              <w:jc w:val="center"/>
              <w:rPr>
                <w:rFonts w:hint="eastAsia"/>
                <w:sz w:val="21"/>
                <w:szCs w:val="21"/>
              </w:rPr>
            </w:pPr>
            <w:r>
              <w:rPr>
                <w:rFonts w:hint="eastAsia"/>
                <w:sz w:val="21"/>
                <w:szCs w:val="21"/>
              </w:rPr>
              <w:t>二级</w:t>
            </w:r>
          </w:p>
        </w:tc>
        <w:tc>
          <w:tcPr>
            <w:tcW w:w="625" w:type="pct"/>
            <w:vAlign w:val="center"/>
          </w:tcPr>
          <w:p>
            <w:pPr>
              <w:spacing w:line="240" w:lineRule="auto"/>
              <w:ind w:firstLine="0" w:firstLineChars="0"/>
              <w:jc w:val="center"/>
              <w:rPr>
                <w:rFonts w:hint="eastAsia"/>
                <w:sz w:val="21"/>
                <w:szCs w:val="21"/>
              </w:rPr>
            </w:pPr>
            <w:r>
              <w:rPr>
                <w:rFonts w:hint="eastAsia"/>
                <w:sz w:val="21"/>
                <w:szCs w:val="21"/>
              </w:rPr>
              <w:t>西</w:t>
            </w:r>
            <w:r>
              <w:rPr>
                <w:rFonts w:hint="eastAsia"/>
                <w:sz w:val="21"/>
                <w:szCs w:val="21"/>
                <w:lang w:eastAsia="zh-CN"/>
              </w:rPr>
              <w:t>侧</w:t>
            </w:r>
          </w:p>
        </w:tc>
        <w:tc>
          <w:tcPr>
            <w:tcW w:w="675"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郑家坪村民</w:t>
            </w:r>
          </w:p>
        </w:tc>
        <w:tc>
          <w:tcPr>
            <w:tcW w:w="1087"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E：</w:t>
            </w:r>
            <w:r>
              <w:rPr>
                <w:rFonts w:hint="eastAsia"/>
                <w:sz w:val="21"/>
                <w:szCs w:val="21"/>
              </w:rPr>
              <w:t>111.7</w:t>
            </w:r>
            <w:r>
              <w:rPr>
                <w:rFonts w:hint="eastAsia"/>
                <w:sz w:val="21"/>
                <w:szCs w:val="21"/>
                <w:lang w:val="en-US" w:eastAsia="zh-CN"/>
              </w:rPr>
              <w:t>47278</w:t>
            </w:r>
          </w:p>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N：</w:t>
            </w:r>
            <w:r>
              <w:rPr>
                <w:rFonts w:hint="eastAsia"/>
                <w:sz w:val="21"/>
                <w:szCs w:val="21"/>
              </w:rPr>
              <w:t>28.9</w:t>
            </w:r>
            <w:r>
              <w:rPr>
                <w:rFonts w:hint="eastAsia"/>
                <w:sz w:val="21"/>
                <w:szCs w:val="21"/>
                <w:lang w:val="en-US" w:eastAsia="zh-CN"/>
              </w:rPr>
              <w:t>53502</w:t>
            </w:r>
          </w:p>
        </w:tc>
        <w:tc>
          <w:tcPr>
            <w:tcW w:w="616" w:type="pct"/>
            <w:vAlign w:val="center"/>
          </w:tcPr>
          <w:p>
            <w:pPr>
              <w:spacing w:line="240" w:lineRule="auto"/>
              <w:ind w:firstLine="0" w:firstLineChars="0"/>
              <w:jc w:val="center"/>
              <w:rPr>
                <w:rFonts w:hint="eastAsia" w:eastAsia="宋体"/>
                <w:sz w:val="21"/>
                <w:szCs w:val="21"/>
                <w:lang w:eastAsia="zh-CN"/>
              </w:rPr>
            </w:pPr>
            <w:r>
              <w:rPr>
                <w:rFonts w:hint="eastAsia"/>
                <w:sz w:val="21"/>
                <w:szCs w:val="21"/>
              </w:rPr>
              <w:t>居民</w:t>
            </w:r>
            <w:r>
              <w:rPr>
                <w:rFonts w:hint="eastAsia"/>
                <w:sz w:val="21"/>
                <w:szCs w:val="21"/>
                <w:lang w:eastAsia="zh-CN"/>
              </w:rPr>
              <w:t>区</w:t>
            </w:r>
          </w:p>
        </w:tc>
        <w:tc>
          <w:tcPr>
            <w:tcW w:w="765"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50</w:t>
            </w:r>
            <w:r>
              <w:rPr>
                <w:rFonts w:hint="eastAsia"/>
                <w:sz w:val="21"/>
                <w:szCs w:val="21"/>
              </w:rPr>
              <w:t>户</w:t>
            </w:r>
            <w:r>
              <w:rPr>
                <w:rFonts w:hint="eastAsia"/>
                <w:sz w:val="21"/>
                <w:szCs w:val="21"/>
                <w:lang w:val="en-US" w:eastAsia="zh-CN"/>
              </w:rPr>
              <w:t>150</w:t>
            </w:r>
            <w:r>
              <w:rPr>
                <w:rFonts w:hint="eastAsia"/>
                <w:sz w:val="21"/>
                <w:szCs w:val="21"/>
              </w:rPr>
              <w:t>人</w:t>
            </w:r>
          </w:p>
        </w:tc>
        <w:tc>
          <w:tcPr>
            <w:tcW w:w="537" w:type="pct"/>
            <w:vAlign w:val="center"/>
          </w:tcPr>
          <w:p>
            <w:pPr>
              <w:spacing w:line="240" w:lineRule="auto"/>
              <w:ind w:firstLine="0" w:firstLineChars="0"/>
              <w:jc w:val="center"/>
              <w:rPr>
                <w:sz w:val="21"/>
                <w:szCs w:val="21"/>
              </w:rPr>
            </w:pPr>
            <w:r>
              <w:rPr>
                <w:rFonts w:hint="eastAsia"/>
                <w:sz w:val="21"/>
                <w:szCs w:val="21"/>
              </w:rPr>
              <w:t>二级</w:t>
            </w:r>
          </w:p>
        </w:tc>
        <w:tc>
          <w:tcPr>
            <w:tcW w:w="625" w:type="pct"/>
            <w:vAlign w:val="center"/>
          </w:tcPr>
          <w:p>
            <w:pPr>
              <w:spacing w:line="240" w:lineRule="auto"/>
              <w:ind w:firstLine="0" w:firstLineChars="0"/>
              <w:jc w:val="center"/>
              <w:rPr>
                <w:sz w:val="21"/>
                <w:szCs w:val="21"/>
              </w:rPr>
            </w:pPr>
            <w:r>
              <w:rPr>
                <w:rFonts w:hint="eastAsia"/>
                <w:sz w:val="21"/>
                <w:szCs w:val="21"/>
                <w:lang w:eastAsia="zh-CN"/>
              </w:rPr>
              <w:t>南侧</w:t>
            </w:r>
          </w:p>
        </w:tc>
        <w:tc>
          <w:tcPr>
            <w:tcW w:w="675"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500</w:t>
            </w:r>
          </w:p>
        </w:tc>
      </w:tr>
    </w:tbl>
    <w:p>
      <w:pPr>
        <w:pStyle w:val="46"/>
        <w:tabs>
          <w:tab w:val="left" w:pos="6638"/>
        </w:tabs>
        <w:ind w:firstLine="0" w:firstLineChars="0"/>
        <w:rPr>
          <w:rStyle w:val="47"/>
          <w:b/>
          <w:sz w:val="21"/>
          <w:szCs w:val="21"/>
        </w:rPr>
      </w:pPr>
      <w:r>
        <w:rPr>
          <w:rStyle w:val="47"/>
          <w:rFonts w:hint="eastAsia"/>
          <w:b/>
          <w:sz w:val="21"/>
          <w:szCs w:val="21"/>
        </w:rPr>
        <w:t>3 环境风险潜势初判</w:t>
      </w:r>
    </w:p>
    <w:p>
      <w:pPr>
        <w:pStyle w:val="6"/>
        <w:spacing w:line="360" w:lineRule="auto"/>
        <w:rPr>
          <w:snapToGrid w:val="0"/>
          <w:kern w:val="0"/>
        </w:rPr>
      </w:pPr>
      <w:r>
        <w:rPr>
          <w:rFonts w:hint="eastAsia"/>
          <w:snapToGrid w:val="0"/>
          <w:kern w:val="0"/>
        </w:rPr>
        <w:t>按照《建设项目环境风险评价技术导则》（HJ169-2018）的要求，根据建设项目涉及的物质和工艺系统的危险性及其所在地的环境敏感程度，结合事故情形下环境影响途径，对建设项目潜在环境危害程度进行概化分析。</w:t>
      </w:r>
    </w:p>
    <w:p>
      <w:pPr>
        <w:pStyle w:val="46"/>
        <w:tabs>
          <w:tab w:val="left" w:pos="6638"/>
        </w:tabs>
        <w:ind w:firstLine="0" w:firstLineChars="0"/>
        <w:rPr>
          <w:rStyle w:val="47"/>
          <w:b/>
          <w:sz w:val="21"/>
          <w:szCs w:val="21"/>
        </w:rPr>
      </w:pPr>
      <w:r>
        <w:rPr>
          <w:rStyle w:val="47"/>
          <w:rFonts w:hint="eastAsia"/>
          <w:b/>
          <w:sz w:val="21"/>
          <w:szCs w:val="21"/>
        </w:rPr>
        <w:t>3.1危险物质数量与临界量比值（Q）</w:t>
      </w:r>
    </w:p>
    <w:p>
      <w:pPr>
        <w:pStyle w:val="6"/>
        <w:spacing w:line="360" w:lineRule="auto"/>
        <w:rPr>
          <w:snapToGrid w:val="0"/>
          <w:kern w:val="0"/>
          <w:szCs w:val="21"/>
        </w:rPr>
      </w:pPr>
      <w:r>
        <w:rPr>
          <w:rFonts w:hint="eastAsia"/>
          <w:snapToGrid w:val="0"/>
          <w:kern w:val="0"/>
          <w:szCs w:val="21"/>
        </w:rPr>
        <w:t xml:space="preserve">建设项目生产、使用、储存过程中涉及的有毒有害、易燃易爆物质，参见《建设项目环境风险评价技术导则》（HJ 169-2018）中附录 B 确定危险物的临界量。定量分析危险物质数量与临界量的比值（Q）和所属行业及生产工艺特点（M），并按照《建设项目环境风险评价技术导则》（HJ 169-2018）中附录 C 中对危险物质及工艺系统危险性（P）等级进行判断。 </w:t>
      </w:r>
    </w:p>
    <w:p>
      <w:pPr>
        <w:pStyle w:val="6"/>
        <w:spacing w:line="360" w:lineRule="auto"/>
        <w:rPr>
          <w:snapToGrid w:val="0"/>
          <w:kern w:val="0"/>
          <w:szCs w:val="21"/>
        </w:rPr>
      </w:pPr>
      <w:r>
        <w:rPr>
          <w:rFonts w:hint="eastAsia"/>
          <w:snapToGrid w:val="0"/>
          <w:kern w:val="0"/>
          <w:szCs w:val="21"/>
        </w:rPr>
        <w:t>危险物质数量与临界量比值（Q）计算所涉及的每种危险物质在厂界内的最大存在总量与其在《建设项目环境风险评价技术导则》（HJ 169-2018）中附录 B 中对应临界量的比值 Q。在不同厂区的同一种物质，按其在厂界内的最大存在总量计算。对于长输管线项目，按照两个截断阀室之间管段危险物质最大存在总量计算。当只涉及一种危险物质时，计算该物质的总量与其临界量比值，即为Q；当存在多种危险物质时，则按式（C.I）计算物质总量与其临界量比值（Q）；</w:t>
      </w:r>
    </w:p>
    <w:p>
      <w:pPr>
        <w:spacing w:line="360" w:lineRule="auto"/>
        <w:jc w:val="center"/>
        <w:rPr>
          <w:szCs w:val="21"/>
        </w:rPr>
      </w:pPr>
      <w:r>
        <w:rPr>
          <w:rFonts w:hint="eastAsia"/>
          <w:szCs w:val="21"/>
        </w:rPr>
        <w:t>Q=q</w:t>
      </w:r>
      <w:r>
        <w:rPr>
          <w:rFonts w:hint="eastAsia"/>
          <w:szCs w:val="21"/>
          <w:vertAlign w:val="subscript"/>
        </w:rPr>
        <w:t>1</w:t>
      </w:r>
      <w:r>
        <w:rPr>
          <w:rFonts w:hint="eastAsia"/>
          <w:szCs w:val="21"/>
        </w:rPr>
        <w:t>/Q</w:t>
      </w:r>
      <w:r>
        <w:rPr>
          <w:rFonts w:hint="eastAsia"/>
          <w:szCs w:val="21"/>
          <w:vertAlign w:val="subscript"/>
        </w:rPr>
        <w:t>1</w:t>
      </w:r>
      <w:r>
        <w:rPr>
          <w:rFonts w:hint="eastAsia"/>
          <w:szCs w:val="21"/>
        </w:rPr>
        <w:t>+q</w:t>
      </w:r>
      <w:r>
        <w:rPr>
          <w:rFonts w:hint="eastAsia"/>
          <w:szCs w:val="21"/>
          <w:vertAlign w:val="subscript"/>
        </w:rPr>
        <w:t>2</w:t>
      </w:r>
      <w:r>
        <w:rPr>
          <w:rFonts w:hint="eastAsia"/>
          <w:szCs w:val="21"/>
        </w:rPr>
        <w:t>/Q</w:t>
      </w:r>
      <w:r>
        <w:rPr>
          <w:rFonts w:hint="eastAsia"/>
          <w:szCs w:val="21"/>
          <w:vertAlign w:val="subscript"/>
        </w:rPr>
        <w:t>2</w:t>
      </w:r>
      <w:r>
        <w:rPr>
          <w:rFonts w:hint="eastAsia"/>
          <w:szCs w:val="21"/>
        </w:rPr>
        <w:t>+...q</w:t>
      </w:r>
      <w:r>
        <w:rPr>
          <w:rFonts w:hint="eastAsia"/>
          <w:szCs w:val="21"/>
          <w:vertAlign w:val="subscript"/>
        </w:rPr>
        <w:t>n</w:t>
      </w:r>
      <w:r>
        <w:rPr>
          <w:rFonts w:hint="eastAsia"/>
          <w:szCs w:val="21"/>
        </w:rPr>
        <w:t>/Q</w:t>
      </w:r>
      <w:r>
        <w:rPr>
          <w:rFonts w:hint="eastAsia"/>
          <w:szCs w:val="21"/>
          <w:vertAlign w:val="subscript"/>
        </w:rPr>
        <w:t>n</w:t>
      </w:r>
    </w:p>
    <w:p>
      <w:pPr>
        <w:pStyle w:val="6"/>
        <w:spacing w:line="360" w:lineRule="auto"/>
        <w:rPr>
          <w:snapToGrid w:val="0"/>
          <w:kern w:val="0"/>
          <w:szCs w:val="21"/>
        </w:rPr>
      </w:pPr>
      <w:r>
        <w:rPr>
          <w:rFonts w:hint="eastAsia"/>
          <w:snapToGrid w:val="0"/>
          <w:kern w:val="0"/>
          <w:szCs w:val="21"/>
        </w:rPr>
        <w:t>式中：q</w:t>
      </w:r>
      <w:r>
        <w:rPr>
          <w:rFonts w:hint="eastAsia"/>
          <w:snapToGrid w:val="0"/>
          <w:kern w:val="0"/>
          <w:szCs w:val="21"/>
          <w:vertAlign w:val="subscript"/>
        </w:rPr>
        <w:t>1</w:t>
      </w:r>
      <w:r>
        <w:rPr>
          <w:rFonts w:hint="eastAsia"/>
          <w:snapToGrid w:val="0"/>
          <w:kern w:val="0"/>
          <w:szCs w:val="21"/>
        </w:rPr>
        <w:t xml:space="preserve"> ，q</w:t>
      </w:r>
      <w:r>
        <w:rPr>
          <w:rFonts w:hint="eastAsia"/>
          <w:snapToGrid w:val="0"/>
          <w:kern w:val="0"/>
          <w:szCs w:val="21"/>
          <w:vertAlign w:val="subscript"/>
        </w:rPr>
        <w:t>2</w:t>
      </w:r>
      <w:r>
        <w:rPr>
          <w:rFonts w:hint="eastAsia"/>
          <w:snapToGrid w:val="0"/>
          <w:kern w:val="0"/>
          <w:szCs w:val="21"/>
        </w:rPr>
        <w:t>....q</w:t>
      </w:r>
      <w:r>
        <w:rPr>
          <w:rFonts w:hint="eastAsia"/>
          <w:snapToGrid w:val="0"/>
          <w:kern w:val="0"/>
          <w:szCs w:val="21"/>
          <w:vertAlign w:val="subscript"/>
        </w:rPr>
        <w:t>n</w:t>
      </w:r>
      <w:r>
        <w:rPr>
          <w:rFonts w:hint="eastAsia"/>
          <w:snapToGrid w:val="0"/>
          <w:kern w:val="0"/>
          <w:szCs w:val="21"/>
        </w:rPr>
        <w:t>——每种危险物质的最大存在总量，t；</w:t>
      </w:r>
    </w:p>
    <w:p>
      <w:pPr>
        <w:pStyle w:val="6"/>
        <w:spacing w:line="360" w:lineRule="auto"/>
        <w:rPr>
          <w:snapToGrid w:val="0"/>
          <w:kern w:val="0"/>
          <w:szCs w:val="21"/>
        </w:rPr>
      </w:pPr>
      <w:r>
        <w:rPr>
          <w:rFonts w:hint="eastAsia"/>
          <w:snapToGrid w:val="0"/>
          <w:kern w:val="0"/>
          <w:szCs w:val="21"/>
        </w:rPr>
        <w:t>Q</w:t>
      </w:r>
      <w:r>
        <w:rPr>
          <w:rFonts w:hint="eastAsia"/>
          <w:snapToGrid w:val="0"/>
          <w:kern w:val="0"/>
          <w:szCs w:val="21"/>
          <w:vertAlign w:val="subscript"/>
        </w:rPr>
        <w:t>1</w:t>
      </w:r>
      <w:r>
        <w:rPr>
          <w:rFonts w:hint="eastAsia"/>
          <w:snapToGrid w:val="0"/>
          <w:kern w:val="0"/>
          <w:szCs w:val="21"/>
        </w:rPr>
        <w:t>，Q</w:t>
      </w:r>
      <w:r>
        <w:rPr>
          <w:rFonts w:hint="eastAsia"/>
          <w:snapToGrid w:val="0"/>
          <w:kern w:val="0"/>
          <w:szCs w:val="21"/>
          <w:vertAlign w:val="subscript"/>
        </w:rPr>
        <w:t>2</w:t>
      </w:r>
      <w:r>
        <w:rPr>
          <w:rFonts w:hint="eastAsia"/>
          <w:snapToGrid w:val="0"/>
          <w:kern w:val="0"/>
          <w:szCs w:val="21"/>
        </w:rPr>
        <w:t>，...Q</w:t>
      </w:r>
      <w:r>
        <w:rPr>
          <w:rFonts w:hint="eastAsia"/>
          <w:snapToGrid w:val="0"/>
          <w:kern w:val="0"/>
          <w:szCs w:val="21"/>
          <w:vertAlign w:val="subscript"/>
        </w:rPr>
        <w:t>n</w:t>
      </w:r>
      <w:r>
        <w:rPr>
          <w:rFonts w:hint="eastAsia"/>
          <w:snapToGrid w:val="0"/>
          <w:kern w:val="0"/>
          <w:szCs w:val="21"/>
        </w:rPr>
        <w:t>——每种危险物质的临界量，t。</w:t>
      </w:r>
    </w:p>
    <w:p>
      <w:pPr>
        <w:pStyle w:val="6"/>
        <w:spacing w:line="360" w:lineRule="auto"/>
        <w:rPr>
          <w:snapToGrid w:val="0"/>
          <w:kern w:val="0"/>
          <w:szCs w:val="21"/>
        </w:rPr>
      </w:pPr>
      <w:r>
        <w:rPr>
          <w:rFonts w:hint="eastAsia"/>
          <w:snapToGrid w:val="0"/>
          <w:kern w:val="0"/>
          <w:szCs w:val="21"/>
        </w:rPr>
        <w:t>当Q&lt;1时，该项目环境风险潜势为 I。</w:t>
      </w:r>
    </w:p>
    <w:p>
      <w:pPr>
        <w:pStyle w:val="6"/>
        <w:spacing w:line="360" w:lineRule="auto"/>
        <w:rPr>
          <w:snapToGrid w:val="0"/>
          <w:kern w:val="0"/>
          <w:szCs w:val="21"/>
        </w:rPr>
      </w:pPr>
      <w:r>
        <w:rPr>
          <w:rFonts w:hint="eastAsia"/>
          <w:snapToGrid w:val="0"/>
          <w:kern w:val="0"/>
          <w:szCs w:val="21"/>
        </w:rPr>
        <w:t>当Q≥1时，将Q值划分为：（1）1≤Q&lt;10；（2）10≤Q&lt;100；（3）Q≥100。</w:t>
      </w:r>
    </w:p>
    <w:p>
      <w:pPr>
        <w:spacing w:line="276" w:lineRule="auto"/>
        <w:ind w:firstLine="420"/>
        <w:jc w:val="center"/>
        <w:rPr>
          <w:rFonts w:hint="eastAsia"/>
          <w:b/>
          <w:bCs w:val="0"/>
          <w:sz w:val="21"/>
          <w:szCs w:val="21"/>
          <w:u w:val="single"/>
        </w:rPr>
      </w:pPr>
      <w:r>
        <w:rPr>
          <w:rFonts w:hint="eastAsia"/>
          <w:b/>
          <w:bCs w:val="0"/>
          <w:sz w:val="21"/>
          <w:szCs w:val="21"/>
          <w:u w:val="single"/>
        </w:rPr>
        <w:t>表</w:t>
      </w:r>
      <w:r>
        <w:rPr>
          <w:rFonts w:hint="eastAsia"/>
          <w:b/>
          <w:bCs w:val="0"/>
          <w:sz w:val="21"/>
          <w:szCs w:val="21"/>
          <w:u w:val="single"/>
          <w:lang w:val="en-US" w:eastAsia="zh-CN"/>
        </w:rPr>
        <w:t xml:space="preserve">3  </w:t>
      </w:r>
      <w:r>
        <w:rPr>
          <w:rFonts w:hint="eastAsia"/>
          <w:b/>
          <w:bCs w:val="0"/>
          <w:sz w:val="21"/>
          <w:szCs w:val="21"/>
          <w:u w:val="single"/>
        </w:rPr>
        <w:t>危险物质数量与临界量比值表</w:t>
      </w:r>
    </w:p>
    <w:tbl>
      <w:tblPr>
        <w:tblStyle w:val="17"/>
        <w:tblW w:w="8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653"/>
        <w:gridCol w:w="1997"/>
        <w:gridCol w:w="1494"/>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spacing w:line="276" w:lineRule="auto"/>
              <w:ind w:left="0" w:leftChars="0" w:firstLine="0" w:firstLineChars="0"/>
              <w:jc w:val="center"/>
              <w:rPr>
                <w:rFonts w:hint="eastAsia" w:eastAsia="宋体"/>
                <w:b/>
                <w:bCs w:val="0"/>
                <w:sz w:val="21"/>
                <w:szCs w:val="21"/>
                <w:u w:val="single"/>
                <w:vertAlign w:val="baseline"/>
                <w:lang w:val="en-US" w:eastAsia="zh-CN"/>
              </w:rPr>
            </w:pPr>
            <w:r>
              <w:rPr>
                <w:rFonts w:hint="eastAsia"/>
                <w:b/>
                <w:bCs w:val="0"/>
                <w:sz w:val="21"/>
                <w:szCs w:val="21"/>
                <w:u w:val="single"/>
                <w:vertAlign w:val="baseline"/>
                <w:lang w:val="en-US" w:eastAsia="zh-CN"/>
              </w:rPr>
              <w:t>序号</w:t>
            </w:r>
          </w:p>
        </w:tc>
        <w:tc>
          <w:tcPr>
            <w:tcW w:w="2653" w:type="dxa"/>
            <w:vAlign w:val="center"/>
          </w:tcPr>
          <w:p>
            <w:pPr>
              <w:spacing w:line="276" w:lineRule="auto"/>
              <w:ind w:left="0" w:leftChars="0" w:firstLine="0" w:firstLineChars="0"/>
              <w:jc w:val="center"/>
              <w:rPr>
                <w:rFonts w:hint="default" w:eastAsia="宋体"/>
                <w:b/>
                <w:bCs w:val="0"/>
                <w:sz w:val="21"/>
                <w:szCs w:val="21"/>
                <w:u w:val="single"/>
                <w:vertAlign w:val="baseline"/>
                <w:lang w:val="en-US" w:eastAsia="zh-CN"/>
              </w:rPr>
            </w:pPr>
            <w:r>
              <w:rPr>
                <w:rFonts w:hint="eastAsia"/>
                <w:b/>
                <w:bCs w:val="0"/>
                <w:sz w:val="21"/>
                <w:szCs w:val="21"/>
                <w:u w:val="single"/>
                <w:vertAlign w:val="baseline"/>
                <w:lang w:val="en-US" w:eastAsia="zh-CN"/>
              </w:rPr>
              <w:t>化学名称</w:t>
            </w:r>
          </w:p>
        </w:tc>
        <w:tc>
          <w:tcPr>
            <w:tcW w:w="1997" w:type="dxa"/>
            <w:vAlign w:val="center"/>
          </w:tcPr>
          <w:p>
            <w:pPr>
              <w:spacing w:line="276" w:lineRule="auto"/>
              <w:ind w:left="0" w:leftChars="0" w:firstLine="0" w:firstLineChars="0"/>
              <w:jc w:val="center"/>
              <w:rPr>
                <w:rFonts w:hint="default" w:eastAsia="宋体"/>
                <w:b/>
                <w:bCs w:val="0"/>
                <w:sz w:val="21"/>
                <w:szCs w:val="21"/>
                <w:u w:val="single"/>
                <w:vertAlign w:val="baseline"/>
                <w:lang w:val="en-US" w:eastAsia="zh-CN"/>
              </w:rPr>
            </w:pPr>
            <w:r>
              <w:rPr>
                <w:rFonts w:hint="eastAsia"/>
                <w:b/>
                <w:bCs w:val="0"/>
                <w:sz w:val="21"/>
                <w:szCs w:val="21"/>
                <w:u w:val="single"/>
                <w:vertAlign w:val="baseline"/>
                <w:lang w:val="en-US" w:eastAsia="zh-CN"/>
              </w:rPr>
              <w:t>最大存在量</w:t>
            </w:r>
            <w:r>
              <w:rPr>
                <w:rFonts w:hint="eastAsia"/>
                <w:b/>
                <w:bCs w:val="0"/>
                <w:sz w:val="21"/>
                <w:szCs w:val="21"/>
                <w:u w:val="single"/>
              </w:rPr>
              <w:t>q（t）</w:t>
            </w:r>
          </w:p>
        </w:tc>
        <w:tc>
          <w:tcPr>
            <w:tcW w:w="1494" w:type="dxa"/>
            <w:vAlign w:val="center"/>
          </w:tcPr>
          <w:p>
            <w:pPr>
              <w:spacing w:line="276" w:lineRule="auto"/>
              <w:ind w:left="0" w:leftChars="0" w:firstLine="0" w:firstLineChars="0"/>
              <w:jc w:val="both"/>
              <w:rPr>
                <w:rFonts w:hint="eastAsia"/>
                <w:b/>
                <w:bCs w:val="0"/>
                <w:sz w:val="21"/>
                <w:szCs w:val="21"/>
                <w:u w:val="single"/>
                <w:vertAlign w:val="baseline"/>
              </w:rPr>
            </w:pPr>
            <w:r>
              <w:rPr>
                <w:rFonts w:hint="eastAsia"/>
                <w:b/>
                <w:bCs w:val="0"/>
                <w:sz w:val="21"/>
                <w:szCs w:val="21"/>
                <w:u w:val="single"/>
                <w:vertAlign w:val="baseline"/>
                <w:lang w:val="en-US" w:eastAsia="zh-CN"/>
              </w:rPr>
              <w:t>临界量</w:t>
            </w:r>
            <w:r>
              <w:rPr>
                <w:rFonts w:hint="eastAsia"/>
                <w:b/>
                <w:bCs w:val="0"/>
                <w:sz w:val="21"/>
                <w:szCs w:val="21"/>
                <w:u w:val="single"/>
              </w:rPr>
              <w:t>Q（t）</w:t>
            </w:r>
          </w:p>
        </w:tc>
        <w:tc>
          <w:tcPr>
            <w:tcW w:w="1837" w:type="dxa"/>
            <w:vAlign w:val="center"/>
          </w:tcPr>
          <w:p>
            <w:pPr>
              <w:spacing w:line="276" w:lineRule="auto"/>
              <w:ind w:left="0" w:leftChars="0" w:firstLine="0" w:firstLineChars="0"/>
              <w:jc w:val="center"/>
              <w:rPr>
                <w:rFonts w:hint="eastAsia"/>
                <w:b/>
                <w:bCs w:val="0"/>
                <w:sz w:val="21"/>
                <w:szCs w:val="21"/>
                <w:u w:val="single"/>
              </w:rPr>
            </w:pPr>
            <w:r>
              <w:rPr>
                <w:rFonts w:hint="eastAsia"/>
                <w:b/>
                <w:bCs w:val="0"/>
                <w:sz w:val="21"/>
                <w:szCs w:val="21"/>
                <w:u w:val="single"/>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spacing w:line="276" w:lineRule="auto"/>
              <w:ind w:left="0" w:leftChars="0" w:firstLine="0" w:firstLineChars="0"/>
              <w:jc w:val="center"/>
              <w:rPr>
                <w:rFonts w:hint="eastAsia" w:eastAsia="宋体"/>
                <w:bCs/>
                <w:sz w:val="21"/>
                <w:szCs w:val="21"/>
                <w:u w:val="single"/>
                <w:vertAlign w:val="baseline"/>
                <w:lang w:val="en-US" w:eastAsia="zh-CN"/>
              </w:rPr>
            </w:pPr>
            <w:r>
              <w:rPr>
                <w:rFonts w:hint="eastAsia"/>
                <w:bCs/>
                <w:sz w:val="21"/>
                <w:szCs w:val="21"/>
                <w:u w:val="single"/>
                <w:vertAlign w:val="baseline"/>
                <w:lang w:val="en-US" w:eastAsia="zh-CN"/>
              </w:rPr>
              <w:t>1</w:t>
            </w:r>
          </w:p>
        </w:tc>
        <w:tc>
          <w:tcPr>
            <w:tcW w:w="2653" w:type="dxa"/>
            <w:vAlign w:val="center"/>
          </w:tcPr>
          <w:p>
            <w:pPr>
              <w:spacing w:line="276" w:lineRule="auto"/>
              <w:ind w:left="0" w:leftChars="0" w:firstLine="0" w:firstLineChars="0"/>
              <w:jc w:val="center"/>
              <w:rPr>
                <w:rFonts w:hint="default" w:eastAsia="宋体"/>
                <w:bCs/>
                <w:sz w:val="21"/>
                <w:szCs w:val="21"/>
                <w:u w:val="single"/>
                <w:vertAlign w:val="baseline"/>
                <w:lang w:val="en-US" w:eastAsia="zh-CN"/>
              </w:rPr>
            </w:pPr>
            <w:r>
              <w:rPr>
                <w:rFonts w:hint="eastAsia"/>
                <w:bCs/>
                <w:sz w:val="21"/>
                <w:szCs w:val="21"/>
                <w:u w:val="single"/>
                <w:vertAlign w:val="baseline"/>
                <w:lang w:val="en-US" w:eastAsia="zh-CN"/>
              </w:rPr>
              <w:t>冷冻机油</w:t>
            </w:r>
          </w:p>
        </w:tc>
        <w:tc>
          <w:tcPr>
            <w:tcW w:w="1997" w:type="dxa"/>
            <w:vAlign w:val="center"/>
          </w:tcPr>
          <w:p>
            <w:pPr>
              <w:spacing w:line="276" w:lineRule="auto"/>
              <w:ind w:firstLine="630" w:firstLineChars="300"/>
              <w:jc w:val="both"/>
              <w:rPr>
                <w:rFonts w:hint="default" w:eastAsia="宋体"/>
                <w:bCs/>
                <w:sz w:val="21"/>
                <w:szCs w:val="21"/>
                <w:u w:val="single"/>
                <w:vertAlign w:val="baseline"/>
                <w:lang w:val="en-US" w:eastAsia="zh-CN"/>
              </w:rPr>
            </w:pPr>
            <w:r>
              <w:rPr>
                <w:rFonts w:hint="eastAsia"/>
                <w:bCs/>
                <w:sz w:val="21"/>
                <w:szCs w:val="21"/>
                <w:u w:val="single"/>
                <w:vertAlign w:val="baseline"/>
                <w:lang w:val="en-US" w:eastAsia="zh-CN"/>
              </w:rPr>
              <w:t>10</w:t>
            </w:r>
          </w:p>
        </w:tc>
        <w:tc>
          <w:tcPr>
            <w:tcW w:w="1494" w:type="dxa"/>
            <w:vAlign w:val="center"/>
          </w:tcPr>
          <w:p>
            <w:pPr>
              <w:spacing w:line="276" w:lineRule="auto"/>
              <w:jc w:val="both"/>
              <w:rPr>
                <w:rFonts w:hint="default" w:eastAsia="宋体"/>
                <w:bCs/>
                <w:sz w:val="21"/>
                <w:szCs w:val="21"/>
                <w:u w:val="single"/>
                <w:vertAlign w:val="baseline"/>
                <w:lang w:val="en-US" w:eastAsia="zh-CN"/>
              </w:rPr>
            </w:pPr>
            <w:r>
              <w:rPr>
                <w:rFonts w:hint="eastAsia"/>
                <w:bCs/>
                <w:sz w:val="21"/>
                <w:szCs w:val="21"/>
                <w:u w:val="single"/>
                <w:vertAlign w:val="baseline"/>
                <w:lang w:val="en-US" w:eastAsia="zh-CN"/>
              </w:rPr>
              <w:t>2500</w:t>
            </w:r>
          </w:p>
        </w:tc>
        <w:tc>
          <w:tcPr>
            <w:tcW w:w="1837"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2</w:t>
            </w:r>
          </w:p>
        </w:tc>
        <w:tc>
          <w:tcPr>
            <w:tcW w:w="2653" w:type="dxa"/>
            <w:vAlign w:val="center"/>
          </w:tcPr>
          <w:p>
            <w:pPr>
              <w:spacing w:line="240" w:lineRule="auto"/>
              <w:ind w:firstLine="0" w:firstLineChars="0"/>
              <w:jc w:val="center"/>
              <w:rPr>
                <w:rFonts w:hint="eastAsia" w:ascii="Times New Roman" w:hAnsi="Times New Roman"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苯甲醇</w:t>
            </w:r>
          </w:p>
        </w:tc>
        <w:tc>
          <w:tcPr>
            <w:tcW w:w="1997" w:type="dxa"/>
            <w:vAlign w:val="center"/>
          </w:tcPr>
          <w:p>
            <w:pPr>
              <w:spacing w:line="240" w:lineRule="auto"/>
              <w:ind w:firstLine="0" w:firstLineChars="0"/>
              <w:jc w:val="center"/>
              <w:rPr>
                <w:rFonts w:hint="default"/>
                <w:bCs/>
                <w:sz w:val="21"/>
                <w:szCs w:val="21"/>
                <w:u w:val="single"/>
                <w:vertAlign w:val="baseline"/>
                <w:lang w:val="en-US" w:eastAsia="zh-CN"/>
              </w:rPr>
            </w:pPr>
            <w:r>
              <w:rPr>
                <w:rFonts w:hint="default" w:ascii="Times New Roman" w:hAnsi="Times New Roman" w:eastAsia="宋体" w:cs="Times New Roman"/>
                <w:color w:val="auto"/>
                <w:sz w:val="21"/>
                <w:szCs w:val="21"/>
                <w:u w:val="single"/>
                <w:lang w:val="en-US" w:eastAsia="zh-CN"/>
              </w:rPr>
              <w:t>4</w:t>
            </w:r>
          </w:p>
        </w:tc>
        <w:tc>
          <w:tcPr>
            <w:tcW w:w="1494" w:type="dxa"/>
            <w:vMerge w:val="restart"/>
            <w:vAlign w:val="center"/>
          </w:tcPr>
          <w:p>
            <w:pPr>
              <w:spacing w:line="276" w:lineRule="auto"/>
              <w:jc w:val="both"/>
              <w:rPr>
                <w:rFonts w:hint="default"/>
                <w:bCs/>
                <w:sz w:val="21"/>
                <w:szCs w:val="21"/>
                <w:u w:val="single"/>
                <w:vertAlign w:val="baseline"/>
                <w:lang w:val="en-US" w:eastAsia="zh-CN"/>
              </w:rPr>
            </w:pPr>
            <w:r>
              <w:rPr>
                <w:rFonts w:hint="eastAsia"/>
                <w:bCs/>
                <w:sz w:val="21"/>
                <w:szCs w:val="21"/>
                <w:u w:val="single"/>
                <w:vertAlign w:val="baseline"/>
                <w:lang w:val="en-US" w:eastAsia="zh-CN"/>
              </w:rPr>
              <w:t>50</w:t>
            </w:r>
          </w:p>
        </w:tc>
        <w:tc>
          <w:tcPr>
            <w:tcW w:w="1837"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3</w:t>
            </w:r>
          </w:p>
        </w:tc>
        <w:tc>
          <w:tcPr>
            <w:tcW w:w="2653" w:type="dxa"/>
            <w:vAlign w:val="center"/>
          </w:tcPr>
          <w:p>
            <w:pPr>
              <w:spacing w:line="240" w:lineRule="auto"/>
              <w:ind w:firstLine="0" w:firstLineChars="0"/>
              <w:jc w:val="center"/>
              <w:rPr>
                <w:rFonts w:hint="eastAsia" w:ascii="Times New Roman" w:hAnsi="Times New Roman"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乙二醇</w:t>
            </w:r>
          </w:p>
        </w:tc>
        <w:tc>
          <w:tcPr>
            <w:tcW w:w="1997" w:type="dxa"/>
            <w:vAlign w:val="center"/>
          </w:tcPr>
          <w:p>
            <w:pPr>
              <w:spacing w:line="240" w:lineRule="auto"/>
              <w:ind w:firstLine="0" w:firstLineChars="0"/>
              <w:jc w:val="center"/>
              <w:rPr>
                <w:rFonts w:hint="eastAsia"/>
                <w:bCs/>
                <w:sz w:val="21"/>
                <w:szCs w:val="21"/>
                <w:u w:val="single"/>
                <w:vertAlign w:val="baseline"/>
                <w:lang w:val="en-US" w:eastAsia="zh-CN"/>
              </w:rPr>
            </w:pPr>
            <w:r>
              <w:rPr>
                <w:rFonts w:hint="default" w:ascii="Times New Roman" w:hAnsi="Times New Roman" w:eastAsia="宋体" w:cs="Times New Roman"/>
                <w:color w:val="auto"/>
                <w:sz w:val="21"/>
                <w:szCs w:val="21"/>
                <w:u w:val="single"/>
                <w:lang w:val="en-US" w:eastAsia="zh-CN"/>
              </w:rPr>
              <w:t>2</w:t>
            </w:r>
          </w:p>
        </w:tc>
        <w:tc>
          <w:tcPr>
            <w:tcW w:w="1494" w:type="dxa"/>
            <w:vMerge w:val="continue"/>
            <w:vAlign w:val="center"/>
          </w:tcPr>
          <w:p>
            <w:pPr>
              <w:spacing w:line="276" w:lineRule="auto"/>
              <w:jc w:val="both"/>
              <w:rPr>
                <w:rFonts w:hint="default"/>
                <w:bCs/>
                <w:sz w:val="21"/>
                <w:szCs w:val="21"/>
                <w:u w:val="single"/>
                <w:vertAlign w:val="baseline"/>
                <w:lang w:val="en-US" w:eastAsia="zh-CN"/>
              </w:rPr>
            </w:pPr>
          </w:p>
        </w:tc>
        <w:tc>
          <w:tcPr>
            <w:tcW w:w="1837"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4</w:t>
            </w:r>
          </w:p>
        </w:tc>
        <w:tc>
          <w:tcPr>
            <w:tcW w:w="2653" w:type="dxa"/>
            <w:vAlign w:val="center"/>
          </w:tcPr>
          <w:p>
            <w:pPr>
              <w:spacing w:line="240" w:lineRule="auto"/>
              <w:ind w:firstLine="0" w:firstLineChars="0"/>
              <w:jc w:val="center"/>
              <w:rPr>
                <w:rFonts w:hint="eastAsia" w:ascii="Times New Roman" w:hAnsi="Times New Roman"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丁硫克百威</w:t>
            </w:r>
          </w:p>
        </w:tc>
        <w:tc>
          <w:tcPr>
            <w:tcW w:w="1997" w:type="dxa"/>
            <w:vAlign w:val="center"/>
          </w:tcPr>
          <w:p>
            <w:pPr>
              <w:spacing w:line="240" w:lineRule="auto"/>
              <w:ind w:firstLine="0" w:firstLineChars="0"/>
              <w:jc w:val="center"/>
              <w:rPr>
                <w:rFonts w:hint="eastAsia"/>
                <w:bCs/>
                <w:sz w:val="21"/>
                <w:szCs w:val="21"/>
                <w:u w:val="single"/>
                <w:vertAlign w:val="baseline"/>
                <w:lang w:val="en-US" w:eastAsia="zh-CN"/>
              </w:rPr>
            </w:pPr>
            <w:r>
              <w:rPr>
                <w:rFonts w:hint="default" w:ascii="Times New Roman" w:hAnsi="Times New Roman" w:eastAsia="宋体" w:cs="Times New Roman"/>
                <w:color w:val="auto"/>
                <w:sz w:val="21"/>
                <w:szCs w:val="21"/>
                <w:u w:val="single"/>
                <w:lang w:val="en-US" w:eastAsia="zh-CN"/>
              </w:rPr>
              <w:t>200</w:t>
            </w:r>
          </w:p>
        </w:tc>
        <w:tc>
          <w:tcPr>
            <w:tcW w:w="1494" w:type="dxa"/>
            <w:vMerge w:val="continue"/>
            <w:vAlign w:val="center"/>
          </w:tcPr>
          <w:p>
            <w:pPr>
              <w:spacing w:line="276" w:lineRule="auto"/>
              <w:jc w:val="both"/>
              <w:rPr>
                <w:rFonts w:hint="eastAsia"/>
                <w:bCs/>
                <w:sz w:val="21"/>
                <w:szCs w:val="21"/>
                <w:u w:val="single"/>
                <w:vertAlign w:val="baseline"/>
                <w:lang w:val="en-US" w:eastAsia="zh-CN"/>
              </w:rPr>
            </w:pPr>
          </w:p>
        </w:tc>
        <w:tc>
          <w:tcPr>
            <w:tcW w:w="1837"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5</w:t>
            </w:r>
          </w:p>
        </w:tc>
        <w:tc>
          <w:tcPr>
            <w:tcW w:w="2653" w:type="dxa"/>
            <w:vAlign w:val="center"/>
          </w:tcPr>
          <w:p>
            <w:pPr>
              <w:spacing w:line="240" w:lineRule="auto"/>
              <w:ind w:firstLine="0" w:firstLineChars="0"/>
              <w:jc w:val="center"/>
              <w:rPr>
                <w:rFonts w:hint="eastAsia" w:ascii="Times New Roman" w:hAnsi="Times New Roman"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丙硫克百威</w:t>
            </w:r>
          </w:p>
        </w:tc>
        <w:tc>
          <w:tcPr>
            <w:tcW w:w="1997" w:type="dxa"/>
            <w:vAlign w:val="center"/>
          </w:tcPr>
          <w:p>
            <w:pPr>
              <w:spacing w:line="240" w:lineRule="auto"/>
              <w:ind w:firstLine="0" w:firstLineChars="0"/>
              <w:jc w:val="center"/>
              <w:rPr>
                <w:rFonts w:hint="eastAsia"/>
                <w:bCs/>
                <w:sz w:val="21"/>
                <w:szCs w:val="21"/>
                <w:u w:val="single"/>
                <w:vertAlign w:val="baseline"/>
                <w:lang w:val="en-US" w:eastAsia="zh-CN"/>
              </w:rPr>
            </w:pPr>
            <w:r>
              <w:rPr>
                <w:rFonts w:hint="default" w:ascii="Times New Roman" w:hAnsi="Times New Roman" w:eastAsia="宋体" w:cs="Times New Roman"/>
                <w:color w:val="auto"/>
                <w:sz w:val="21"/>
                <w:szCs w:val="21"/>
                <w:u w:val="single"/>
                <w:lang w:val="en-US" w:eastAsia="zh-CN"/>
              </w:rPr>
              <w:t>200</w:t>
            </w:r>
          </w:p>
        </w:tc>
        <w:tc>
          <w:tcPr>
            <w:tcW w:w="1494" w:type="dxa"/>
            <w:vMerge w:val="continue"/>
            <w:vAlign w:val="center"/>
          </w:tcPr>
          <w:p>
            <w:pPr>
              <w:spacing w:line="276" w:lineRule="auto"/>
              <w:jc w:val="both"/>
              <w:rPr>
                <w:rFonts w:hint="eastAsia"/>
                <w:bCs/>
                <w:sz w:val="21"/>
                <w:szCs w:val="21"/>
                <w:u w:val="single"/>
                <w:vertAlign w:val="baseline"/>
                <w:lang w:val="en-US" w:eastAsia="zh-CN"/>
              </w:rPr>
            </w:pPr>
          </w:p>
        </w:tc>
        <w:tc>
          <w:tcPr>
            <w:tcW w:w="1837"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6</w:t>
            </w:r>
          </w:p>
        </w:tc>
        <w:tc>
          <w:tcPr>
            <w:tcW w:w="2653" w:type="dxa"/>
            <w:vAlign w:val="center"/>
          </w:tcPr>
          <w:p>
            <w:pPr>
              <w:spacing w:line="240" w:lineRule="auto"/>
              <w:ind w:firstLine="0" w:firstLineChars="0"/>
              <w:jc w:val="center"/>
              <w:rPr>
                <w:rFonts w:hint="eastAsia" w:ascii="Times New Roman" w:hAnsi="Times New Roman"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甲嘧原油</w:t>
            </w:r>
            <w:r>
              <w:rPr>
                <w:rFonts w:hint="eastAsia" w:cs="Times New Roman"/>
                <w:color w:val="auto"/>
                <w:sz w:val="21"/>
                <w:szCs w:val="21"/>
                <w:u w:val="single"/>
                <w:lang w:val="en-US" w:eastAsia="zh-CN"/>
              </w:rPr>
              <w:t>（</w:t>
            </w:r>
            <w:r>
              <w:rPr>
                <w:rFonts w:ascii="Times New Roman" w:hAnsi="Times New Roman" w:eastAsia="宋体" w:cs="Times New Roman"/>
                <w:color w:val="auto"/>
                <w:sz w:val="22"/>
                <w:szCs w:val="24"/>
                <w:highlight w:val="none"/>
                <w:u w:val="single"/>
                <w:lang w:val="zh-CN"/>
              </w:rPr>
              <w:t>甲基嘧啶磷</w:t>
            </w:r>
            <w:r>
              <w:rPr>
                <w:rFonts w:hint="eastAsia" w:cs="Times New Roman"/>
                <w:color w:val="auto"/>
                <w:sz w:val="21"/>
                <w:szCs w:val="21"/>
                <w:u w:val="single"/>
                <w:lang w:val="en-US" w:eastAsia="zh-CN"/>
              </w:rPr>
              <w:t>）</w:t>
            </w:r>
          </w:p>
        </w:tc>
        <w:tc>
          <w:tcPr>
            <w:tcW w:w="1997" w:type="dxa"/>
            <w:vAlign w:val="center"/>
          </w:tcPr>
          <w:p>
            <w:pPr>
              <w:spacing w:line="240" w:lineRule="auto"/>
              <w:ind w:firstLine="0" w:firstLineChars="0"/>
              <w:jc w:val="center"/>
              <w:rPr>
                <w:rFonts w:hint="eastAsia"/>
                <w:bCs/>
                <w:sz w:val="21"/>
                <w:szCs w:val="21"/>
                <w:u w:val="single"/>
                <w:vertAlign w:val="baseline"/>
                <w:lang w:val="en-US" w:eastAsia="zh-CN"/>
              </w:rPr>
            </w:pPr>
            <w:r>
              <w:rPr>
                <w:rFonts w:hint="default" w:ascii="Times New Roman" w:hAnsi="Times New Roman" w:eastAsia="宋体" w:cs="Times New Roman"/>
                <w:color w:val="auto"/>
                <w:sz w:val="21"/>
                <w:szCs w:val="21"/>
                <w:u w:val="single"/>
                <w:lang w:val="en-US" w:eastAsia="zh-CN"/>
              </w:rPr>
              <w:t>200</w:t>
            </w:r>
          </w:p>
        </w:tc>
        <w:tc>
          <w:tcPr>
            <w:tcW w:w="1494" w:type="dxa"/>
            <w:vMerge w:val="continue"/>
            <w:vAlign w:val="center"/>
          </w:tcPr>
          <w:p>
            <w:pPr>
              <w:spacing w:line="276" w:lineRule="auto"/>
              <w:jc w:val="both"/>
              <w:rPr>
                <w:rFonts w:hint="eastAsia"/>
                <w:bCs/>
                <w:sz w:val="21"/>
                <w:szCs w:val="21"/>
                <w:u w:val="single"/>
                <w:vertAlign w:val="baseline"/>
                <w:lang w:val="en-US" w:eastAsia="zh-CN"/>
              </w:rPr>
            </w:pPr>
          </w:p>
        </w:tc>
        <w:tc>
          <w:tcPr>
            <w:tcW w:w="1837"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7</w:t>
            </w:r>
          </w:p>
        </w:tc>
        <w:tc>
          <w:tcPr>
            <w:tcW w:w="2653" w:type="dxa"/>
            <w:vAlign w:val="center"/>
          </w:tcPr>
          <w:p>
            <w:pPr>
              <w:spacing w:line="240" w:lineRule="auto"/>
              <w:ind w:firstLine="0" w:firstLineChars="0"/>
              <w:jc w:val="center"/>
              <w:rPr>
                <w:rFonts w:hint="eastAsia" w:ascii="Times New Roman" w:hAnsi="Times New Roman"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仲丁威</w:t>
            </w:r>
          </w:p>
        </w:tc>
        <w:tc>
          <w:tcPr>
            <w:tcW w:w="1997" w:type="dxa"/>
            <w:vAlign w:val="center"/>
          </w:tcPr>
          <w:p>
            <w:pPr>
              <w:spacing w:line="240" w:lineRule="auto"/>
              <w:ind w:firstLine="0" w:firstLineChars="0"/>
              <w:jc w:val="center"/>
              <w:rPr>
                <w:rFonts w:hint="eastAsia"/>
                <w:bCs/>
                <w:sz w:val="21"/>
                <w:szCs w:val="21"/>
                <w:u w:val="single"/>
                <w:vertAlign w:val="baseline"/>
                <w:lang w:val="en-US" w:eastAsia="zh-CN"/>
              </w:rPr>
            </w:pPr>
            <w:r>
              <w:rPr>
                <w:rFonts w:hint="default" w:ascii="Times New Roman" w:hAnsi="Times New Roman" w:eastAsia="宋体" w:cs="Times New Roman"/>
                <w:color w:val="auto"/>
                <w:sz w:val="21"/>
                <w:szCs w:val="21"/>
                <w:u w:val="single"/>
                <w:lang w:val="en-US" w:eastAsia="zh-CN"/>
              </w:rPr>
              <w:t>200</w:t>
            </w:r>
          </w:p>
        </w:tc>
        <w:tc>
          <w:tcPr>
            <w:tcW w:w="1494" w:type="dxa"/>
            <w:vMerge w:val="continue"/>
            <w:vAlign w:val="center"/>
          </w:tcPr>
          <w:p>
            <w:pPr>
              <w:spacing w:line="276" w:lineRule="auto"/>
              <w:jc w:val="both"/>
              <w:rPr>
                <w:rFonts w:hint="eastAsia"/>
                <w:bCs/>
                <w:sz w:val="21"/>
                <w:szCs w:val="21"/>
                <w:u w:val="single"/>
                <w:vertAlign w:val="baseline"/>
                <w:lang w:val="en-US" w:eastAsia="zh-CN"/>
              </w:rPr>
            </w:pPr>
          </w:p>
        </w:tc>
        <w:tc>
          <w:tcPr>
            <w:tcW w:w="1837" w:type="dxa"/>
            <w:vAlign w:val="center"/>
          </w:tcPr>
          <w:p>
            <w:pPr>
              <w:spacing w:line="276" w:lineRule="auto"/>
              <w:ind w:left="0" w:leftChars="0" w:firstLine="0" w:firstLineChars="0"/>
              <w:jc w:val="center"/>
              <w:rPr>
                <w:rFonts w:hint="default"/>
                <w:bCs/>
                <w:sz w:val="21"/>
                <w:szCs w:val="21"/>
                <w:u w:val="single"/>
                <w:vertAlign w:val="baseline"/>
                <w:lang w:val="en-US" w:eastAsia="zh-CN"/>
              </w:rPr>
            </w:pPr>
            <w:r>
              <w:rPr>
                <w:rFonts w:hint="eastAsia"/>
                <w:bCs/>
                <w:sz w:val="21"/>
                <w:szCs w:val="21"/>
                <w:u w:val="singl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cs="Times New Roman"/>
                <w:color w:val="auto"/>
                <w:sz w:val="21"/>
                <w:szCs w:val="21"/>
                <w:u w:val="single"/>
                <w:lang w:val="en-US" w:eastAsia="zh-CN"/>
              </w:rPr>
            </w:pPr>
            <w:r>
              <w:rPr>
                <w:rFonts w:hint="eastAsia" w:cs="Times New Roman"/>
                <w:color w:val="auto"/>
                <w:sz w:val="21"/>
                <w:szCs w:val="21"/>
                <w:u w:val="single"/>
                <w:lang w:val="en-US" w:eastAsia="zh-CN"/>
              </w:rPr>
              <w:t>丙类仓库合计</w:t>
            </w:r>
          </w:p>
        </w:tc>
        <w:tc>
          <w:tcPr>
            <w:tcW w:w="1997" w:type="dxa"/>
            <w:vAlign w:val="center"/>
          </w:tcPr>
          <w:p>
            <w:pPr>
              <w:spacing w:line="276" w:lineRule="auto"/>
              <w:ind w:firstLine="630" w:firstLineChars="300"/>
              <w:jc w:val="both"/>
              <w:rPr>
                <w:rFonts w:hint="eastAsia"/>
                <w:bCs/>
                <w:sz w:val="21"/>
                <w:szCs w:val="21"/>
                <w:u w:val="single"/>
                <w:vertAlign w:val="baseline"/>
                <w:lang w:val="en-US" w:eastAsia="zh-CN"/>
              </w:rPr>
            </w:pPr>
            <w:r>
              <w:rPr>
                <w:rFonts w:hint="eastAsia"/>
                <w:bCs/>
                <w:sz w:val="21"/>
                <w:szCs w:val="21"/>
                <w:u w:val="single"/>
                <w:vertAlign w:val="baseline"/>
                <w:lang w:val="en-US" w:eastAsia="zh-CN"/>
              </w:rPr>
              <w:t>/</w:t>
            </w:r>
          </w:p>
        </w:tc>
        <w:tc>
          <w:tcPr>
            <w:tcW w:w="1494" w:type="dxa"/>
            <w:vAlign w:val="center"/>
          </w:tcPr>
          <w:p>
            <w:pPr>
              <w:spacing w:line="276" w:lineRule="auto"/>
              <w:ind w:firstLine="420" w:firstLineChars="200"/>
              <w:jc w:val="center"/>
              <w:rPr>
                <w:rFonts w:hint="eastAsia"/>
                <w:bCs/>
                <w:sz w:val="21"/>
                <w:szCs w:val="21"/>
                <w:u w:val="single"/>
                <w:vertAlign w:val="baseline"/>
                <w:lang w:val="en-US" w:eastAsia="zh-CN"/>
              </w:rPr>
            </w:pPr>
            <w:r>
              <w:rPr>
                <w:rFonts w:hint="eastAsia"/>
                <w:bCs/>
                <w:sz w:val="21"/>
                <w:szCs w:val="21"/>
                <w:u w:val="single"/>
                <w:vertAlign w:val="baseline"/>
                <w:lang w:val="en-US" w:eastAsia="zh-CN"/>
              </w:rPr>
              <w:t>/</w:t>
            </w:r>
          </w:p>
        </w:tc>
        <w:tc>
          <w:tcPr>
            <w:tcW w:w="1837" w:type="dxa"/>
            <w:vAlign w:val="center"/>
          </w:tcPr>
          <w:p>
            <w:pPr>
              <w:spacing w:line="276" w:lineRule="auto"/>
              <w:ind w:left="0" w:leftChars="0" w:firstLine="0" w:firstLineChars="0"/>
              <w:jc w:val="both"/>
              <w:rPr>
                <w:rFonts w:hint="default"/>
                <w:bCs/>
                <w:sz w:val="21"/>
                <w:szCs w:val="21"/>
                <w:u w:val="single"/>
                <w:vertAlign w:val="baseline"/>
                <w:lang w:val="en-US" w:eastAsia="zh-CN"/>
              </w:rPr>
            </w:pPr>
            <w:r>
              <w:rPr>
                <w:rFonts w:hint="eastAsia"/>
                <w:bCs/>
                <w:sz w:val="21"/>
                <w:szCs w:val="21"/>
                <w:u w:val="single"/>
                <w:vertAlign w:val="baseline"/>
                <w:lang w:val="en-US" w:eastAsia="zh-CN"/>
              </w:rPr>
              <w:t>16.124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0" w:type="dxa"/>
            <w:gridSpan w:val="5"/>
            <w:vAlign w:val="center"/>
          </w:tcPr>
          <w:p>
            <w:pPr>
              <w:spacing w:line="276" w:lineRule="auto"/>
              <w:ind w:left="0" w:leftChars="0" w:firstLine="0" w:firstLineChars="0"/>
              <w:jc w:val="both"/>
              <w:rPr>
                <w:rFonts w:hint="eastAsia"/>
                <w:bCs/>
                <w:sz w:val="21"/>
                <w:szCs w:val="21"/>
                <w:vertAlign w:val="baseline"/>
                <w:lang w:val="en-US" w:eastAsia="zh-CN"/>
              </w:rPr>
            </w:pPr>
            <w:r>
              <w:rPr>
                <w:rFonts w:hint="eastAsia"/>
                <w:bCs/>
                <w:sz w:val="21"/>
                <w:szCs w:val="21"/>
                <w:vertAlign w:val="baseline"/>
                <w:lang w:val="en-US" w:eastAsia="zh-CN"/>
              </w:rPr>
              <w:t>备注：结合本项目特点，本项目对具有明确物质名称的按照《建设项目环境风险评价技术导则》（HJ169-2018）附录B 表B.1突发环境事件风险物质及临界量表判定，对于无具体成分名称的按照表B.2其他危险物质临界量表判定。除具有具体名称的危险物质外，其他危险废物主要以健康危险急性毒性物质（类别2、类别3）及危害水环境物质（急性毒性类别1），按最大不利影响考虑，最大临界量按50t考虑。</w:t>
            </w:r>
          </w:p>
        </w:tc>
      </w:tr>
    </w:tbl>
    <w:p>
      <w:pPr>
        <w:spacing w:line="276" w:lineRule="auto"/>
        <w:ind w:left="0" w:leftChars="0" w:firstLine="420" w:firstLineChars="200"/>
        <w:rPr>
          <w:rFonts w:hint="eastAsia"/>
          <w:bCs/>
          <w:color w:val="auto"/>
          <w:sz w:val="21"/>
          <w:szCs w:val="21"/>
        </w:rPr>
      </w:pPr>
      <w:r>
        <w:rPr>
          <w:rFonts w:hint="eastAsia"/>
          <w:bCs/>
          <w:color w:val="auto"/>
          <w:sz w:val="21"/>
          <w:szCs w:val="21"/>
        </w:rPr>
        <w:t>据上</w:t>
      </w:r>
      <w:r>
        <w:rPr>
          <w:rFonts w:hint="eastAsia"/>
          <w:bCs/>
          <w:color w:val="auto"/>
          <w:sz w:val="21"/>
          <w:szCs w:val="21"/>
          <w:lang w:eastAsia="zh-CN"/>
        </w:rPr>
        <w:t>表</w:t>
      </w:r>
      <w:r>
        <w:rPr>
          <w:rFonts w:hint="eastAsia"/>
          <w:bCs/>
          <w:color w:val="auto"/>
          <w:sz w:val="21"/>
          <w:szCs w:val="21"/>
        </w:rPr>
        <w:t>，本项目</w:t>
      </w:r>
      <w:r>
        <w:rPr>
          <w:rFonts w:hint="eastAsia"/>
          <w:bCs/>
          <w:color w:val="auto"/>
          <w:sz w:val="21"/>
          <w:szCs w:val="21"/>
          <w:lang w:eastAsia="zh-CN"/>
        </w:rPr>
        <w:t>所涉及的风险物质</w:t>
      </w:r>
      <w:r>
        <w:rPr>
          <w:rFonts w:hint="eastAsia"/>
          <w:bCs/>
          <w:color w:val="auto"/>
          <w:sz w:val="21"/>
          <w:szCs w:val="21"/>
        </w:rPr>
        <w:t>q/Q值</w:t>
      </w:r>
      <w:r>
        <w:rPr>
          <w:rFonts w:hint="eastAsia"/>
          <w:bCs/>
          <w:color w:val="auto"/>
          <w:sz w:val="21"/>
          <w:szCs w:val="21"/>
          <w:lang w:eastAsia="zh-CN"/>
        </w:rPr>
        <w:t>之和为</w:t>
      </w:r>
      <w:r>
        <w:rPr>
          <w:rFonts w:hint="eastAsia"/>
          <w:bCs/>
          <w:color w:val="auto"/>
          <w:sz w:val="21"/>
          <w:szCs w:val="21"/>
          <w:lang w:val="en-US" w:eastAsia="zh-CN"/>
        </w:rPr>
        <w:t>16.124</w:t>
      </w:r>
      <w:r>
        <w:rPr>
          <w:rFonts w:hint="eastAsia"/>
          <w:bCs/>
          <w:color w:val="auto"/>
          <w:sz w:val="21"/>
          <w:szCs w:val="21"/>
        </w:rPr>
        <w:t>，</w:t>
      </w:r>
      <w:r>
        <w:rPr>
          <w:rFonts w:hint="eastAsia"/>
          <w:bCs/>
          <w:color w:val="auto"/>
          <w:sz w:val="21"/>
          <w:szCs w:val="21"/>
          <w:lang w:eastAsia="zh-CN"/>
        </w:rPr>
        <w:t>属于</w:t>
      </w:r>
      <w:r>
        <w:rPr>
          <w:rFonts w:hint="eastAsia"/>
          <w:snapToGrid w:val="0"/>
          <w:kern w:val="0"/>
          <w:szCs w:val="21"/>
        </w:rPr>
        <w:t>（2）10≤Q&lt;100</w:t>
      </w:r>
      <w:r>
        <w:rPr>
          <w:rFonts w:hint="eastAsia"/>
          <w:bCs/>
          <w:color w:val="auto"/>
          <w:sz w:val="21"/>
          <w:szCs w:val="21"/>
        </w:rPr>
        <w:t>。</w:t>
      </w:r>
    </w:p>
    <w:p>
      <w:pPr>
        <w:pStyle w:val="46"/>
        <w:tabs>
          <w:tab w:val="left" w:pos="6638"/>
        </w:tabs>
        <w:ind w:firstLine="0" w:firstLineChars="0"/>
        <w:rPr>
          <w:rStyle w:val="47"/>
          <w:b/>
          <w:sz w:val="21"/>
          <w:szCs w:val="21"/>
        </w:rPr>
      </w:pPr>
      <w:r>
        <w:rPr>
          <w:rStyle w:val="47"/>
          <w:rFonts w:hint="eastAsia"/>
          <w:b/>
          <w:sz w:val="21"/>
          <w:szCs w:val="21"/>
        </w:rPr>
        <w:t>3.2行业及生产工艺（M）</w:t>
      </w:r>
    </w:p>
    <w:p>
      <w:pPr>
        <w:pStyle w:val="6"/>
        <w:spacing w:line="360" w:lineRule="auto"/>
        <w:rPr>
          <w:snapToGrid w:val="0"/>
          <w:kern w:val="0"/>
          <w:szCs w:val="21"/>
        </w:rPr>
      </w:pPr>
      <w:r>
        <w:rPr>
          <w:rFonts w:hint="eastAsia"/>
          <w:snapToGrid w:val="0"/>
          <w:kern w:val="0"/>
          <w:szCs w:val="21"/>
        </w:rPr>
        <w:t>分析项目所属行业及生产工艺特点，按照表4评估生产工艺情况。具有多套工艺单元的项目，对每套生产工艺分别评分并求和。将M划分为（1）M＞20；（2）10＜M≤20；（3）5＜M≤10；（4）M=5，分别以M1、M2、M3、M4表示。</w:t>
      </w:r>
    </w:p>
    <w:p>
      <w:pPr>
        <w:keepNext/>
        <w:autoSpaceDE w:val="0"/>
        <w:autoSpaceDN w:val="0"/>
        <w:adjustRightInd w:val="0"/>
        <w:jc w:val="center"/>
        <w:rPr>
          <w:b/>
          <w:bCs/>
          <w:kern w:val="0"/>
          <w:szCs w:val="21"/>
        </w:rPr>
      </w:pPr>
      <w:r>
        <w:rPr>
          <w:rFonts w:hint="eastAsia"/>
          <w:b/>
          <w:bCs/>
          <w:kern w:val="0"/>
          <w:szCs w:val="21"/>
        </w:rPr>
        <w:t>表4</w:t>
      </w:r>
      <w:r>
        <w:rPr>
          <w:b/>
          <w:bCs/>
          <w:kern w:val="0"/>
          <w:szCs w:val="21"/>
        </w:rPr>
        <w:t xml:space="preserve"> </w:t>
      </w:r>
      <w:r>
        <w:rPr>
          <w:rFonts w:hint="eastAsia"/>
          <w:b/>
          <w:bCs/>
          <w:kern w:val="0"/>
          <w:szCs w:val="21"/>
        </w:rPr>
        <w:t xml:space="preserve"> 行业及生产工艺（M）</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6781"/>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行业</w:t>
            </w:r>
          </w:p>
        </w:tc>
        <w:tc>
          <w:tcPr>
            <w:tcW w:w="6378"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评估依据</w:t>
            </w:r>
          </w:p>
        </w:tc>
        <w:tc>
          <w:tcPr>
            <w:tcW w:w="1043"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restart"/>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石化、化工、医药、轻工、化纤、有色冶炼等</w:t>
            </w:r>
          </w:p>
        </w:tc>
        <w:tc>
          <w:tcPr>
            <w:tcW w:w="6378"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涉及光气及光气化工艺、电解工艺（氯碱）、氯化工艺、硝化工艺、合成氨工艺、裂解（裂化）工艺、孵化工艺、加氢工艺、重氮化工艺、氧化工艺、过氧化工艺、氨基化工艺、磺化工艺、聚合工艺、烷基化工艺、新型煤化工工艺、电石生产工艺、偶氮化工艺</w:t>
            </w:r>
          </w:p>
        </w:tc>
        <w:tc>
          <w:tcPr>
            <w:tcW w:w="1043"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p>
        </w:tc>
        <w:tc>
          <w:tcPr>
            <w:tcW w:w="6378"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无机酸制酸工艺、焦化工艺</w:t>
            </w:r>
          </w:p>
        </w:tc>
        <w:tc>
          <w:tcPr>
            <w:tcW w:w="1043"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p>
        </w:tc>
        <w:tc>
          <w:tcPr>
            <w:tcW w:w="6378"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其他高温或高压，且涉及危险物质的工艺过程</w:t>
            </w:r>
            <w:r>
              <w:rPr>
                <w:rFonts w:hint="eastAsia" w:ascii="Times New Roman" w:hAnsi="Times New Roman"/>
                <w:bCs/>
                <w:color w:val="000000" w:themeColor="text1"/>
                <w:szCs w:val="21"/>
                <w:vertAlign w:val="superscript"/>
                <w14:textFill>
                  <w14:solidFill>
                    <w14:schemeClr w14:val="tx1"/>
                  </w14:solidFill>
                </w14:textFill>
              </w:rPr>
              <w:t>a</w:t>
            </w:r>
            <w:r>
              <w:rPr>
                <w:rFonts w:hint="eastAsia" w:ascii="Times New Roman" w:hAnsi="Times New Roman"/>
                <w:bCs/>
                <w:color w:val="000000" w:themeColor="text1"/>
                <w:szCs w:val="21"/>
                <w14:textFill>
                  <w14:solidFill>
                    <w14:schemeClr w14:val="tx1"/>
                  </w14:solidFill>
                </w14:textFill>
              </w:rPr>
              <w:t>、</w:t>
            </w:r>
            <w:r>
              <w:rPr>
                <w:rFonts w:hint="eastAsia" w:ascii="Times New Roman" w:hAnsi="Times New Roman"/>
                <w:bCs/>
                <w:color w:val="FF0000"/>
                <w:szCs w:val="21"/>
              </w:rPr>
              <w:t>危险物质储存罐区</w:t>
            </w:r>
          </w:p>
        </w:tc>
        <w:tc>
          <w:tcPr>
            <w:tcW w:w="1043"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5/套（罐区）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管道、港口/码头等</w:t>
            </w:r>
          </w:p>
        </w:tc>
        <w:tc>
          <w:tcPr>
            <w:tcW w:w="6378"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涉及危险物质管道运输项目、港口/码头等</w:t>
            </w:r>
          </w:p>
        </w:tc>
        <w:tc>
          <w:tcPr>
            <w:tcW w:w="1043"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石油天然气</w:t>
            </w:r>
          </w:p>
        </w:tc>
        <w:tc>
          <w:tcPr>
            <w:tcW w:w="6378"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石油、天然气、页岩气开采（含净化）、气库（不含加气站的气库）、油库（不含加气站的油库）、油气管线</w:t>
            </w:r>
            <w:r>
              <w:rPr>
                <w:rFonts w:hint="eastAsia" w:ascii="Times New Roman" w:hAnsi="Times New Roman"/>
                <w:bCs/>
                <w:color w:val="000000" w:themeColor="text1"/>
                <w:kern w:val="0"/>
                <w:szCs w:val="21"/>
                <w:vertAlign w:val="superscript"/>
                <w14:textFill>
                  <w14:solidFill>
                    <w14:schemeClr w14:val="tx1"/>
                  </w14:solidFill>
                </w14:textFill>
              </w:rPr>
              <w:t>b</w:t>
            </w:r>
            <w:r>
              <w:rPr>
                <w:rFonts w:hint="eastAsia" w:ascii="Times New Roman" w:hAnsi="Times New Roman"/>
                <w:bCs/>
                <w:color w:val="000000" w:themeColor="text1"/>
                <w:kern w:val="0"/>
                <w:szCs w:val="21"/>
                <w14:textFill>
                  <w14:solidFill>
                    <w14:schemeClr w14:val="tx1"/>
                  </w14:solidFill>
                </w14:textFill>
              </w:rPr>
              <w:t>（不含城镇燃气管线）</w:t>
            </w:r>
          </w:p>
        </w:tc>
        <w:tc>
          <w:tcPr>
            <w:tcW w:w="1043"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其他</w:t>
            </w:r>
          </w:p>
        </w:tc>
        <w:tc>
          <w:tcPr>
            <w:tcW w:w="6378"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涉及危险物质使用、贮存的项目</w:t>
            </w:r>
          </w:p>
        </w:tc>
        <w:tc>
          <w:tcPr>
            <w:tcW w:w="1043"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3"/>
          </w:tcPr>
          <w:p>
            <w:pPr>
              <w:pStyle w:val="49"/>
              <w:adjustRightInd w:val="0"/>
              <w:snapToGrid w:val="0"/>
              <w:jc w:val="left"/>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vertAlign w:val="superscript"/>
                <w14:textFill>
                  <w14:solidFill>
                    <w14:schemeClr w14:val="tx1"/>
                  </w14:solidFill>
                </w14:textFill>
              </w:rPr>
              <w:t>a</w:t>
            </w:r>
            <w:r>
              <w:rPr>
                <w:rFonts w:hint="eastAsia" w:ascii="Times New Roman" w:hAnsi="Times New Roman"/>
                <w:bCs/>
                <w:color w:val="000000" w:themeColor="text1"/>
                <w:kern w:val="0"/>
                <w:szCs w:val="21"/>
                <w14:textFill>
                  <w14:solidFill>
                    <w14:schemeClr w14:val="tx1"/>
                  </w14:solidFill>
                </w14:textFill>
              </w:rPr>
              <w:t>高温指工艺温度≥300℃，高压指压力容器的设计压力（P）≥10.0MPa；</w:t>
            </w:r>
          </w:p>
          <w:p>
            <w:pPr>
              <w:pStyle w:val="49"/>
              <w:adjustRightInd w:val="0"/>
              <w:snapToGrid w:val="0"/>
              <w:jc w:val="left"/>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vertAlign w:val="superscript"/>
                <w14:textFill>
                  <w14:solidFill>
                    <w14:schemeClr w14:val="tx1"/>
                  </w14:solidFill>
                </w14:textFill>
              </w:rPr>
              <w:t>b</w:t>
            </w:r>
            <w:r>
              <w:rPr>
                <w:rFonts w:hint="eastAsia" w:ascii="Times New Roman" w:hAnsi="Times New Roman"/>
                <w:bCs/>
                <w:color w:val="000000" w:themeColor="text1"/>
                <w:kern w:val="0"/>
                <w:szCs w:val="21"/>
                <w14:textFill>
                  <w14:solidFill>
                    <w14:schemeClr w14:val="tx1"/>
                  </w14:solidFill>
                </w14:textFill>
              </w:rPr>
              <w:t>长输管道运输项目应按站场、管线分段进行评价</w:t>
            </w:r>
          </w:p>
        </w:tc>
      </w:tr>
    </w:tbl>
    <w:p>
      <w:pPr>
        <w:pStyle w:val="6"/>
        <w:spacing w:line="360" w:lineRule="auto"/>
        <w:rPr>
          <w:snapToGrid w:val="0"/>
          <w:kern w:val="0"/>
        </w:rPr>
      </w:pPr>
      <w:r>
        <w:rPr>
          <w:rFonts w:hint="eastAsia"/>
          <w:snapToGrid w:val="0"/>
          <w:kern w:val="0"/>
        </w:rPr>
        <w:t>本项目属于涉及危险物质使用、贮存的项目，因此M=5，属于M4。</w:t>
      </w:r>
    </w:p>
    <w:p>
      <w:pPr>
        <w:pStyle w:val="46"/>
        <w:tabs>
          <w:tab w:val="left" w:pos="6638"/>
        </w:tabs>
        <w:ind w:firstLine="0" w:firstLineChars="0"/>
        <w:rPr>
          <w:rStyle w:val="47"/>
          <w:b/>
          <w:sz w:val="21"/>
          <w:szCs w:val="21"/>
        </w:rPr>
      </w:pPr>
      <w:r>
        <w:rPr>
          <w:rStyle w:val="47"/>
          <w:rFonts w:hint="eastAsia"/>
          <w:b/>
          <w:sz w:val="21"/>
          <w:szCs w:val="21"/>
        </w:rPr>
        <w:t>3.3危险物质及工艺系统性（P）</w:t>
      </w:r>
    </w:p>
    <w:p>
      <w:pPr>
        <w:pStyle w:val="6"/>
        <w:spacing w:line="360" w:lineRule="auto"/>
        <w:rPr>
          <w:color w:val="000000"/>
          <w:szCs w:val="21"/>
        </w:rPr>
      </w:pPr>
      <w:r>
        <w:rPr>
          <w:rFonts w:hint="eastAsia"/>
          <w:snapToGrid w:val="0"/>
          <w:kern w:val="0"/>
          <w:szCs w:val="21"/>
        </w:rPr>
        <w:t>根据危险物质数量与临界值比值（Q）和行业及生产工艺（M），按照表确定危险物质及工艺系统危险性等级（P），分别以P1、P2、P3、P4表示。</w:t>
      </w:r>
    </w:p>
    <w:p>
      <w:pPr>
        <w:keepNext/>
        <w:autoSpaceDE w:val="0"/>
        <w:autoSpaceDN w:val="0"/>
        <w:adjustRightInd w:val="0"/>
        <w:jc w:val="center"/>
        <w:rPr>
          <w:b/>
          <w:bCs/>
          <w:kern w:val="0"/>
          <w:szCs w:val="21"/>
        </w:rPr>
      </w:pPr>
      <w:r>
        <w:rPr>
          <w:rFonts w:hint="eastAsia"/>
          <w:b/>
          <w:bCs/>
          <w:kern w:val="0"/>
          <w:szCs w:val="21"/>
        </w:rPr>
        <w:t>表5</w:t>
      </w:r>
      <w:r>
        <w:rPr>
          <w:b/>
          <w:bCs/>
          <w:kern w:val="0"/>
          <w:szCs w:val="21"/>
        </w:rPr>
        <w:t xml:space="preserve"> </w:t>
      </w:r>
      <w:r>
        <w:rPr>
          <w:rFonts w:hint="eastAsia"/>
          <w:b/>
          <w:bCs/>
          <w:kern w:val="0"/>
          <w:szCs w:val="21"/>
        </w:rPr>
        <w:t xml:space="preserve"> 行业及生产工艺（M）</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457"/>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restart"/>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危险物质数量与与临界值比值（Q）</w:t>
            </w:r>
          </w:p>
        </w:tc>
        <w:tc>
          <w:tcPr>
            <w:tcW w:w="6571" w:type="dxa"/>
            <w:gridSpan w:val="4"/>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行业及生产工艺（M）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p>
        </w:tc>
        <w:tc>
          <w:tcPr>
            <w:tcW w:w="1457" w:type="dxa"/>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M1</w:t>
            </w:r>
          </w:p>
        </w:tc>
        <w:tc>
          <w:tcPr>
            <w:tcW w:w="1704" w:type="dxa"/>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M2</w:t>
            </w:r>
          </w:p>
        </w:tc>
        <w:tc>
          <w:tcPr>
            <w:tcW w:w="1705" w:type="dxa"/>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M3</w:t>
            </w:r>
          </w:p>
        </w:tc>
        <w:tc>
          <w:tcPr>
            <w:tcW w:w="1705" w:type="dxa"/>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shd w:val="pct10" w:color="auto" w:fill="FFFFFF"/>
                <w14:textFill>
                  <w14:solidFill>
                    <w14:schemeClr w14:val="tx1"/>
                  </w14:solidFill>
                </w14:textFill>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Q≥100</w:t>
            </w:r>
          </w:p>
        </w:tc>
        <w:tc>
          <w:tcPr>
            <w:tcW w:w="1457" w:type="dxa"/>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P1</w:t>
            </w:r>
          </w:p>
        </w:tc>
        <w:tc>
          <w:tcPr>
            <w:tcW w:w="1704" w:type="dxa"/>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P1</w:t>
            </w:r>
          </w:p>
        </w:tc>
        <w:tc>
          <w:tcPr>
            <w:tcW w:w="1705" w:type="dxa"/>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P2</w:t>
            </w:r>
          </w:p>
        </w:tc>
        <w:tc>
          <w:tcPr>
            <w:tcW w:w="1705" w:type="dxa"/>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P3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shd w:val="pct10" w:color="auto" w:fill="FFFFFF"/>
                <w14:textFill>
                  <w14:solidFill>
                    <w14:schemeClr w14:val="tx1"/>
                  </w14:solidFill>
                </w14:textFill>
              </w:rPr>
              <w:t>10≤Q&lt;100</w:t>
            </w:r>
          </w:p>
        </w:tc>
        <w:tc>
          <w:tcPr>
            <w:tcW w:w="1457" w:type="dxa"/>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P1</w:t>
            </w:r>
          </w:p>
        </w:tc>
        <w:tc>
          <w:tcPr>
            <w:tcW w:w="1704" w:type="dxa"/>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P2</w:t>
            </w:r>
          </w:p>
        </w:tc>
        <w:tc>
          <w:tcPr>
            <w:tcW w:w="1705" w:type="dxa"/>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P3</w:t>
            </w:r>
          </w:p>
        </w:tc>
        <w:tc>
          <w:tcPr>
            <w:tcW w:w="1705" w:type="dxa"/>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shd w:val="pct10" w:color="auto" w:fill="FFFFFF"/>
                <w14:textFill>
                  <w14:solidFill>
                    <w14:schemeClr w14:val="tx1"/>
                  </w14:solidFill>
                </w14:textFill>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1≤Q&lt;10</w:t>
            </w:r>
          </w:p>
        </w:tc>
        <w:tc>
          <w:tcPr>
            <w:tcW w:w="1457" w:type="dxa"/>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P2</w:t>
            </w:r>
          </w:p>
        </w:tc>
        <w:tc>
          <w:tcPr>
            <w:tcW w:w="1704" w:type="dxa"/>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P3</w:t>
            </w:r>
          </w:p>
        </w:tc>
        <w:tc>
          <w:tcPr>
            <w:tcW w:w="1705" w:type="dxa"/>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P4</w:t>
            </w:r>
          </w:p>
        </w:tc>
        <w:tc>
          <w:tcPr>
            <w:tcW w:w="1705" w:type="dxa"/>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P4</w:t>
            </w:r>
          </w:p>
        </w:tc>
      </w:tr>
    </w:tbl>
    <w:p>
      <w:pPr>
        <w:pStyle w:val="6"/>
        <w:spacing w:line="360" w:lineRule="auto"/>
        <w:rPr>
          <w:rStyle w:val="47"/>
          <w:rFonts w:hint="eastAsia"/>
          <w:sz w:val="21"/>
          <w:szCs w:val="21"/>
        </w:rPr>
      </w:pPr>
      <w:r>
        <w:rPr>
          <w:rStyle w:val="47"/>
          <w:rFonts w:hint="eastAsia"/>
          <w:sz w:val="21"/>
          <w:szCs w:val="21"/>
        </w:rPr>
        <w:t>综上，本项目</w:t>
      </w:r>
      <w:r>
        <w:rPr>
          <w:rFonts w:hint="eastAsia"/>
          <w:snapToGrid w:val="0"/>
          <w:kern w:val="0"/>
          <w:szCs w:val="21"/>
        </w:rPr>
        <w:t>危险物质及工艺系统危险性等级</w:t>
      </w:r>
      <w:r>
        <w:rPr>
          <w:rStyle w:val="47"/>
          <w:rFonts w:hint="eastAsia"/>
          <w:sz w:val="21"/>
          <w:szCs w:val="21"/>
        </w:rPr>
        <w:t>属于P4。</w:t>
      </w:r>
    </w:p>
    <w:p>
      <w:pPr>
        <w:pStyle w:val="46"/>
        <w:tabs>
          <w:tab w:val="left" w:pos="6638"/>
        </w:tabs>
        <w:ind w:firstLine="0" w:firstLineChars="0"/>
        <w:rPr>
          <w:rStyle w:val="47"/>
          <w:b/>
          <w:sz w:val="21"/>
          <w:szCs w:val="21"/>
        </w:rPr>
      </w:pPr>
      <w:r>
        <w:rPr>
          <w:rStyle w:val="47"/>
          <w:rFonts w:hint="eastAsia"/>
          <w:b/>
          <w:sz w:val="21"/>
          <w:szCs w:val="21"/>
        </w:rPr>
        <w:t>3.4环境敏感程度（E）的分级</w:t>
      </w:r>
    </w:p>
    <w:p>
      <w:pPr>
        <w:pStyle w:val="46"/>
        <w:tabs>
          <w:tab w:val="left" w:pos="6638"/>
        </w:tabs>
        <w:ind w:firstLine="0" w:firstLineChars="0"/>
        <w:rPr>
          <w:rStyle w:val="47"/>
          <w:b/>
          <w:sz w:val="21"/>
          <w:szCs w:val="21"/>
        </w:rPr>
      </w:pPr>
      <w:r>
        <w:rPr>
          <w:rStyle w:val="47"/>
          <w:rFonts w:hint="eastAsia"/>
          <w:b/>
          <w:sz w:val="21"/>
          <w:szCs w:val="21"/>
        </w:rPr>
        <w:t>3.4.1 大气环境</w:t>
      </w:r>
    </w:p>
    <w:p>
      <w:pPr>
        <w:pStyle w:val="6"/>
        <w:spacing w:line="360" w:lineRule="auto"/>
        <w:rPr>
          <w:snapToGrid w:val="0"/>
          <w:kern w:val="0"/>
        </w:rPr>
      </w:pPr>
      <w:r>
        <w:rPr>
          <w:rFonts w:hint="eastAsia"/>
          <w:snapToGrid w:val="0"/>
          <w:kern w:val="0"/>
        </w:rPr>
        <w:t>依据环境敏感目标环境敏感性及人口密度划分环境风险受体的敏感性，共分为三种类型，E1为环境高度敏感区，E2为环境中度敏感区，E3为环境低度敏感区，分级原则见表6。</w:t>
      </w:r>
    </w:p>
    <w:p>
      <w:pPr>
        <w:keepNext/>
        <w:autoSpaceDE w:val="0"/>
        <w:autoSpaceDN w:val="0"/>
        <w:adjustRightInd w:val="0"/>
        <w:jc w:val="center"/>
        <w:rPr>
          <w:b/>
          <w:bCs/>
          <w:kern w:val="0"/>
          <w:szCs w:val="21"/>
        </w:rPr>
      </w:pPr>
      <w:r>
        <w:rPr>
          <w:b/>
          <w:bCs/>
          <w:kern w:val="0"/>
          <w:szCs w:val="21"/>
        </w:rPr>
        <w:t>表</w:t>
      </w:r>
      <w:r>
        <w:rPr>
          <w:rFonts w:hint="eastAsia"/>
          <w:b/>
          <w:bCs/>
          <w:kern w:val="0"/>
          <w:szCs w:val="21"/>
        </w:rPr>
        <w:t>6</w:t>
      </w:r>
      <w:r>
        <w:rPr>
          <w:b/>
          <w:bCs/>
          <w:kern w:val="0"/>
          <w:szCs w:val="21"/>
        </w:rPr>
        <w:t xml:space="preserve"> </w:t>
      </w:r>
      <w:r>
        <w:rPr>
          <w:rFonts w:hint="eastAsia"/>
          <w:b/>
          <w:bCs/>
          <w:kern w:val="0"/>
          <w:szCs w:val="21"/>
        </w:rPr>
        <w:t xml:space="preserve"> 大气环境敏感程度分级</w:t>
      </w:r>
      <w:r>
        <w:rPr>
          <w:b/>
          <w:bCs/>
          <w:kern w:val="0"/>
          <w:szCs w:val="21"/>
        </w:rPr>
        <w:t>表</w:t>
      </w:r>
    </w:p>
    <w:tbl>
      <w:tblPr>
        <w:tblStyle w:val="17"/>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7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3" w:type="dxa"/>
            <w:vAlign w:val="center"/>
          </w:tcPr>
          <w:p>
            <w:pPr>
              <w:pStyle w:val="50"/>
              <w:ind w:left="0" w:leftChars="0" w:firstLine="0" w:firstLineChars="0"/>
              <w:jc w:val="both"/>
              <w:rPr>
                <w:b/>
                <w:sz w:val="21"/>
                <w:szCs w:val="21"/>
              </w:rPr>
            </w:pPr>
            <w:r>
              <w:rPr>
                <w:rFonts w:hint="eastAsia"/>
                <w:b/>
                <w:sz w:val="21"/>
                <w:szCs w:val="21"/>
              </w:rPr>
              <w:t>分级</w:t>
            </w:r>
          </w:p>
        </w:tc>
        <w:tc>
          <w:tcPr>
            <w:tcW w:w="7895" w:type="dxa"/>
            <w:vAlign w:val="center"/>
          </w:tcPr>
          <w:p>
            <w:pPr>
              <w:pStyle w:val="50"/>
              <w:rPr>
                <w:b/>
                <w:sz w:val="21"/>
                <w:szCs w:val="21"/>
              </w:rPr>
            </w:pPr>
            <w:r>
              <w:rPr>
                <w:rFonts w:hint="eastAsia"/>
                <w:b/>
                <w:sz w:val="21"/>
                <w:szCs w:val="21"/>
              </w:rPr>
              <w:t>大气环境敏感性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sz w:val="21"/>
                <w:szCs w:val="21"/>
              </w:rPr>
            </w:pPr>
            <w:r>
              <w:rPr>
                <w:rFonts w:hint="eastAsia"/>
                <w:sz w:val="21"/>
                <w:szCs w:val="21"/>
              </w:rPr>
              <w:t>E</w:t>
            </w:r>
            <w:r>
              <w:rPr>
                <w:sz w:val="21"/>
                <w:szCs w:val="21"/>
              </w:rPr>
              <w:t>1</w:t>
            </w:r>
          </w:p>
        </w:tc>
        <w:tc>
          <w:tcPr>
            <w:tcW w:w="7895" w:type="dxa"/>
            <w:vAlign w:val="center"/>
          </w:tcPr>
          <w:p>
            <w:pPr>
              <w:pStyle w:val="50"/>
              <w:spacing w:line="240" w:lineRule="auto"/>
              <w:rPr>
                <w:sz w:val="21"/>
                <w:szCs w:val="21"/>
              </w:rPr>
            </w:pPr>
            <w:r>
              <w:rPr>
                <w:rFonts w:hint="eastAsia"/>
                <w:sz w:val="21"/>
                <w:szCs w:val="21"/>
              </w:rPr>
              <w:t>周边5km范围内居民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3" w:type="dxa"/>
            <w:vAlign w:val="center"/>
          </w:tcPr>
          <w:p>
            <w:pPr>
              <w:pStyle w:val="50"/>
              <w:ind w:left="0" w:leftChars="0" w:firstLine="0" w:firstLineChars="0"/>
              <w:jc w:val="both"/>
              <w:rPr>
                <w:sz w:val="21"/>
                <w:szCs w:val="21"/>
              </w:rPr>
            </w:pPr>
            <w:r>
              <w:rPr>
                <w:rFonts w:hint="eastAsia"/>
                <w:sz w:val="21"/>
                <w:szCs w:val="21"/>
              </w:rPr>
              <w:t>E</w:t>
            </w:r>
            <w:r>
              <w:rPr>
                <w:sz w:val="21"/>
                <w:szCs w:val="21"/>
              </w:rPr>
              <w:t>2</w:t>
            </w:r>
          </w:p>
        </w:tc>
        <w:tc>
          <w:tcPr>
            <w:tcW w:w="7895" w:type="dxa"/>
            <w:vAlign w:val="center"/>
          </w:tcPr>
          <w:p>
            <w:pPr>
              <w:pStyle w:val="50"/>
              <w:spacing w:line="240" w:lineRule="auto"/>
              <w:rPr>
                <w:sz w:val="21"/>
                <w:szCs w:val="21"/>
              </w:rPr>
            </w:pPr>
            <w:r>
              <w:rPr>
                <w:rFonts w:hint="eastAsia"/>
                <w:sz w:val="21"/>
                <w:szCs w:val="21"/>
              </w:rPr>
              <w:t>周边5km范围内居民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kern w:val="0"/>
                <w:sz w:val="21"/>
                <w:szCs w:val="21"/>
              </w:rPr>
            </w:pPr>
            <w:r>
              <w:rPr>
                <w:rFonts w:hint="eastAsia"/>
                <w:kern w:val="0"/>
                <w:sz w:val="21"/>
                <w:szCs w:val="21"/>
              </w:rPr>
              <w:t>E3</w:t>
            </w:r>
          </w:p>
        </w:tc>
        <w:tc>
          <w:tcPr>
            <w:tcW w:w="7895" w:type="dxa"/>
            <w:vAlign w:val="center"/>
          </w:tcPr>
          <w:p>
            <w:pPr>
              <w:pStyle w:val="50"/>
              <w:spacing w:line="240" w:lineRule="auto"/>
              <w:rPr>
                <w:kern w:val="0"/>
                <w:sz w:val="21"/>
                <w:szCs w:val="21"/>
              </w:rPr>
            </w:pPr>
            <w:r>
              <w:rPr>
                <w:rFonts w:hint="eastAsia"/>
                <w:sz w:val="21"/>
                <w:szCs w:val="21"/>
              </w:rPr>
              <w:t>周边5km范围内居民区、医疗卫生、文化教育、科研、行政办公等机构人口总数小于1万人；或周边500m范围内人口总数小于500人；油气、化学品输送管线管段周边200m范围内，每千米管段人口数小于100人</w:t>
            </w:r>
          </w:p>
        </w:tc>
      </w:tr>
    </w:tbl>
    <w:p>
      <w:pPr>
        <w:pStyle w:val="6"/>
        <w:spacing w:line="360" w:lineRule="auto"/>
        <w:rPr>
          <w:rStyle w:val="47"/>
          <w:b/>
          <w:sz w:val="21"/>
          <w:szCs w:val="21"/>
        </w:rPr>
      </w:pPr>
      <w:r>
        <w:rPr>
          <w:rFonts w:hint="eastAsia"/>
          <w:snapToGrid w:val="0"/>
          <w:kern w:val="0"/>
        </w:rPr>
        <w:t>本项目周边5km范围内居民区、医疗卫生、文化教育、科研、行政办公等机构人口总数大于5万人，因此大气环境敏感程度为E1，为环境高度敏感区。</w:t>
      </w:r>
    </w:p>
    <w:p>
      <w:pPr>
        <w:pStyle w:val="46"/>
        <w:tabs>
          <w:tab w:val="left" w:pos="6638"/>
        </w:tabs>
        <w:ind w:firstLine="0" w:firstLineChars="0"/>
        <w:rPr>
          <w:rStyle w:val="47"/>
          <w:b/>
          <w:sz w:val="21"/>
          <w:szCs w:val="21"/>
        </w:rPr>
      </w:pPr>
      <w:r>
        <w:rPr>
          <w:rStyle w:val="47"/>
          <w:rFonts w:hint="eastAsia"/>
          <w:b/>
          <w:sz w:val="21"/>
          <w:szCs w:val="21"/>
        </w:rPr>
        <w:t>3.4.2 地表水环境</w:t>
      </w:r>
    </w:p>
    <w:p>
      <w:pPr>
        <w:pStyle w:val="6"/>
        <w:spacing w:line="360" w:lineRule="auto"/>
        <w:rPr>
          <w:snapToGrid w:val="0"/>
          <w:kern w:val="0"/>
        </w:rPr>
      </w:pPr>
      <w:r>
        <w:rPr>
          <w:rFonts w:hint="eastAsia"/>
          <w:snapToGrid w:val="0"/>
          <w:kern w:val="0"/>
        </w:rPr>
        <w:t>依据事故情况下危险物质泄</w:t>
      </w:r>
      <w:r>
        <w:rPr>
          <w:rFonts w:hint="eastAsia"/>
          <w:snapToGrid w:val="0"/>
          <w:kern w:val="0"/>
          <w:lang w:eastAsia="zh-CN"/>
        </w:rPr>
        <w:t>漏</w:t>
      </w:r>
      <w:r>
        <w:rPr>
          <w:rFonts w:hint="eastAsia"/>
          <w:snapToGrid w:val="0"/>
          <w:kern w:val="0"/>
        </w:rPr>
        <w:t>到水体的排放点受纳地表水体功能敏感性，与下游环境敏感目标情况，共分为三种类型，E1为环境高度敏感区，E2为环境中度敏感区，E3为环境低度敏感区，分级原则见表7，其中地表水功能敏感性分区和环境敏感目标分级分别见表8和表9。</w:t>
      </w:r>
    </w:p>
    <w:p>
      <w:pPr>
        <w:keepNext/>
        <w:autoSpaceDE w:val="0"/>
        <w:autoSpaceDN w:val="0"/>
        <w:adjustRightInd w:val="0"/>
        <w:jc w:val="center"/>
        <w:rPr>
          <w:b/>
          <w:bCs/>
          <w:kern w:val="0"/>
          <w:sz w:val="21"/>
          <w:szCs w:val="21"/>
        </w:rPr>
      </w:pPr>
      <w:r>
        <w:rPr>
          <w:rFonts w:hint="eastAsia"/>
          <w:b/>
          <w:bCs/>
          <w:kern w:val="0"/>
          <w:sz w:val="21"/>
          <w:szCs w:val="21"/>
        </w:rPr>
        <w:t>表7</w:t>
      </w:r>
      <w:r>
        <w:rPr>
          <w:b/>
          <w:bCs/>
          <w:kern w:val="0"/>
          <w:sz w:val="21"/>
          <w:szCs w:val="21"/>
        </w:rPr>
        <w:t xml:space="preserve"> </w:t>
      </w:r>
      <w:r>
        <w:rPr>
          <w:rFonts w:hint="eastAsia"/>
          <w:b/>
          <w:bCs/>
          <w:kern w:val="0"/>
          <w:sz w:val="21"/>
          <w:szCs w:val="21"/>
        </w:rPr>
        <w:t xml:space="preserve"> 地表水环境敏感程度分级表</w:t>
      </w:r>
    </w:p>
    <w:tbl>
      <w:tblPr>
        <w:tblStyle w:val="17"/>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1842"/>
        <w:gridCol w:w="2154"/>
        <w:gridCol w:w="2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restart"/>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环境敏感目标</w:t>
            </w:r>
          </w:p>
        </w:tc>
        <w:tc>
          <w:tcPr>
            <w:tcW w:w="4866" w:type="dxa"/>
            <w:gridSpan w:val="3"/>
            <w:vAlign w:val="center"/>
          </w:tcPr>
          <w:p>
            <w:pPr>
              <w:pStyle w:val="49"/>
              <w:adjustRightInd w:val="0"/>
              <w:snapToGrid w:val="0"/>
              <w:jc w:val="center"/>
              <w:rPr>
                <w:rFonts w:ascii="Times New Roman" w:hAnsi="Times New Roman"/>
                <w:b/>
                <w:bCs/>
                <w:color w:val="000000" w:themeColor="text1"/>
                <w:kern w:val="0"/>
                <w:sz w:val="20"/>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地表水功能敏感性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continue"/>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p>
        </w:tc>
        <w:tc>
          <w:tcPr>
            <w:tcW w:w="1457"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F1</w:t>
            </w:r>
          </w:p>
        </w:tc>
        <w:tc>
          <w:tcPr>
            <w:tcW w:w="1704"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F2</w:t>
            </w:r>
          </w:p>
        </w:tc>
        <w:tc>
          <w:tcPr>
            <w:tcW w:w="1705"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shd w:val="pct10" w:color="auto" w:fill="FFFFFF"/>
                <w14:textFill>
                  <w14:solidFill>
                    <w14:schemeClr w14:val="tx1"/>
                  </w14:solidFill>
                </w14:textFill>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S1</w:t>
            </w:r>
          </w:p>
        </w:tc>
        <w:tc>
          <w:tcPr>
            <w:tcW w:w="1457"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E1</w:t>
            </w:r>
          </w:p>
        </w:tc>
        <w:tc>
          <w:tcPr>
            <w:tcW w:w="1704"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E1</w:t>
            </w:r>
          </w:p>
        </w:tc>
        <w:tc>
          <w:tcPr>
            <w:tcW w:w="1705"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S2</w:t>
            </w:r>
          </w:p>
        </w:tc>
        <w:tc>
          <w:tcPr>
            <w:tcW w:w="1457"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E1</w:t>
            </w:r>
          </w:p>
        </w:tc>
        <w:tc>
          <w:tcPr>
            <w:tcW w:w="1704"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E2</w:t>
            </w:r>
          </w:p>
        </w:tc>
        <w:tc>
          <w:tcPr>
            <w:tcW w:w="1705"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S3</w:t>
            </w:r>
          </w:p>
        </w:tc>
        <w:tc>
          <w:tcPr>
            <w:tcW w:w="1457"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E2</w:t>
            </w:r>
          </w:p>
        </w:tc>
        <w:tc>
          <w:tcPr>
            <w:tcW w:w="1704"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E3</w:t>
            </w:r>
          </w:p>
        </w:tc>
        <w:tc>
          <w:tcPr>
            <w:tcW w:w="1705"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E3</w:t>
            </w:r>
          </w:p>
        </w:tc>
      </w:tr>
    </w:tbl>
    <w:p>
      <w:pPr>
        <w:keepNext/>
        <w:autoSpaceDE w:val="0"/>
        <w:autoSpaceDN w:val="0"/>
        <w:adjustRightInd w:val="0"/>
        <w:spacing w:before="156" w:beforeLines="50"/>
        <w:jc w:val="center"/>
        <w:rPr>
          <w:b/>
          <w:bCs/>
          <w:kern w:val="0"/>
          <w:szCs w:val="21"/>
        </w:rPr>
      </w:pPr>
      <w:r>
        <w:rPr>
          <w:b/>
          <w:bCs/>
          <w:kern w:val="0"/>
          <w:sz w:val="21"/>
          <w:szCs w:val="21"/>
        </w:rPr>
        <w:t>表</w:t>
      </w:r>
      <w:r>
        <w:rPr>
          <w:rFonts w:hint="eastAsia"/>
          <w:b/>
          <w:bCs/>
          <w:kern w:val="0"/>
          <w:sz w:val="21"/>
          <w:szCs w:val="21"/>
        </w:rPr>
        <w:t>8</w:t>
      </w:r>
      <w:r>
        <w:rPr>
          <w:b/>
          <w:bCs/>
          <w:kern w:val="0"/>
          <w:sz w:val="21"/>
          <w:szCs w:val="21"/>
        </w:rPr>
        <w:t xml:space="preserve"> </w:t>
      </w:r>
      <w:r>
        <w:rPr>
          <w:rFonts w:hint="eastAsia"/>
          <w:b/>
          <w:bCs/>
          <w:kern w:val="0"/>
          <w:sz w:val="21"/>
          <w:szCs w:val="21"/>
        </w:rPr>
        <w:t xml:space="preserve"> 地表水功能敏感性分区表</w:t>
      </w:r>
    </w:p>
    <w:tbl>
      <w:tblPr>
        <w:tblStyle w:val="17"/>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7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b/>
                <w:sz w:val="21"/>
                <w:szCs w:val="21"/>
              </w:rPr>
            </w:pPr>
            <w:r>
              <w:rPr>
                <w:rFonts w:hint="eastAsia"/>
                <w:b/>
                <w:sz w:val="21"/>
                <w:szCs w:val="21"/>
              </w:rPr>
              <w:t>分级</w:t>
            </w:r>
          </w:p>
        </w:tc>
        <w:tc>
          <w:tcPr>
            <w:tcW w:w="7895" w:type="dxa"/>
            <w:vAlign w:val="center"/>
          </w:tcPr>
          <w:p>
            <w:pPr>
              <w:pStyle w:val="50"/>
              <w:rPr>
                <w:b/>
                <w:sz w:val="21"/>
                <w:szCs w:val="21"/>
              </w:rPr>
            </w:pPr>
            <w:r>
              <w:rPr>
                <w:rFonts w:hint="eastAsia"/>
                <w:b/>
                <w:sz w:val="21"/>
                <w:szCs w:val="21"/>
              </w:rPr>
              <w:t>地表水环境敏感特征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spacing w:line="240" w:lineRule="auto"/>
              <w:ind w:left="0" w:leftChars="0" w:firstLine="0" w:firstLineChars="0"/>
              <w:jc w:val="both"/>
              <w:rPr>
                <w:sz w:val="21"/>
                <w:szCs w:val="21"/>
              </w:rPr>
            </w:pPr>
            <w:r>
              <w:rPr>
                <w:rFonts w:hint="eastAsia"/>
                <w:sz w:val="21"/>
                <w:szCs w:val="21"/>
              </w:rPr>
              <w:t>敏感F</w:t>
            </w:r>
            <w:r>
              <w:rPr>
                <w:sz w:val="21"/>
                <w:szCs w:val="21"/>
              </w:rPr>
              <w:t>1</w:t>
            </w:r>
          </w:p>
        </w:tc>
        <w:tc>
          <w:tcPr>
            <w:tcW w:w="7895" w:type="dxa"/>
            <w:vAlign w:val="center"/>
          </w:tcPr>
          <w:p>
            <w:pPr>
              <w:pStyle w:val="50"/>
              <w:spacing w:line="240" w:lineRule="auto"/>
              <w:rPr>
                <w:sz w:val="21"/>
                <w:szCs w:val="21"/>
              </w:rPr>
            </w:pPr>
            <w:r>
              <w:rPr>
                <w:rFonts w:hint="eastAsia"/>
                <w:sz w:val="21"/>
                <w:szCs w:val="21"/>
              </w:rPr>
              <w:t>排放点进入地表水水域环境功能为Ⅱ类及以上，或海水水质分类第一类；或以发生事故时，危险物质泄漏到水体的排放点算起，排放进入受纳河流最大流速时，24h流经范围内涉跨国界的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spacing w:line="240" w:lineRule="auto"/>
              <w:ind w:left="0" w:leftChars="0" w:firstLine="0" w:firstLineChars="0"/>
              <w:jc w:val="both"/>
              <w:rPr>
                <w:sz w:val="21"/>
                <w:szCs w:val="21"/>
              </w:rPr>
            </w:pPr>
            <w:r>
              <w:rPr>
                <w:rFonts w:hint="eastAsia"/>
                <w:sz w:val="21"/>
                <w:szCs w:val="21"/>
              </w:rPr>
              <w:t>较敏感F</w:t>
            </w:r>
            <w:r>
              <w:rPr>
                <w:sz w:val="21"/>
                <w:szCs w:val="21"/>
              </w:rPr>
              <w:t>2</w:t>
            </w:r>
          </w:p>
        </w:tc>
        <w:tc>
          <w:tcPr>
            <w:tcW w:w="7895" w:type="dxa"/>
            <w:vAlign w:val="center"/>
          </w:tcPr>
          <w:p>
            <w:pPr>
              <w:pStyle w:val="50"/>
              <w:spacing w:line="240" w:lineRule="auto"/>
              <w:rPr>
                <w:sz w:val="21"/>
                <w:szCs w:val="21"/>
              </w:rPr>
            </w:pPr>
            <w:r>
              <w:rPr>
                <w:rFonts w:hint="eastAsia"/>
                <w:sz w:val="21"/>
                <w:szCs w:val="21"/>
              </w:rPr>
              <w:t>排放点进入地表水水域环境功能为Ⅲ类，或海水水质分类第二类；或以发生事故时，危险物质泄漏到水体的排放点算起，排放进入受纳河流最大流速时，24h流经范围内涉跨省界的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spacing w:line="240" w:lineRule="auto"/>
              <w:ind w:left="0" w:leftChars="0" w:firstLine="0" w:firstLineChars="0"/>
              <w:jc w:val="both"/>
              <w:rPr>
                <w:kern w:val="0"/>
                <w:sz w:val="21"/>
                <w:szCs w:val="21"/>
              </w:rPr>
            </w:pPr>
            <w:r>
              <w:rPr>
                <w:rFonts w:hint="eastAsia"/>
                <w:kern w:val="0"/>
                <w:sz w:val="21"/>
                <w:szCs w:val="21"/>
                <w:shd w:val="pct10" w:color="auto" w:fill="FFFFFF"/>
              </w:rPr>
              <w:t>低敏感F3</w:t>
            </w:r>
          </w:p>
        </w:tc>
        <w:tc>
          <w:tcPr>
            <w:tcW w:w="7895" w:type="dxa"/>
            <w:vAlign w:val="center"/>
          </w:tcPr>
          <w:p>
            <w:pPr>
              <w:pStyle w:val="50"/>
              <w:rPr>
                <w:kern w:val="0"/>
                <w:sz w:val="21"/>
                <w:szCs w:val="21"/>
              </w:rPr>
            </w:pPr>
            <w:r>
              <w:rPr>
                <w:rFonts w:hint="eastAsia"/>
                <w:sz w:val="21"/>
                <w:szCs w:val="21"/>
              </w:rPr>
              <w:t>上述地区之外的其他地区</w:t>
            </w:r>
          </w:p>
        </w:tc>
      </w:tr>
    </w:tbl>
    <w:p>
      <w:pPr>
        <w:keepNext/>
        <w:autoSpaceDE w:val="0"/>
        <w:autoSpaceDN w:val="0"/>
        <w:adjustRightInd w:val="0"/>
        <w:spacing w:before="156" w:beforeLines="50"/>
        <w:jc w:val="center"/>
        <w:rPr>
          <w:b/>
          <w:bCs/>
          <w:kern w:val="0"/>
          <w:sz w:val="21"/>
          <w:szCs w:val="21"/>
        </w:rPr>
      </w:pPr>
      <w:r>
        <w:rPr>
          <w:b/>
          <w:bCs/>
          <w:kern w:val="0"/>
          <w:sz w:val="21"/>
          <w:szCs w:val="21"/>
        </w:rPr>
        <w:t>表</w:t>
      </w:r>
      <w:r>
        <w:rPr>
          <w:rFonts w:hint="eastAsia"/>
          <w:b/>
          <w:bCs/>
          <w:kern w:val="0"/>
          <w:sz w:val="21"/>
          <w:szCs w:val="21"/>
        </w:rPr>
        <w:t>9</w:t>
      </w:r>
      <w:r>
        <w:rPr>
          <w:b/>
          <w:bCs/>
          <w:kern w:val="0"/>
          <w:sz w:val="21"/>
          <w:szCs w:val="21"/>
        </w:rPr>
        <w:t xml:space="preserve"> </w:t>
      </w:r>
      <w:r>
        <w:rPr>
          <w:rFonts w:hint="eastAsia"/>
          <w:b/>
          <w:bCs/>
          <w:kern w:val="0"/>
          <w:sz w:val="21"/>
          <w:szCs w:val="21"/>
        </w:rPr>
        <w:t xml:space="preserve"> 环境敏感目标分级</w:t>
      </w:r>
      <w:r>
        <w:rPr>
          <w:b/>
          <w:bCs/>
          <w:kern w:val="0"/>
          <w:sz w:val="21"/>
          <w:szCs w:val="21"/>
        </w:rPr>
        <w:t>表</w:t>
      </w:r>
    </w:p>
    <w:tbl>
      <w:tblPr>
        <w:tblStyle w:val="17"/>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7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b/>
                <w:sz w:val="21"/>
                <w:szCs w:val="21"/>
              </w:rPr>
            </w:pPr>
            <w:r>
              <w:rPr>
                <w:rFonts w:hint="eastAsia"/>
                <w:b/>
                <w:sz w:val="21"/>
                <w:szCs w:val="21"/>
              </w:rPr>
              <w:t>分级</w:t>
            </w:r>
          </w:p>
        </w:tc>
        <w:tc>
          <w:tcPr>
            <w:tcW w:w="7895" w:type="dxa"/>
            <w:vAlign w:val="center"/>
          </w:tcPr>
          <w:p>
            <w:pPr>
              <w:pStyle w:val="50"/>
              <w:rPr>
                <w:b/>
                <w:sz w:val="21"/>
                <w:szCs w:val="21"/>
              </w:rPr>
            </w:pPr>
            <w:r>
              <w:rPr>
                <w:rFonts w:hint="eastAsia"/>
                <w:b/>
                <w:sz w:val="21"/>
                <w:szCs w:val="21"/>
              </w:rPr>
              <w:t>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sz w:val="21"/>
                <w:szCs w:val="21"/>
              </w:rPr>
            </w:pPr>
            <w:r>
              <w:rPr>
                <w:rFonts w:hint="eastAsia"/>
                <w:sz w:val="21"/>
                <w:szCs w:val="21"/>
              </w:rPr>
              <w:t>S</w:t>
            </w:r>
            <w:r>
              <w:rPr>
                <w:sz w:val="21"/>
                <w:szCs w:val="21"/>
              </w:rPr>
              <w:t>1</w:t>
            </w:r>
          </w:p>
        </w:tc>
        <w:tc>
          <w:tcPr>
            <w:tcW w:w="7895" w:type="dxa"/>
            <w:vAlign w:val="center"/>
          </w:tcPr>
          <w:p>
            <w:pPr>
              <w:pStyle w:val="50"/>
              <w:spacing w:line="240" w:lineRule="auto"/>
              <w:rPr>
                <w:sz w:val="21"/>
                <w:szCs w:val="21"/>
              </w:rPr>
            </w:pPr>
            <w:r>
              <w:rPr>
                <w:rFonts w:hint="eastAsia"/>
                <w:sz w:val="21"/>
                <w:szCs w:val="21"/>
              </w:rPr>
              <w:t>发生事故时，危险物质泄露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sz w:val="21"/>
                <w:szCs w:val="21"/>
              </w:rPr>
            </w:pPr>
            <w:r>
              <w:rPr>
                <w:rFonts w:hint="eastAsia"/>
                <w:sz w:val="21"/>
                <w:szCs w:val="21"/>
              </w:rPr>
              <w:t>S</w:t>
            </w:r>
            <w:r>
              <w:rPr>
                <w:sz w:val="21"/>
                <w:szCs w:val="21"/>
              </w:rPr>
              <w:t>2</w:t>
            </w:r>
          </w:p>
        </w:tc>
        <w:tc>
          <w:tcPr>
            <w:tcW w:w="7895" w:type="dxa"/>
            <w:vAlign w:val="center"/>
          </w:tcPr>
          <w:p>
            <w:pPr>
              <w:pStyle w:val="50"/>
              <w:spacing w:line="240" w:lineRule="auto"/>
              <w:rPr>
                <w:sz w:val="21"/>
                <w:szCs w:val="21"/>
              </w:rPr>
            </w:pPr>
            <w:r>
              <w:rPr>
                <w:rFonts w:hint="eastAsia"/>
                <w:sz w:val="21"/>
                <w:szCs w:val="21"/>
              </w:rPr>
              <w:t>发生事故时，危险物质泄漏到内陆水体的排放点下游（顺水流向）10km范围内、近岸海域一个潮周期水质点可能达到的最大水平距离的两倍范围内，有如下一类或多类环境风险受体：水产养殖区；天然渔场；森林公园；地质公园；海滨风景游览区；具有重要经济价值的海洋生物生存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kern w:val="0"/>
                <w:sz w:val="21"/>
                <w:szCs w:val="21"/>
              </w:rPr>
            </w:pPr>
            <w:r>
              <w:rPr>
                <w:rFonts w:hint="eastAsia"/>
                <w:kern w:val="0"/>
                <w:sz w:val="21"/>
                <w:szCs w:val="21"/>
              </w:rPr>
              <w:t>S3</w:t>
            </w:r>
          </w:p>
        </w:tc>
        <w:tc>
          <w:tcPr>
            <w:tcW w:w="7895" w:type="dxa"/>
            <w:vAlign w:val="center"/>
          </w:tcPr>
          <w:p>
            <w:pPr>
              <w:pStyle w:val="50"/>
              <w:spacing w:line="240" w:lineRule="auto"/>
              <w:rPr>
                <w:kern w:val="0"/>
                <w:sz w:val="21"/>
                <w:szCs w:val="21"/>
              </w:rPr>
            </w:pPr>
            <w:r>
              <w:rPr>
                <w:rFonts w:hint="eastAsia"/>
                <w:sz w:val="21"/>
                <w:szCs w:val="21"/>
              </w:rPr>
              <w:t>排放点下游（顺水流向）10km范围内、近岸海域一个潮周期水质点可能达到的最大水平距离的两倍范围内无上述类型1和类型2包括的敏感保护目标</w:t>
            </w:r>
          </w:p>
        </w:tc>
      </w:tr>
    </w:tbl>
    <w:p>
      <w:pPr>
        <w:pStyle w:val="6"/>
        <w:spacing w:line="360" w:lineRule="auto"/>
        <w:rPr>
          <w:rFonts w:hint="eastAsia"/>
          <w:snapToGrid w:val="0"/>
          <w:kern w:val="0"/>
        </w:rPr>
      </w:pPr>
      <w:r>
        <w:rPr>
          <w:rFonts w:hint="eastAsia"/>
          <w:snapToGrid w:val="0"/>
          <w:kern w:val="0"/>
        </w:rPr>
        <w:t>本项目地面硬化，</w:t>
      </w:r>
      <w:r>
        <w:rPr>
          <w:rFonts w:hint="eastAsia"/>
          <w:szCs w:val="21"/>
        </w:rPr>
        <w:t>所有</w:t>
      </w:r>
      <w:r>
        <w:rPr>
          <w:rFonts w:hint="eastAsia"/>
          <w:szCs w:val="21"/>
          <w:lang w:eastAsia="zh-CN"/>
        </w:rPr>
        <w:t>厂房</w:t>
      </w:r>
      <w:r>
        <w:rPr>
          <w:rFonts w:hint="eastAsia"/>
          <w:szCs w:val="21"/>
        </w:rPr>
        <w:t>地面和池体做好防渗漏措施</w:t>
      </w:r>
      <w:r>
        <w:rPr>
          <w:rFonts w:hint="eastAsia"/>
          <w:szCs w:val="21"/>
          <w:lang w:eastAsia="zh-CN"/>
        </w:rPr>
        <w:t>，</w:t>
      </w:r>
      <w:r>
        <w:rPr>
          <w:rFonts w:hint="eastAsia"/>
          <w:szCs w:val="21"/>
        </w:rPr>
        <w:t>“防扬散、防流失、防渗漏”的三防措施</w:t>
      </w:r>
      <w:r>
        <w:rPr>
          <w:rFonts w:hint="eastAsia"/>
          <w:snapToGrid w:val="0"/>
          <w:kern w:val="0"/>
        </w:rPr>
        <w:t>。同时设置</w:t>
      </w:r>
      <w:r>
        <w:rPr>
          <w:rFonts w:hint="eastAsia"/>
          <w:snapToGrid w:val="0"/>
          <w:kern w:val="0"/>
          <w:lang w:val="en-US" w:eastAsia="zh-CN"/>
        </w:rPr>
        <w:t>4</w:t>
      </w:r>
      <w:r>
        <w:rPr>
          <w:rFonts w:hint="eastAsia"/>
          <w:snapToGrid w:val="0"/>
          <w:kern w:val="0"/>
        </w:rPr>
        <w:t>m</w:t>
      </w:r>
      <w:r>
        <w:rPr>
          <w:rFonts w:hint="eastAsia"/>
          <w:snapToGrid w:val="0"/>
          <w:kern w:val="0"/>
          <w:vertAlign w:val="superscript"/>
        </w:rPr>
        <w:t>3</w:t>
      </w:r>
      <w:r>
        <w:rPr>
          <w:rFonts w:hint="eastAsia"/>
          <w:snapToGrid w:val="0"/>
          <w:kern w:val="0"/>
        </w:rPr>
        <w:t>应急</w:t>
      </w:r>
      <w:r>
        <w:rPr>
          <w:rFonts w:hint="eastAsia"/>
          <w:snapToGrid w:val="0"/>
          <w:kern w:val="0"/>
          <w:lang w:eastAsia="zh-CN"/>
        </w:rPr>
        <w:t>废液收集</w:t>
      </w:r>
      <w:r>
        <w:rPr>
          <w:rFonts w:hint="eastAsia"/>
          <w:snapToGrid w:val="0"/>
          <w:kern w:val="0"/>
        </w:rPr>
        <w:t>池，当发生危险废物泄</w:t>
      </w:r>
      <w:r>
        <w:rPr>
          <w:rFonts w:hint="eastAsia"/>
          <w:snapToGrid w:val="0"/>
          <w:kern w:val="0"/>
          <w:lang w:eastAsia="zh-CN"/>
        </w:rPr>
        <w:t>漏</w:t>
      </w:r>
      <w:r>
        <w:rPr>
          <w:rFonts w:hint="eastAsia"/>
          <w:snapToGrid w:val="0"/>
          <w:kern w:val="0"/>
        </w:rPr>
        <w:t>时，将危险废物导流至</w:t>
      </w:r>
      <w:r>
        <w:rPr>
          <w:rFonts w:hint="eastAsia"/>
          <w:snapToGrid w:val="0"/>
          <w:kern w:val="0"/>
          <w:lang w:eastAsia="zh-CN"/>
        </w:rPr>
        <w:t>废液收集</w:t>
      </w:r>
      <w:r>
        <w:rPr>
          <w:rFonts w:hint="eastAsia"/>
          <w:snapToGrid w:val="0"/>
          <w:kern w:val="0"/>
        </w:rPr>
        <w:t>池，用移动泵送至厂区污水处理站进行处理，不会</w:t>
      </w:r>
      <w:r>
        <w:rPr>
          <w:rFonts w:hint="eastAsia"/>
          <w:snapToGrid w:val="0"/>
          <w:kern w:val="0"/>
          <w:lang w:eastAsia="zh-CN"/>
        </w:rPr>
        <w:t>直接</w:t>
      </w:r>
      <w:r>
        <w:rPr>
          <w:rFonts w:hint="eastAsia"/>
          <w:snapToGrid w:val="0"/>
          <w:kern w:val="0"/>
        </w:rPr>
        <w:t>排入地表水水域，因此地表水环境敏感程度为E</w:t>
      </w:r>
      <w:r>
        <w:rPr>
          <w:rFonts w:hint="eastAsia"/>
          <w:snapToGrid w:val="0"/>
          <w:kern w:val="0"/>
          <w:lang w:val="en-US" w:eastAsia="zh-CN"/>
        </w:rPr>
        <w:t>2</w:t>
      </w:r>
      <w:r>
        <w:rPr>
          <w:rFonts w:hint="eastAsia"/>
          <w:snapToGrid w:val="0"/>
          <w:kern w:val="0"/>
        </w:rPr>
        <w:t>（地表水环境敏感特征为</w:t>
      </w:r>
      <w:r>
        <w:rPr>
          <w:rFonts w:hint="eastAsia"/>
          <w:snapToGrid w:val="0"/>
          <w:kern w:val="0"/>
          <w:lang w:eastAsia="zh-CN"/>
        </w:rPr>
        <w:t>低</w:t>
      </w:r>
      <w:r>
        <w:rPr>
          <w:rFonts w:hint="eastAsia"/>
          <w:snapToGrid w:val="0"/>
          <w:kern w:val="0"/>
        </w:rPr>
        <w:t>敏感F</w:t>
      </w:r>
      <w:r>
        <w:rPr>
          <w:rFonts w:hint="eastAsia"/>
          <w:snapToGrid w:val="0"/>
          <w:kern w:val="0"/>
          <w:lang w:val="en-US" w:eastAsia="zh-CN"/>
        </w:rPr>
        <w:t>3</w:t>
      </w:r>
      <w:r>
        <w:rPr>
          <w:rFonts w:hint="eastAsia"/>
          <w:snapToGrid w:val="0"/>
          <w:kern w:val="0"/>
        </w:rPr>
        <w:t>、环境敏感目标分级为</w:t>
      </w:r>
      <w:r>
        <w:rPr>
          <w:snapToGrid w:val="0"/>
          <w:kern w:val="0"/>
        </w:rPr>
        <w:t>S</w:t>
      </w:r>
      <w:r>
        <w:rPr>
          <w:rFonts w:hint="eastAsia"/>
          <w:snapToGrid w:val="0"/>
          <w:kern w:val="0"/>
          <w:lang w:val="en-US" w:eastAsia="zh-CN"/>
        </w:rPr>
        <w:t>1</w:t>
      </w:r>
      <w:r>
        <w:rPr>
          <w:rFonts w:hint="eastAsia"/>
          <w:snapToGrid w:val="0"/>
          <w:kern w:val="0"/>
        </w:rPr>
        <w:t>），为环境</w:t>
      </w:r>
      <w:r>
        <w:rPr>
          <w:rFonts w:hint="eastAsia"/>
          <w:snapToGrid w:val="0"/>
          <w:kern w:val="0"/>
          <w:lang w:eastAsia="zh-CN"/>
        </w:rPr>
        <w:t>中度</w:t>
      </w:r>
      <w:r>
        <w:rPr>
          <w:rFonts w:hint="eastAsia"/>
          <w:snapToGrid w:val="0"/>
          <w:kern w:val="0"/>
        </w:rPr>
        <w:t>敏感区。</w:t>
      </w:r>
    </w:p>
    <w:p>
      <w:pPr>
        <w:pStyle w:val="46"/>
        <w:tabs>
          <w:tab w:val="left" w:pos="6638"/>
        </w:tabs>
        <w:ind w:firstLine="0" w:firstLineChars="0"/>
        <w:rPr>
          <w:rStyle w:val="47"/>
          <w:b/>
          <w:sz w:val="24"/>
          <w:szCs w:val="24"/>
        </w:rPr>
      </w:pPr>
      <w:r>
        <w:rPr>
          <w:rStyle w:val="47"/>
          <w:rFonts w:hint="eastAsia"/>
          <w:b/>
          <w:sz w:val="24"/>
          <w:szCs w:val="24"/>
        </w:rPr>
        <w:t>3.4.3 地下水环境</w:t>
      </w:r>
    </w:p>
    <w:p>
      <w:pPr>
        <w:pStyle w:val="6"/>
        <w:spacing w:line="360" w:lineRule="auto"/>
        <w:rPr>
          <w:snapToGrid w:val="0"/>
          <w:kern w:val="0"/>
        </w:rPr>
      </w:pPr>
      <w:r>
        <w:rPr>
          <w:rFonts w:hint="eastAsia"/>
          <w:snapToGrid w:val="0"/>
          <w:kern w:val="0"/>
        </w:rPr>
        <w:t>依据地下水功能敏感性与包气带防污性能，共分为三种类型，E1为环境高度敏感区，E2为环境中度敏感区，E3为环境低度敏感区，分级原则见表10，其中地下水功能敏感性分区和包气带防污性能分级分别见表11和表12。</w:t>
      </w:r>
    </w:p>
    <w:p>
      <w:pPr>
        <w:keepNext/>
        <w:autoSpaceDE w:val="0"/>
        <w:autoSpaceDN w:val="0"/>
        <w:adjustRightInd w:val="0"/>
        <w:jc w:val="center"/>
        <w:rPr>
          <w:b/>
          <w:bCs/>
          <w:kern w:val="0"/>
          <w:sz w:val="21"/>
          <w:szCs w:val="21"/>
        </w:rPr>
      </w:pPr>
      <w:r>
        <w:rPr>
          <w:rFonts w:hint="eastAsia"/>
          <w:b/>
          <w:bCs/>
          <w:kern w:val="0"/>
          <w:sz w:val="21"/>
          <w:szCs w:val="21"/>
        </w:rPr>
        <w:t>表10</w:t>
      </w:r>
      <w:r>
        <w:rPr>
          <w:b/>
          <w:bCs/>
          <w:kern w:val="0"/>
          <w:sz w:val="21"/>
          <w:szCs w:val="21"/>
        </w:rPr>
        <w:t xml:space="preserve"> </w:t>
      </w:r>
      <w:r>
        <w:rPr>
          <w:rFonts w:hint="eastAsia"/>
          <w:b/>
          <w:bCs/>
          <w:kern w:val="0"/>
          <w:sz w:val="21"/>
          <w:szCs w:val="21"/>
        </w:rPr>
        <w:t xml:space="preserve"> 地下水环境敏感程度分级表</w:t>
      </w:r>
    </w:p>
    <w:tbl>
      <w:tblPr>
        <w:tblStyle w:val="17"/>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1842"/>
        <w:gridCol w:w="2154"/>
        <w:gridCol w:w="2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restart"/>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包气带防污性能</w:t>
            </w:r>
          </w:p>
        </w:tc>
        <w:tc>
          <w:tcPr>
            <w:tcW w:w="4866" w:type="dxa"/>
            <w:gridSpan w:val="3"/>
            <w:vAlign w:val="center"/>
          </w:tcPr>
          <w:p>
            <w:pPr>
              <w:pStyle w:val="49"/>
              <w:adjustRightInd w:val="0"/>
              <w:snapToGrid w:val="0"/>
              <w:jc w:val="center"/>
              <w:rPr>
                <w:rFonts w:ascii="Times New Roman" w:hAnsi="Times New Roman"/>
                <w:b/>
                <w:bCs/>
                <w:color w:val="000000" w:themeColor="text1"/>
                <w:kern w:val="0"/>
                <w:sz w:val="20"/>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地下水功能敏感性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continue"/>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p>
        </w:tc>
        <w:tc>
          <w:tcPr>
            <w:tcW w:w="1457"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G1</w:t>
            </w:r>
          </w:p>
        </w:tc>
        <w:tc>
          <w:tcPr>
            <w:tcW w:w="1704"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G2</w:t>
            </w:r>
          </w:p>
        </w:tc>
        <w:tc>
          <w:tcPr>
            <w:tcW w:w="1705"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D1</w:t>
            </w:r>
          </w:p>
        </w:tc>
        <w:tc>
          <w:tcPr>
            <w:tcW w:w="1457"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E1</w:t>
            </w:r>
          </w:p>
        </w:tc>
        <w:tc>
          <w:tcPr>
            <w:tcW w:w="1704"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E1</w:t>
            </w:r>
          </w:p>
        </w:tc>
        <w:tc>
          <w:tcPr>
            <w:tcW w:w="1705"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D2</w:t>
            </w:r>
          </w:p>
        </w:tc>
        <w:tc>
          <w:tcPr>
            <w:tcW w:w="1457"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E1</w:t>
            </w:r>
          </w:p>
        </w:tc>
        <w:tc>
          <w:tcPr>
            <w:tcW w:w="1704"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E2</w:t>
            </w:r>
          </w:p>
        </w:tc>
        <w:tc>
          <w:tcPr>
            <w:tcW w:w="1705"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D3</w:t>
            </w:r>
          </w:p>
        </w:tc>
        <w:tc>
          <w:tcPr>
            <w:tcW w:w="1457"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E2</w:t>
            </w:r>
          </w:p>
        </w:tc>
        <w:tc>
          <w:tcPr>
            <w:tcW w:w="1704"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E3</w:t>
            </w:r>
          </w:p>
        </w:tc>
        <w:tc>
          <w:tcPr>
            <w:tcW w:w="1705"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E3</w:t>
            </w:r>
          </w:p>
        </w:tc>
      </w:tr>
    </w:tbl>
    <w:p>
      <w:pPr>
        <w:keepNext/>
        <w:autoSpaceDE w:val="0"/>
        <w:autoSpaceDN w:val="0"/>
        <w:adjustRightInd w:val="0"/>
        <w:spacing w:before="156" w:beforeLines="50"/>
        <w:jc w:val="center"/>
        <w:rPr>
          <w:b/>
          <w:bCs/>
          <w:kern w:val="0"/>
          <w:sz w:val="21"/>
          <w:szCs w:val="21"/>
        </w:rPr>
      </w:pPr>
      <w:r>
        <w:rPr>
          <w:b/>
          <w:bCs/>
          <w:kern w:val="0"/>
          <w:sz w:val="21"/>
          <w:szCs w:val="21"/>
        </w:rPr>
        <w:t>表</w:t>
      </w:r>
      <w:r>
        <w:rPr>
          <w:rFonts w:hint="eastAsia"/>
          <w:b/>
          <w:bCs/>
          <w:kern w:val="0"/>
          <w:sz w:val="21"/>
          <w:szCs w:val="21"/>
        </w:rPr>
        <w:t>11</w:t>
      </w:r>
      <w:r>
        <w:rPr>
          <w:b/>
          <w:bCs/>
          <w:kern w:val="0"/>
          <w:sz w:val="21"/>
          <w:szCs w:val="21"/>
        </w:rPr>
        <w:t xml:space="preserve"> </w:t>
      </w:r>
      <w:r>
        <w:rPr>
          <w:rFonts w:hint="eastAsia"/>
          <w:b/>
          <w:bCs/>
          <w:kern w:val="0"/>
          <w:sz w:val="21"/>
          <w:szCs w:val="21"/>
        </w:rPr>
        <w:t xml:space="preserve"> 地下水功能敏感性分区表</w:t>
      </w:r>
    </w:p>
    <w:tbl>
      <w:tblPr>
        <w:tblStyle w:val="17"/>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7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b/>
                <w:sz w:val="21"/>
                <w:szCs w:val="21"/>
              </w:rPr>
            </w:pPr>
            <w:r>
              <w:rPr>
                <w:rFonts w:hint="eastAsia"/>
                <w:b/>
                <w:sz w:val="21"/>
                <w:szCs w:val="21"/>
              </w:rPr>
              <w:t>分级</w:t>
            </w:r>
          </w:p>
        </w:tc>
        <w:tc>
          <w:tcPr>
            <w:tcW w:w="7895" w:type="dxa"/>
            <w:vAlign w:val="center"/>
          </w:tcPr>
          <w:p>
            <w:pPr>
              <w:pStyle w:val="50"/>
              <w:rPr>
                <w:b/>
                <w:sz w:val="21"/>
                <w:szCs w:val="21"/>
              </w:rPr>
            </w:pPr>
            <w:r>
              <w:rPr>
                <w:rFonts w:hint="eastAsia"/>
                <w:b/>
                <w:sz w:val="21"/>
                <w:szCs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spacing w:line="240" w:lineRule="auto"/>
              <w:ind w:left="0" w:leftChars="0" w:firstLine="0" w:firstLineChars="0"/>
              <w:jc w:val="both"/>
              <w:rPr>
                <w:sz w:val="21"/>
                <w:szCs w:val="21"/>
              </w:rPr>
            </w:pPr>
            <w:r>
              <w:rPr>
                <w:rFonts w:hint="eastAsia"/>
                <w:sz w:val="21"/>
                <w:szCs w:val="21"/>
              </w:rPr>
              <w:t>敏感G</w:t>
            </w:r>
            <w:r>
              <w:rPr>
                <w:sz w:val="21"/>
                <w:szCs w:val="21"/>
              </w:rPr>
              <w:t>1</w:t>
            </w:r>
          </w:p>
        </w:tc>
        <w:tc>
          <w:tcPr>
            <w:tcW w:w="7895" w:type="dxa"/>
            <w:vAlign w:val="center"/>
          </w:tcPr>
          <w:p>
            <w:pPr>
              <w:pStyle w:val="50"/>
              <w:spacing w:line="240" w:lineRule="auto"/>
              <w:rPr>
                <w:sz w:val="21"/>
                <w:szCs w:val="21"/>
              </w:rPr>
            </w:pPr>
            <w:r>
              <w:rPr>
                <w:rFonts w:hint="eastAsia"/>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sz w:val="21"/>
                <w:szCs w:val="21"/>
              </w:rPr>
            </w:pPr>
            <w:r>
              <w:rPr>
                <w:rFonts w:hint="eastAsia"/>
                <w:sz w:val="21"/>
                <w:szCs w:val="21"/>
              </w:rPr>
              <w:t>较敏感G</w:t>
            </w:r>
            <w:r>
              <w:rPr>
                <w:sz w:val="21"/>
                <w:szCs w:val="21"/>
              </w:rPr>
              <w:t>2</w:t>
            </w:r>
          </w:p>
        </w:tc>
        <w:tc>
          <w:tcPr>
            <w:tcW w:w="7895" w:type="dxa"/>
            <w:vAlign w:val="center"/>
          </w:tcPr>
          <w:p>
            <w:pPr>
              <w:pStyle w:val="50"/>
              <w:spacing w:line="240" w:lineRule="auto"/>
              <w:rPr>
                <w:sz w:val="21"/>
                <w:szCs w:val="21"/>
              </w:rPr>
            </w:pPr>
            <w:r>
              <w:rPr>
                <w:rFonts w:hint="eastAsia"/>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eastAsia"/>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kern w:val="0"/>
                <w:sz w:val="21"/>
                <w:szCs w:val="21"/>
              </w:rPr>
            </w:pPr>
            <w:r>
              <w:rPr>
                <w:rFonts w:hint="eastAsia"/>
                <w:kern w:val="0"/>
                <w:sz w:val="21"/>
                <w:szCs w:val="21"/>
              </w:rPr>
              <w:t>低敏感G3</w:t>
            </w:r>
          </w:p>
        </w:tc>
        <w:tc>
          <w:tcPr>
            <w:tcW w:w="7895" w:type="dxa"/>
            <w:vAlign w:val="center"/>
          </w:tcPr>
          <w:p>
            <w:pPr>
              <w:pStyle w:val="50"/>
              <w:rPr>
                <w:kern w:val="0"/>
                <w:sz w:val="21"/>
                <w:szCs w:val="21"/>
              </w:rPr>
            </w:pPr>
            <w:r>
              <w:rPr>
                <w:rFonts w:hint="eastAsia"/>
                <w:sz w:val="21"/>
                <w:szCs w:val="21"/>
              </w:rPr>
              <w:t>上述地区之外的其他地区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8" w:type="dxa"/>
            <w:gridSpan w:val="2"/>
            <w:vAlign w:val="center"/>
          </w:tcPr>
          <w:p>
            <w:pPr>
              <w:pStyle w:val="50"/>
              <w:spacing w:line="240" w:lineRule="auto"/>
              <w:jc w:val="left"/>
              <w:rPr>
                <w:kern w:val="0"/>
                <w:sz w:val="21"/>
                <w:szCs w:val="21"/>
              </w:rPr>
            </w:pPr>
            <w:r>
              <w:rPr>
                <w:rFonts w:hint="eastAsia"/>
                <w:sz w:val="21"/>
                <w:szCs w:val="21"/>
              </w:rPr>
              <w:t>环境敏感区</w:t>
            </w:r>
            <w:r>
              <w:rPr>
                <w:rFonts w:hint="eastAsia"/>
                <w:sz w:val="21"/>
                <w:szCs w:val="21"/>
                <w:vertAlign w:val="superscript"/>
              </w:rPr>
              <w:t>a</w:t>
            </w:r>
            <w:r>
              <w:rPr>
                <w:rFonts w:hint="eastAsia"/>
                <w:sz w:val="21"/>
                <w:szCs w:val="21"/>
              </w:rPr>
              <w:t>是指《建设项目环境影响评价分类管理名录》中所界定的涉及地下水的环境敏感区</w:t>
            </w:r>
          </w:p>
        </w:tc>
      </w:tr>
    </w:tbl>
    <w:p>
      <w:pPr>
        <w:keepNext/>
        <w:autoSpaceDE w:val="0"/>
        <w:autoSpaceDN w:val="0"/>
        <w:adjustRightInd w:val="0"/>
        <w:spacing w:before="156" w:beforeLines="50"/>
        <w:jc w:val="center"/>
        <w:rPr>
          <w:b/>
          <w:bCs/>
          <w:kern w:val="0"/>
          <w:szCs w:val="21"/>
        </w:rPr>
      </w:pPr>
      <w:r>
        <w:rPr>
          <w:b/>
          <w:bCs/>
          <w:kern w:val="0"/>
          <w:szCs w:val="21"/>
        </w:rPr>
        <w:t>表</w:t>
      </w:r>
      <w:r>
        <w:rPr>
          <w:rFonts w:hint="eastAsia"/>
          <w:b/>
          <w:bCs/>
          <w:kern w:val="0"/>
          <w:szCs w:val="21"/>
        </w:rPr>
        <w:t>12</w:t>
      </w:r>
      <w:r>
        <w:rPr>
          <w:b/>
          <w:bCs/>
          <w:kern w:val="0"/>
          <w:szCs w:val="21"/>
        </w:rPr>
        <w:t xml:space="preserve"> </w:t>
      </w:r>
      <w:r>
        <w:rPr>
          <w:rFonts w:hint="eastAsia"/>
          <w:b/>
          <w:bCs/>
          <w:kern w:val="0"/>
          <w:szCs w:val="21"/>
        </w:rPr>
        <w:t xml:space="preserve"> 环境敏感目标分级</w:t>
      </w:r>
      <w:r>
        <w:rPr>
          <w:b/>
          <w:bCs/>
          <w:kern w:val="0"/>
          <w:szCs w:val="21"/>
        </w:rPr>
        <w:t>表</w:t>
      </w:r>
    </w:p>
    <w:tbl>
      <w:tblPr>
        <w:tblStyle w:val="17"/>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7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b/>
                <w:sz w:val="21"/>
                <w:szCs w:val="21"/>
              </w:rPr>
            </w:pPr>
            <w:r>
              <w:rPr>
                <w:rFonts w:hint="eastAsia"/>
                <w:b/>
                <w:sz w:val="21"/>
                <w:szCs w:val="21"/>
              </w:rPr>
              <w:t>分级</w:t>
            </w:r>
          </w:p>
        </w:tc>
        <w:tc>
          <w:tcPr>
            <w:tcW w:w="7895" w:type="dxa"/>
            <w:vAlign w:val="center"/>
          </w:tcPr>
          <w:p>
            <w:pPr>
              <w:pStyle w:val="50"/>
              <w:rPr>
                <w:b/>
                <w:sz w:val="21"/>
                <w:szCs w:val="21"/>
              </w:rPr>
            </w:pPr>
            <w:r>
              <w:rPr>
                <w:rFonts w:hint="eastAsia"/>
                <w:b/>
                <w:sz w:val="21"/>
                <w:szCs w:val="21"/>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sz w:val="21"/>
                <w:szCs w:val="21"/>
              </w:rPr>
            </w:pPr>
            <w:r>
              <w:rPr>
                <w:rFonts w:hint="eastAsia"/>
                <w:sz w:val="21"/>
                <w:szCs w:val="21"/>
              </w:rPr>
              <w:t>D3</w:t>
            </w:r>
          </w:p>
        </w:tc>
        <w:tc>
          <w:tcPr>
            <w:tcW w:w="7895" w:type="dxa"/>
            <w:vAlign w:val="center"/>
          </w:tcPr>
          <w:p>
            <w:pPr>
              <w:pStyle w:val="50"/>
              <w:rPr>
                <w:sz w:val="21"/>
                <w:szCs w:val="21"/>
              </w:rPr>
            </w:pPr>
            <w:r>
              <w:rPr>
                <w:rFonts w:hint="eastAsia"/>
                <w:sz w:val="21"/>
                <w:szCs w:val="21"/>
              </w:rPr>
              <w:t>Mb≥1.0m，K≤1.0×10</w:t>
            </w:r>
            <w:r>
              <w:rPr>
                <w:rFonts w:hint="eastAsia"/>
                <w:sz w:val="21"/>
                <w:szCs w:val="21"/>
                <w:vertAlign w:val="superscript"/>
              </w:rPr>
              <w:t>-6</w:t>
            </w:r>
            <w:r>
              <w:rPr>
                <w:rFonts w:hint="eastAsia"/>
                <w:sz w:val="21"/>
                <w:szCs w:val="21"/>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sz w:val="21"/>
                <w:szCs w:val="21"/>
              </w:rPr>
            </w:pPr>
            <w:r>
              <w:rPr>
                <w:rFonts w:hint="eastAsia"/>
                <w:sz w:val="21"/>
                <w:szCs w:val="21"/>
              </w:rPr>
              <w:t>D</w:t>
            </w:r>
            <w:r>
              <w:rPr>
                <w:sz w:val="21"/>
                <w:szCs w:val="21"/>
              </w:rPr>
              <w:t>2</w:t>
            </w:r>
          </w:p>
        </w:tc>
        <w:tc>
          <w:tcPr>
            <w:tcW w:w="7895" w:type="dxa"/>
            <w:vAlign w:val="center"/>
          </w:tcPr>
          <w:p>
            <w:pPr>
              <w:pStyle w:val="50"/>
              <w:spacing w:line="240" w:lineRule="auto"/>
              <w:rPr>
                <w:sz w:val="21"/>
                <w:szCs w:val="21"/>
              </w:rPr>
            </w:pPr>
            <w:r>
              <w:rPr>
                <w:rFonts w:hint="eastAsia"/>
                <w:sz w:val="21"/>
                <w:szCs w:val="21"/>
              </w:rPr>
              <w:t>0.5m≤Mb＜1.0m，K≤1.0×10</w:t>
            </w:r>
            <w:r>
              <w:rPr>
                <w:rFonts w:hint="eastAsia"/>
                <w:sz w:val="21"/>
                <w:szCs w:val="21"/>
                <w:vertAlign w:val="superscript"/>
              </w:rPr>
              <w:t>-6</w:t>
            </w:r>
            <w:r>
              <w:rPr>
                <w:rFonts w:hint="eastAsia"/>
                <w:sz w:val="21"/>
                <w:szCs w:val="21"/>
              </w:rPr>
              <w:t>cm/s，且分布连续、稳定</w:t>
            </w:r>
          </w:p>
          <w:p>
            <w:pPr>
              <w:pStyle w:val="50"/>
              <w:spacing w:line="240" w:lineRule="auto"/>
              <w:rPr>
                <w:sz w:val="21"/>
                <w:szCs w:val="21"/>
              </w:rPr>
            </w:pPr>
            <w:r>
              <w:rPr>
                <w:rFonts w:hint="eastAsia"/>
                <w:sz w:val="21"/>
                <w:szCs w:val="21"/>
              </w:rPr>
              <w:t>Mb≥1.0m，1.0×10</w:t>
            </w:r>
            <w:r>
              <w:rPr>
                <w:rFonts w:hint="eastAsia"/>
                <w:sz w:val="21"/>
                <w:szCs w:val="21"/>
                <w:vertAlign w:val="superscript"/>
              </w:rPr>
              <w:t>-6</w:t>
            </w:r>
            <w:r>
              <w:rPr>
                <w:rFonts w:hint="eastAsia"/>
                <w:sz w:val="21"/>
                <w:szCs w:val="21"/>
              </w:rPr>
              <w:t>cm/s ≤K≤1.0×10</w:t>
            </w:r>
            <w:r>
              <w:rPr>
                <w:rFonts w:hint="eastAsia"/>
                <w:sz w:val="21"/>
                <w:szCs w:val="21"/>
                <w:vertAlign w:val="superscript"/>
              </w:rPr>
              <w:t>-4</w:t>
            </w:r>
            <w:r>
              <w:rPr>
                <w:rFonts w:hint="eastAsia"/>
                <w:sz w:val="21"/>
                <w:szCs w:val="21"/>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50"/>
              <w:ind w:left="0" w:leftChars="0" w:firstLine="0" w:firstLineChars="0"/>
              <w:jc w:val="both"/>
              <w:rPr>
                <w:kern w:val="0"/>
                <w:sz w:val="21"/>
                <w:szCs w:val="21"/>
              </w:rPr>
            </w:pPr>
            <w:r>
              <w:rPr>
                <w:rFonts w:hint="eastAsia"/>
                <w:kern w:val="0"/>
                <w:sz w:val="21"/>
                <w:szCs w:val="21"/>
              </w:rPr>
              <w:t>D1</w:t>
            </w:r>
          </w:p>
        </w:tc>
        <w:tc>
          <w:tcPr>
            <w:tcW w:w="7895" w:type="dxa"/>
            <w:vAlign w:val="center"/>
          </w:tcPr>
          <w:p>
            <w:pPr>
              <w:pStyle w:val="50"/>
              <w:rPr>
                <w:kern w:val="0"/>
                <w:sz w:val="21"/>
                <w:szCs w:val="21"/>
              </w:rPr>
            </w:pPr>
            <w:r>
              <w:rPr>
                <w:rFonts w:hint="eastAsia"/>
                <w:sz w:val="21"/>
                <w:szCs w:val="21"/>
              </w:rPr>
              <w:t>岩土层不满足上述“D2”和“D3”条件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8" w:type="dxa"/>
            <w:gridSpan w:val="2"/>
            <w:vAlign w:val="center"/>
          </w:tcPr>
          <w:p>
            <w:pPr>
              <w:pStyle w:val="50"/>
              <w:jc w:val="left"/>
              <w:rPr>
                <w:kern w:val="0"/>
                <w:sz w:val="21"/>
                <w:szCs w:val="21"/>
              </w:rPr>
            </w:pPr>
            <w:r>
              <w:rPr>
                <w:rFonts w:hint="eastAsia"/>
                <w:kern w:val="0"/>
                <w:sz w:val="21"/>
                <w:szCs w:val="21"/>
              </w:rPr>
              <w:t>Mb：岩土层单层厚度；K：渗透系数</w:t>
            </w:r>
          </w:p>
        </w:tc>
      </w:tr>
    </w:tbl>
    <w:p>
      <w:pPr>
        <w:pStyle w:val="6"/>
        <w:spacing w:line="360" w:lineRule="auto"/>
        <w:rPr>
          <w:rFonts w:hint="eastAsia"/>
          <w:snapToGrid w:val="0"/>
          <w:kern w:val="0"/>
        </w:rPr>
      </w:pPr>
      <w:r>
        <w:rPr>
          <w:rFonts w:hint="eastAsia"/>
          <w:snapToGrid w:val="0"/>
          <w:kern w:val="0"/>
        </w:rPr>
        <w:t>本项目周边无集中式饮用水水源</w:t>
      </w:r>
      <w:r>
        <w:rPr>
          <w:rFonts w:hint="eastAsia"/>
          <w:szCs w:val="21"/>
        </w:rPr>
        <w:t>准保护区和补给径流区、无除集中式饮用水水源以外的国家或地方政府设定的与地下水环境相关的其他保护区，如热水、矿泉水、温泉等特殊地下水资源保护区、无未划定准保护区的集中式饮用水水源，其保护区以外的补给径流区、无分散式饮用水水源地、无特殊地下水资源（如热水、矿泉水、温泉等）保护区以外的分布区等其他未列入上述敏感分级的环境敏感区。包气带岩土为粉质黏土，渗透系数取值为1.2×10</w:t>
      </w:r>
      <w:r>
        <w:rPr>
          <w:rFonts w:hint="eastAsia"/>
          <w:szCs w:val="21"/>
          <w:vertAlign w:val="superscript"/>
        </w:rPr>
        <w:t>-6</w:t>
      </w:r>
      <w:r>
        <w:rPr>
          <w:rFonts w:hint="eastAsia"/>
          <w:szCs w:val="21"/>
        </w:rPr>
        <w:t>~6.0×10</w:t>
      </w:r>
      <w:r>
        <w:rPr>
          <w:rFonts w:hint="eastAsia"/>
          <w:szCs w:val="21"/>
          <w:vertAlign w:val="superscript"/>
        </w:rPr>
        <w:t>-5</w:t>
      </w:r>
      <w:r>
        <w:rPr>
          <w:rFonts w:hint="eastAsia"/>
          <w:szCs w:val="21"/>
        </w:rPr>
        <w:t>，Mb≥1.0m，分布连续、稳定，</w:t>
      </w:r>
      <w:r>
        <w:rPr>
          <w:rFonts w:hint="eastAsia"/>
          <w:snapToGrid w:val="0"/>
          <w:kern w:val="0"/>
        </w:rPr>
        <w:t>因此地下水环境敏感程度为E3（地下水环境敏感特征为低敏感G3、包气带岩土的渗透性能分级为D2），为环境低度敏感区。</w:t>
      </w:r>
    </w:p>
    <w:p>
      <w:pPr>
        <w:pStyle w:val="46"/>
        <w:tabs>
          <w:tab w:val="left" w:pos="6638"/>
        </w:tabs>
        <w:ind w:firstLine="0" w:firstLineChars="0"/>
        <w:rPr>
          <w:rStyle w:val="47"/>
          <w:b/>
          <w:sz w:val="21"/>
          <w:szCs w:val="21"/>
        </w:rPr>
      </w:pPr>
      <w:r>
        <w:rPr>
          <w:rStyle w:val="47"/>
          <w:rFonts w:hint="eastAsia"/>
          <w:b/>
          <w:sz w:val="21"/>
          <w:szCs w:val="21"/>
        </w:rPr>
        <w:t>3.5环境风险潜势划分</w:t>
      </w:r>
    </w:p>
    <w:p>
      <w:pPr>
        <w:pStyle w:val="6"/>
        <w:spacing w:line="360" w:lineRule="auto"/>
        <w:rPr>
          <w:snapToGrid w:val="0"/>
          <w:kern w:val="0"/>
          <w:szCs w:val="21"/>
        </w:rPr>
      </w:pPr>
      <w:r>
        <w:rPr>
          <w:rFonts w:hint="eastAsia"/>
          <w:snapToGrid w:val="0"/>
          <w:kern w:val="0"/>
          <w:szCs w:val="21"/>
        </w:rPr>
        <w:t>建设项目环境风险潜势划分为 I、II、III、IV/IV+级。根据建设项目涉及的物质和工艺系统的危险性及其所在地的环境敏感程度、结合事故情形下环境影响途径，对建设性项目潜在环境危害程度进行概化分析，按照下表确定环境风险潜势。</w:t>
      </w:r>
    </w:p>
    <w:p>
      <w:pPr>
        <w:keepNext/>
        <w:autoSpaceDE w:val="0"/>
        <w:autoSpaceDN w:val="0"/>
        <w:adjustRightInd w:val="0"/>
        <w:jc w:val="center"/>
        <w:rPr>
          <w:b/>
          <w:bCs/>
          <w:kern w:val="0"/>
          <w:szCs w:val="21"/>
        </w:rPr>
      </w:pPr>
      <w:r>
        <w:rPr>
          <w:b/>
          <w:bCs/>
          <w:kern w:val="0"/>
          <w:szCs w:val="21"/>
        </w:rPr>
        <w:t>表</w:t>
      </w:r>
      <w:r>
        <w:rPr>
          <w:rFonts w:hint="eastAsia"/>
          <w:b/>
          <w:bCs/>
          <w:kern w:val="0"/>
          <w:szCs w:val="21"/>
        </w:rPr>
        <w:t>13</w:t>
      </w:r>
      <w:r>
        <w:rPr>
          <w:b/>
          <w:bCs/>
          <w:kern w:val="0"/>
          <w:szCs w:val="21"/>
        </w:rPr>
        <w:t xml:space="preserve">  </w:t>
      </w:r>
      <w:r>
        <w:rPr>
          <w:rFonts w:hint="eastAsia"/>
          <w:b/>
          <w:bCs/>
          <w:kern w:val="0"/>
          <w:szCs w:val="21"/>
        </w:rPr>
        <w:t>建设项目环境风险潜势划分</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1639"/>
        <w:gridCol w:w="1640"/>
        <w:gridCol w:w="1639"/>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vMerge w:val="restart"/>
            <w:shd w:val="clear" w:color="auto" w:fill="auto"/>
            <w:vAlign w:val="center"/>
          </w:tcPr>
          <w:p>
            <w:pPr>
              <w:pStyle w:val="50"/>
              <w:spacing w:line="240" w:lineRule="auto"/>
              <w:rPr>
                <w:b/>
                <w:sz w:val="21"/>
                <w:szCs w:val="21"/>
              </w:rPr>
            </w:pPr>
            <w:r>
              <w:rPr>
                <w:b/>
                <w:sz w:val="21"/>
                <w:szCs w:val="21"/>
              </w:rPr>
              <w:t>环境敏感程度 （E）</w:t>
            </w:r>
          </w:p>
        </w:tc>
        <w:tc>
          <w:tcPr>
            <w:tcW w:w="6264" w:type="dxa"/>
            <w:gridSpan w:val="4"/>
            <w:shd w:val="clear" w:color="auto" w:fill="auto"/>
            <w:vAlign w:val="center"/>
          </w:tcPr>
          <w:p>
            <w:pPr>
              <w:pStyle w:val="50"/>
              <w:spacing w:line="240" w:lineRule="auto"/>
              <w:rPr>
                <w:b/>
                <w:sz w:val="21"/>
                <w:szCs w:val="21"/>
              </w:rPr>
            </w:pPr>
            <w:r>
              <w:rPr>
                <w:b/>
                <w:sz w:val="21"/>
                <w:szCs w:val="21"/>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vMerge w:val="continue"/>
            <w:shd w:val="clear" w:color="auto" w:fill="auto"/>
            <w:vAlign w:val="center"/>
          </w:tcPr>
          <w:p>
            <w:pPr>
              <w:pStyle w:val="50"/>
              <w:spacing w:line="240" w:lineRule="auto"/>
              <w:rPr>
                <w:b/>
                <w:sz w:val="21"/>
                <w:szCs w:val="21"/>
              </w:rPr>
            </w:pPr>
          </w:p>
        </w:tc>
        <w:tc>
          <w:tcPr>
            <w:tcW w:w="1559" w:type="dxa"/>
            <w:shd w:val="clear" w:color="auto" w:fill="auto"/>
            <w:vAlign w:val="center"/>
          </w:tcPr>
          <w:p>
            <w:pPr>
              <w:pStyle w:val="50"/>
              <w:spacing w:line="240" w:lineRule="auto"/>
              <w:rPr>
                <w:b/>
                <w:sz w:val="21"/>
                <w:szCs w:val="21"/>
              </w:rPr>
            </w:pPr>
            <w:r>
              <w:rPr>
                <w:b/>
                <w:sz w:val="21"/>
                <w:szCs w:val="21"/>
              </w:rPr>
              <w:t>极高危害（P1）</w:t>
            </w:r>
          </w:p>
        </w:tc>
        <w:tc>
          <w:tcPr>
            <w:tcW w:w="1560" w:type="dxa"/>
            <w:shd w:val="clear" w:color="auto" w:fill="auto"/>
            <w:vAlign w:val="center"/>
          </w:tcPr>
          <w:p>
            <w:pPr>
              <w:pStyle w:val="50"/>
              <w:spacing w:line="240" w:lineRule="auto"/>
              <w:rPr>
                <w:b/>
                <w:sz w:val="21"/>
                <w:szCs w:val="21"/>
              </w:rPr>
            </w:pPr>
            <w:r>
              <w:rPr>
                <w:b/>
                <w:sz w:val="21"/>
                <w:szCs w:val="21"/>
              </w:rPr>
              <w:t>高度危害（P2）</w:t>
            </w:r>
          </w:p>
        </w:tc>
        <w:tc>
          <w:tcPr>
            <w:tcW w:w="1559" w:type="dxa"/>
            <w:shd w:val="clear" w:color="auto" w:fill="auto"/>
            <w:vAlign w:val="center"/>
          </w:tcPr>
          <w:p>
            <w:pPr>
              <w:pStyle w:val="50"/>
              <w:spacing w:line="240" w:lineRule="auto"/>
              <w:rPr>
                <w:b/>
                <w:sz w:val="21"/>
                <w:szCs w:val="21"/>
              </w:rPr>
            </w:pPr>
            <w:r>
              <w:rPr>
                <w:b/>
                <w:sz w:val="21"/>
                <w:szCs w:val="21"/>
              </w:rPr>
              <w:t>中度危害（P3）</w:t>
            </w:r>
          </w:p>
        </w:tc>
        <w:tc>
          <w:tcPr>
            <w:tcW w:w="1586" w:type="dxa"/>
            <w:shd w:val="clear" w:color="auto" w:fill="auto"/>
            <w:vAlign w:val="center"/>
          </w:tcPr>
          <w:p>
            <w:pPr>
              <w:pStyle w:val="50"/>
              <w:spacing w:line="240" w:lineRule="auto"/>
              <w:rPr>
                <w:b/>
                <w:sz w:val="21"/>
                <w:szCs w:val="21"/>
              </w:rPr>
            </w:pPr>
            <w:r>
              <w:rPr>
                <w:rFonts w:hint="eastAsia"/>
                <w:b/>
                <w:sz w:val="21"/>
                <w:szCs w:val="21"/>
              </w:rPr>
              <w:t>轻</w:t>
            </w:r>
            <w:r>
              <w:rPr>
                <w:b/>
                <w:sz w:val="21"/>
                <w:szCs w:val="21"/>
              </w:rPr>
              <w:t>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shd w:val="clear" w:color="auto" w:fill="auto"/>
            <w:vAlign w:val="center"/>
          </w:tcPr>
          <w:p>
            <w:pPr>
              <w:pStyle w:val="50"/>
              <w:spacing w:line="240" w:lineRule="auto"/>
              <w:rPr>
                <w:sz w:val="21"/>
                <w:szCs w:val="21"/>
              </w:rPr>
            </w:pPr>
            <w:r>
              <w:rPr>
                <w:sz w:val="21"/>
                <w:szCs w:val="21"/>
              </w:rPr>
              <w:t>环境高度敏感程度（E1）</w:t>
            </w:r>
          </w:p>
        </w:tc>
        <w:tc>
          <w:tcPr>
            <w:tcW w:w="1559" w:type="dxa"/>
            <w:shd w:val="clear" w:color="auto" w:fill="auto"/>
            <w:vAlign w:val="center"/>
          </w:tcPr>
          <w:p>
            <w:pPr>
              <w:pStyle w:val="50"/>
              <w:spacing w:line="240" w:lineRule="auto"/>
              <w:rPr>
                <w:sz w:val="21"/>
                <w:szCs w:val="21"/>
              </w:rPr>
            </w:pPr>
            <w:r>
              <w:rPr>
                <w:sz w:val="21"/>
                <w:szCs w:val="21"/>
              </w:rPr>
              <w:t>IV+</w:t>
            </w:r>
          </w:p>
        </w:tc>
        <w:tc>
          <w:tcPr>
            <w:tcW w:w="1560" w:type="dxa"/>
            <w:shd w:val="clear" w:color="auto" w:fill="auto"/>
            <w:vAlign w:val="center"/>
          </w:tcPr>
          <w:p>
            <w:pPr>
              <w:pStyle w:val="50"/>
              <w:spacing w:line="240" w:lineRule="auto"/>
              <w:rPr>
                <w:sz w:val="21"/>
                <w:szCs w:val="21"/>
              </w:rPr>
            </w:pPr>
            <w:r>
              <w:rPr>
                <w:sz w:val="21"/>
                <w:szCs w:val="21"/>
              </w:rPr>
              <w:t>IV</w:t>
            </w:r>
          </w:p>
        </w:tc>
        <w:tc>
          <w:tcPr>
            <w:tcW w:w="1559" w:type="dxa"/>
            <w:shd w:val="clear" w:color="auto" w:fill="auto"/>
            <w:vAlign w:val="center"/>
          </w:tcPr>
          <w:p>
            <w:pPr>
              <w:pStyle w:val="50"/>
              <w:spacing w:line="240" w:lineRule="auto"/>
              <w:rPr>
                <w:sz w:val="21"/>
                <w:szCs w:val="21"/>
              </w:rPr>
            </w:pPr>
            <w:r>
              <w:rPr>
                <w:sz w:val="21"/>
                <w:szCs w:val="21"/>
              </w:rPr>
              <w:t>III</w:t>
            </w:r>
          </w:p>
        </w:tc>
        <w:tc>
          <w:tcPr>
            <w:tcW w:w="1586" w:type="dxa"/>
            <w:shd w:val="clear" w:color="auto" w:fill="auto"/>
            <w:vAlign w:val="center"/>
          </w:tcPr>
          <w:p>
            <w:pPr>
              <w:pStyle w:val="50"/>
              <w:spacing w:line="240" w:lineRule="auto"/>
              <w:rPr>
                <w:sz w:val="21"/>
                <w:szCs w:val="21"/>
              </w:rPr>
            </w:pPr>
            <w:r>
              <w:rPr>
                <w:sz w:val="21"/>
                <w:szCs w:val="21"/>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shd w:val="clear" w:color="auto" w:fill="auto"/>
            <w:vAlign w:val="center"/>
          </w:tcPr>
          <w:p>
            <w:pPr>
              <w:pStyle w:val="50"/>
              <w:spacing w:line="240" w:lineRule="auto"/>
              <w:rPr>
                <w:sz w:val="21"/>
                <w:szCs w:val="21"/>
              </w:rPr>
            </w:pPr>
            <w:r>
              <w:rPr>
                <w:sz w:val="21"/>
                <w:szCs w:val="21"/>
              </w:rPr>
              <w:t>环境</w:t>
            </w:r>
            <w:r>
              <w:rPr>
                <w:rFonts w:hint="eastAsia"/>
                <w:sz w:val="21"/>
                <w:szCs w:val="21"/>
              </w:rPr>
              <w:t>中</w:t>
            </w:r>
            <w:r>
              <w:rPr>
                <w:sz w:val="21"/>
                <w:szCs w:val="21"/>
              </w:rPr>
              <w:t>度敏感程度（E</w:t>
            </w:r>
            <w:r>
              <w:rPr>
                <w:rFonts w:hint="eastAsia"/>
                <w:sz w:val="21"/>
                <w:szCs w:val="21"/>
              </w:rPr>
              <w:t>2</w:t>
            </w:r>
            <w:r>
              <w:rPr>
                <w:sz w:val="21"/>
                <w:szCs w:val="21"/>
              </w:rPr>
              <w:t>）</w:t>
            </w:r>
          </w:p>
        </w:tc>
        <w:tc>
          <w:tcPr>
            <w:tcW w:w="1559" w:type="dxa"/>
            <w:shd w:val="clear" w:color="auto" w:fill="auto"/>
            <w:vAlign w:val="center"/>
          </w:tcPr>
          <w:p>
            <w:pPr>
              <w:pStyle w:val="50"/>
              <w:spacing w:line="240" w:lineRule="auto"/>
              <w:rPr>
                <w:sz w:val="21"/>
                <w:szCs w:val="21"/>
              </w:rPr>
            </w:pPr>
            <w:r>
              <w:rPr>
                <w:sz w:val="21"/>
                <w:szCs w:val="21"/>
              </w:rPr>
              <w:t>IV</w:t>
            </w:r>
          </w:p>
        </w:tc>
        <w:tc>
          <w:tcPr>
            <w:tcW w:w="1560" w:type="dxa"/>
            <w:shd w:val="clear" w:color="auto" w:fill="auto"/>
            <w:vAlign w:val="center"/>
          </w:tcPr>
          <w:p>
            <w:pPr>
              <w:pStyle w:val="50"/>
              <w:spacing w:line="240" w:lineRule="auto"/>
              <w:rPr>
                <w:sz w:val="21"/>
                <w:szCs w:val="21"/>
              </w:rPr>
            </w:pPr>
            <w:r>
              <w:rPr>
                <w:sz w:val="21"/>
                <w:szCs w:val="21"/>
              </w:rPr>
              <w:t>III</w:t>
            </w:r>
          </w:p>
        </w:tc>
        <w:tc>
          <w:tcPr>
            <w:tcW w:w="1559" w:type="dxa"/>
            <w:shd w:val="clear" w:color="auto" w:fill="auto"/>
            <w:vAlign w:val="center"/>
          </w:tcPr>
          <w:p>
            <w:pPr>
              <w:pStyle w:val="50"/>
              <w:spacing w:line="240" w:lineRule="auto"/>
              <w:rPr>
                <w:sz w:val="21"/>
                <w:szCs w:val="21"/>
              </w:rPr>
            </w:pPr>
            <w:r>
              <w:rPr>
                <w:sz w:val="21"/>
                <w:szCs w:val="21"/>
              </w:rPr>
              <w:t>III</w:t>
            </w:r>
          </w:p>
        </w:tc>
        <w:tc>
          <w:tcPr>
            <w:tcW w:w="1586" w:type="dxa"/>
            <w:shd w:val="clear" w:color="auto" w:fill="auto"/>
            <w:vAlign w:val="center"/>
          </w:tcPr>
          <w:p>
            <w:pPr>
              <w:pStyle w:val="50"/>
              <w:spacing w:line="240" w:lineRule="auto"/>
              <w:rPr>
                <w:sz w:val="21"/>
                <w:szCs w:val="21"/>
              </w:rPr>
            </w:pPr>
            <w:r>
              <w:rPr>
                <w:sz w:val="21"/>
                <w:szCs w:val="21"/>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shd w:val="clear" w:color="auto" w:fill="auto"/>
            <w:vAlign w:val="center"/>
          </w:tcPr>
          <w:p>
            <w:pPr>
              <w:pStyle w:val="50"/>
              <w:spacing w:line="240" w:lineRule="auto"/>
              <w:rPr>
                <w:sz w:val="21"/>
                <w:szCs w:val="21"/>
              </w:rPr>
            </w:pPr>
            <w:r>
              <w:rPr>
                <w:sz w:val="21"/>
                <w:szCs w:val="21"/>
              </w:rPr>
              <w:t>环境</w:t>
            </w:r>
            <w:r>
              <w:rPr>
                <w:rFonts w:hint="eastAsia"/>
                <w:sz w:val="21"/>
                <w:szCs w:val="21"/>
              </w:rPr>
              <w:t>低</w:t>
            </w:r>
            <w:r>
              <w:rPr>
                <w:sz w:val="21"/>
                <w:szCs w:val="21"/>
              </w:rPr>
              <w:t>度敏感程度（E</w:t>
            </w:r>
            <w:r>
              <w:rPr>
                <w:rFonts w:hint="eastAsia"/>
                <w:sz w:val="21"/>
                <w:szCs w:val="21"/>
              </w:rPr>
              <w:t>3</w:t>
            </w:r>
            <w:r>
              <w:rPr>
                <w:sz w:val="21"/>
                <w:szCs w:val="21"/>
              </w:rPr>
              <w:t>）</w:t>
            </w:r>
          </w:p>
        </w:tc>
        <w:tc>
          <w:tcPr>
            <w:tcW w:w="1559" w:type="dxa"/>
            <w:shd w:val="clear" w:color="auto" w:fill="auto"/>
            <w:vAlign w:val="center"/>
          </w:tcPr>
          <w:p>
            <w:pPr>
              <w:pStyle w:val="50"/>
              <w:spacing w:line="240" w:lineRule="auto"/>
              <w:rPr>
                <w:sz w:val="21"/>
                <w:szCs w:val="21"/>
              </w:rPr>
            </w:pPr>
            <w:r>
              <w:rPr>
                <w:sz w:val="21"/>
                <w:szCs w:val="21"/>
              </w:rPr>
              <w:t>III</w:t>
            </w:r>
          </w:p>
        </w:tc>
        <w:tc>
          <w:tcPr>
            <w:tcW w:w="1560" w:type="dxa"/>
            <w:shd w:val="clear" w:color="auto" w:fill="auto"/>
            <w:vAlign w:val="center"/>
          </w:tcPr>
          <w:p>
            <w:pPr>
              <w:pStyle w:val="50"/>
              <w:spacing w:line="240" w:lineRule="auto"/>
              <w:rPr>
                <w:sz w:val="21"/>
                <w:szCs w:val="21"/>
              </w:rPr>
            </w:pPr>
            <w:r>
              <w:rPr>
                <w:sz w:val="21"/>
                <w:szCs w:val="21"/>
              </w:rPr>
              <w:t>III</w:t>
            </w:r>
          </w:p>
        </w:tc>
        <w:tc>
          <w:tcPr>
            <w:tcW w:w="1559" w:type="dxa"/>
            <w:shd w:val="clear" w:color="auto" w:fill="auto"/>
            <w:vAlign w:val="center"/>
          </w:tcPr>
          <w:p>
            <w:pPr>
              <w:pStyle w:val="50"/>
              <w:spacing w:line="240" w:lineRule="auto"/>
              <w:rPr>
                <w:sz w:val="21"/>
                <w:szCs w:val="21"/>
              </w:rPr>
            </w:pPr>
            <w:r>
              <w:rPr>
                <w:sz w:val="21"/>
                <w:szCs w:val="21"/>
              </w:rPr>
              <w:t>II</w:t>
            </w:r>
          </w:p>
        </w:tc>
        <w:tc>
          <w:tcPr>
            <w:tcW w:w="1586" w:type="dxa"/>
            <w:shd w:val="clear" w:color="auto" w:fill="auto"/>
            <w:vAlign w:val="center"/>
          </w:tcPr>
          <w:p>
            <w:pPr>
              <w:pStyle w:val="50"/>
              <w:spacing w:line="240" w:lineRule="auto"/>
              <w:rPr>
                <w:sz w:val="21"/>
                <w:szCs w:val="21"/>
              </w:rPr>
            </w:pPr>
            <w:r>
              <w:rPr>
                <w:sz w:val="21"/>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8" w:type="dxa"/>
            <w:gridSpan w:val="5"/>
            <w:shd w:val="clear" w:color="auto" w:fill="auto"/>
            <w:vAlign w:val="center"/>
          </w:tcPr>
          <w:p>
            <w:pPr>
              <w:pStyle w:val="50"/>
              <w:spacing w:line="240" w:lineRule="auto"/>
              <w:jc w:val="left"/>
              <w:rPr>
                <w:sz w:val="21"/>
                <w:szCs w:val="21"/>
              </w:rPr>
            </w:pPr>
            <w:r>
              <w:rPr>
                <w:sz w:val="21"/>
                <w:szCs w:val="21"/>
              </w:rPr>
              <w:t>注：IV+为极高环境风险。</w:t>
            </w:r>
          </w:p>
        </w:tc>
      </w:tr>
    </w:tbl>
    <w:p>
      <w:pPr>
        <w:pStyle w:val="6"/>
        <w:spacing w:line="360" w:lineRule="auto"/>
        <w:rPr>
          <w:rFonts w:hint="eastAsia"/>
          <w:snapToGrid w:val="0"/>
          <w:kern w:val="0"/>
          <w:sz w:val="24"/>
          <w:szCs w:val="24"/>
        </w:rPr>
      </w:pPr>
      <w:r>
        <w:rPr>
          <w:rStyle w:val="47"/>
          <w:rFonts w:hint="eastAsia"/>
          <w:sz w:val="24"/>
          <w:szCs w:val="24"/>
          <w:lang w:eastAsia="zh-CN"/>
        </w:rPr>
        <w:t>由前述</w:t>
      </w:r>
      <w:r>
        <w:rPr>
          <w:rStyle w:val="47"/>
          <w:rFonts w:hint="eastAsia"/>
          <w:sz w:val="24"/>
          <w:szCs w:val="24"/>
        </w:rPr>
        <w:t>分析，本项目</w:t>
      </w:r>
      <w:r>
        <w:rPr>
          <w:rStyle w:val="47"/>
          <w:rFonts w:hint="eastAsia"/>
          <w:sz w:val="24"/>
          <w:szCs w:val="24"/>
          <w:lang w:eastAsia="zh-CN"/>
        </w:rPr>
        <w:t>危险物质及工艺系统危险性为</w:t>
      </w:r>
      <w:r>
        <w:rPr>
          <w:rStyle w:val="47"/>
          <w:rFonts w:hint="eastAsia"/>
          <w:sz w:val="24"/>
          <w:szCs w:val="24"/>
          <w:lang w:val="en-US" w:eastAsia="zh-CN"/>
        </w:rPr>
        <w:t>P4，因此，</w:t>
      </w:r>
      <w:r>
        <w:rPr>
          <w:rStyle w:val="47"/>
          <w:rFonts w:hint="eastAsia"/>
          <w:sz w:val="24"/>
          <w:szCs w:val="24"/>
        </w:rPr>
        <w:t>本项目大气环境风险潜势为</w:t>
      </w:r>
      <w:r>
        <w:rPr>
          <w:rStyle w:val="47"/>
          <w:sz w:val="24"/>
          <w:szCs w:val="24"/>
        </w:rPr>
        <w:t>III</w:t>
      </w:r>
      <w:r>
        <w:rPr>
          <w:rStyle w:val="47"/>
          <w:rFonts w:hint="eastAsia"/>
          <w:sz w:val="24"/>
          <w:szCs w:val="24"/>
        </w:rPr>
        <w:t>，地表水环境风险潜势为</w:t>
      </w:r>
      <w:r>
        <w:rPr>
          <w:sz w:val="21"/>
          <w:szCs w:val="21"/>
        </w:rPr>
        <w:t>II</w:t>
      </w:r>
      <w:r>
        <w:rPr>
          <w:rStyle w:val="47"/>
          <w:rFonts w:hint="eastAsia"/>
          <w:sz w:val="24"/>
          <w:szCs w:val="24"/>
        </w:rPr>
        <w:t>，地下水环境风险潜势均</w:t>
      </w:r>
      <w:r>
        <w:rPr>
          <w:sz w:val="24"/>
          <w:szCs w:val="24"/>
        </w:rPr>
        <w:t>I</w:t>
      </w:r>
      <w:r>
        <w:rPr>
          <w:rStyle w:val="47"/>
          <w:rFonts w:hint="eastAsia"/>
          <w:sz w:val="24"/>
          <w:szCs w:val="24"/>
        </w:rPr>
        <w:t>。建设项目环境风险潜势综合等级取各要素等级的相对高值。综上所述，本项目的环境风险潜势为</w:t>
      </w:r>
      <w:r>
        <w:rPr>
          <w:rStyle w:val="47"/>
          <w:sz w:val="24"/>
          <w:szCs w:val="24"/>
        </w:rPr>
        <w:t>III</w:t>
      </w:r>
      <w:r>
        <w:rPr>
          <w:rStyle w:val="47"/>
          <w:rFonts w:hint="eastAsia"/>
          <w:sz w:val="24"/>
          <w:szCs w:val="24"/>
        </w:rPr>
        <w:t>级。</w:t>
      </w:r>
    </w:p>
    <w:p>
      <w:pPr>
        <w:pStyle w:val="46"/>
        <w:tabs>
          <w:tab w:val="left" w:pos="6638"/>
        </w:tabs>
        <w:ind w:firstLine="0" w:firstLineChars="0"/>
        <w:rPr>
          <w:rStyle w:val="47"/>
          <w:b/>
          <w:sz w:val="24"/>
          <w:szCs w:val="24"/>
        </w:rPr>
      </w:pPr>
      <w:r>
        <w:rPr>
          <w:rStyle w:val="47"/>
          <w:rFonts w:hint="eastAsia"/>
          <w:b/>
          <w:sz w:val="24"/>
          <w:szCs w:val="24"/>
        </w:rPr>
        <w:t>3.6环境风险评价工作等级划分</w:t>
      </w:r>
    </w:p>
    <w:p>
      <w:pPr>
        <w:pStyle w:val="6"/>
        <w:spacing w:line="360" w:lineRule="auto"/>
        <w:rPr>
          <w:snapToGrid w:val="0"/>
          <w:kern w:val="0"/>
          <w:szCs w:val="21"/>
        </w:rPr>
      </w:pPr>
      <w:r>
        <w:rPr>
          <w:rFonts w:hint="eastAsia"/>
          <w:snapToGrid w:val="0"/>
          <w:kern w:val="0"/>
          <w:szCs w:val="21"/>
        </w:rPr>
        <w:t>（1）评价等级</w:t>
      </w:r>
    </w:p>
    <w:p>
      <w:pPr>
        <w:pStyle w:val="6"/>
        <w:spacing w:line="360" w:lineRule="auto"/>
        <w:rPr>
          <w:snapToGrid w:val="0"/>
          <w:kern w:val="0"/>
          <w:szCs w:val="21"/>
        </w:rPr>
      </w:pPr>
      <w:r>
        <w:rPr>
          <w:rFonts w:hint="eastAsia"/>
          <w:snapToGrid w:val="0"/>
          <w:kern w:val="0"/>
          <w:szCs w:val="21"/>
        </w:rPr>
        <w:t>根据《建设项目环境风险评价技术导则》（HJ169-2018），建设项目环境风险评价工作等级划分见下表14。</w:t>
      </w:r>
    </w:p>
    <w:p>
      <w:pPr>
        <w:keepNext/>
        <w:autoSpaceDE w:val="0"/>
        <w:autoSpaceDN w:val="0"/>
        <w:adjustRightInd w:val="0"/>
        <w:jc w:val="center"/>
        <w:rPr>
          <w:b/>
          <w:bCs/>
          <w:kern w:val="0"/>
          <w:szCs w:val="21"/>
        </w:rPr>
      </w:pPr>
      <w:r>
        <w:rPr>
          <w:b/>
          <w:bCs/>
          <w:kern w:val="0"/>
          <w:szCs w:val="21"/>
        </w:rPr>
        <w:t>表</w:t>
      </w:r>
      <w:r>
        <w:rPr>
          <w:rFonts w:hint="eastAsia"/>
          <w:b/>
          <w:bCs/>
          <w:kern w:val="0"/>
          <w:szCs w:val="21"/>
        </w:rPr>
        <w:t xml:space="preserve">14  </w:t>
      </w:r>
      <w:r>
        <w:rPr>
          <w:b/>
          <w:bCs/>
          <w:kern w:val="0"/>
          <w:szCs w:val="21"/>
        </w:rPr>
        <w:t>评价工作等级划分</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813"/>
        <w:gridCol w:w="1812"/>
        <w:gridCol w:w="1812"/>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4" w:type="dxa"/>
            <w:shd w:val="clear" w:color="auto" w:fill="auto"/>
            <w:vAlign w:val="center"/>
          </w:tcPr>
          <w:p>
            <w:pPr>
              <w:pStyle w:val="50"/>
              <w:spacing w:line="240" w:lineRule="auto"/>
              <w:ind w:left="0" w:leftChars="0" w:firstLine="0" w:firstLineChars="0"/>
              <w:jc w:val="both"/>
              <w:rPr>
                <w:b/>
                <w:sz w:val="21"/>
                <w:szCs w:val="21"/>
              </w:rPr>
            </w:pPr>
            <w:r>
              <w:rPr>
                <w:b/>
                <w:sz w:val="21"/>
                <w:szCs w:val="21"/>
              </w:rPr>
              <w:t>环境风险潜势</w:t>
            </w:r>
          </w:p>
        </w:tc>
        <w:tc>
          <w:tcPr>
            <w:tcW w:w="1724" w:type="dxa"/>
            <w:shd w:val="clear" w:color="auto" w:fill="auto"/>
            <w:vAlign w:val="center"/>
          </w:tcPr>
          <w:p>
            <w:pPr>
              <w:pStyle w:val="50"/>
              <w:spacing w:line="240" w:lineRule="auto"/>
              <w:rPr>
                <w:b/>
                <w:sz w:val="21"/>
                <w:szCs w:val="21"/>
              </w:rPr>
            </w:pPr>
            <w:r>
              <w:rPr>
                <w:b/>
                <w:sz w:val="21"/>
                <w:szCs w:val="21"/>
              </w:rPr>
              <w:t>IV、IV+</w:t>
            </w:r>
          </w:p>
        </w:tc>
        <w:tc>
          <w:tcPr>
            <w:tcW w:w="1723" w:type="dxa"/>
            <w:shd w:val="clear" w:color="auto" w:fill="auto"/>
            <w:vAlign w:val="center"/>
          </w:tcPr>
          <w:p>
            <w:pPr>
              <w:pStyle w:val="50"/>
              <w:spacing w:line="240" w:lineRule="auto"/>
              <w:rPr>
                <w:b/>
                <w:sz w:val="21"/>
                <w:szCs w:val="21"/>
                <w:shd w:val="pct10" w:color="auto" w:fill="FFFFFF"/>
              </w:rPr>
            </w:pPr>
            <w:r>
              <w:rPr>
                <w:b/>
                <w:sz w:val="21"/>
                <w:szCs w:val="21"/>
                <w:shd w:val="pct10" w:color="auto" w:fill="FFFFFF"/>
              </w:rPr>
              <w:t>III</w:t>
            </w:r>
          </w:p>
        </w:tc>
        <w:tc>
          <w:tcPr>
            <w:tcW w:w="1723" w:type="dxa"/>
            <w:shd w:val="clear" w:color="auto" w:fill="auto"/>
            <w:vAlign w:val="center"/>
          </w:tcPr>
          <w:p>
            <w:pPr>
              <w:pStyle w:val="50"/>
              <w:spacing w:line="240" w:lineRule="auto"/>
              <w:rPr>
                <w:b/>
                <w:sz w:val="21"/>
                <w:szCs w:val="21"/>
              </w:rPr>
            </w:pPr>
            <w:r>
              <w:rPr>
                <w:b/>
                <w:sz w:val="21"/>
                <w:szCs w:val="21"/>
              </w:rPr>
              <w:t>II</w:t>
            </w:r>
          </w:p>
        </w:tc>
        <w:tc>
          <w:tcPr>
            <w:tcW w:w="1724" w:type="dxa"/>
            <w:shd w:val="clear" w:color="auto" w:fill="auto"/>
            <w:vAlign w:val="center"/>
          </w:tcPr>
          <w:p>
            <w:pPr>
              <w:pStyle w:val="49"/>
              <w:adjustRightInd w:val="0"/>
              <w:snapToGrid w:val="0"/>
              <w:spacing w:line="240" w:lineRule="auto"/>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4" w:type="dxa"/>
            <w:shd w:val="clear" w:color="auto" w:fill="auto"/>
            <w:vAlign w:val="center"/>
          </w:tcPr>
          <w:p>
            <w:pPr>
              <w:pStyle w:val="50"/>
              <w:spacing w:line="240" w:lineRule="auto"/>
              <w:ind w:left="0" w:leftChars="0" w:firstLine="0" w:firstLineChars="0"/>
              <w:jc w:val="both"/>
              <w:rPr>
                <w:sz w:val="21"/>
                <w:szCs w:val="21"/>
              </w:rPr>
            </w:pPr>
            <w:r>
              <w:rPr>
                <w:sz w:val="21"/>
                <w:szCs w:val="21"/>
              </w:rPr>
              <w:t>评价工作等级</w:t>
            </w:r>
          </w:p>
        </w:tc>
        <w:tc>
          <w:tcPr>
            <w:tcW w:w="1724" w:type="dxa"/>
            <w:shd w:val="clear" w:color="auto" w:fill="auto"/>
            <w:vAlign w:val="center"/>
          </w:tcPr>
          <w:p>
            <w:pPr>
              <w:pStyle w:val="50"/>
              <w:spacing w:line="240" w:lineRule="auto"/>
              <w:rPr>
                <w:sz w:val="21"/>
                <w:szCs w:val="21"/>
              </w:rPr>
            </w:pPr>
            <w:r>
              <w:rPr>
                <w:sz w:val="21"/>
                <w:szCs w:val="21"/>
              </w:rPr>
              <w:t>一</w:t>
            </w:r>
          </w:p>
        </w:tc>
        <w:tc>
          <w:tcPr>
            <w:tcW w:w="1723" w:type="dxa"/>
            <w:shd w:val="clear" w:color="auto" w:fill="auto"/>
            <w:vAlign w:val="center"/>
          </w:tcPr>
          <w:p>
            <w:pPr>
              <w:pStyle w:val="50"/>
              <w:spacing w:line="240" w:lineRule="auto"/>
              <w:rPr>
                <w:sz w:val="21"/>
                <w:szCs w:val="21"/>
                <w:shd w:val="pct10" w:color="auto" w:fill="FFFFFF"/>
              </w:rPr>
            </w:pPr>
            <w:r>
              <w:rPr>
                <w:sz w:val="21"/>
                <w:szCs w:val="21"/>
                <w:shd w:val="pct10" w:color="auto" w:fill="FFFFFF"/>
              </w:rPr>
              <w:t>二</w:t>
            </w:r>
          </w:p>
        </w:tc>
        <w:tc>
          <w:tcPr>
            <w:tcW w:w="1723" w:type="dxa"/>
            <w:shd w:val="clear" w:color="auto" w:fill="auto"/>
            <w:vAlign w:val="center"/>
          </w:tcPr>
          <w:p>
            <w:pPr>
              <w:pStyle w:val="50"/>
              <w:spacing w:line="240" w:lineRule="auto"/>
              <w:rPr>
                <w:sz w:val="21"/>
                <w:szCs w:val="21"/>
              </w:rPr>
            </w:pPr>
            <w:r>
              <w:rPr>
                <w:sz w:val="21"/>
                <w:szCs w:val="21"/>
              </w:rPr>
              <w:t>三</w:t>
            </w:r>
          </w:p>
        </w:tc>
        <w:tc>
          <w:tcPr>
            <w:tcW w:w="1724" w:type="dxa"/>
            <w:shd w:val="clear" w:color="auto" w:fill="auto"/>
            <w:vAlign w:val="center"/>
          </w:tcPr>
          <w:p>
            <w:pPr>
              <w:pStyle w:val="49"/>
              <w:adjustRightInd w:val="0"/>
              <w:snapToGrid w:val="0"/>
              <w:spacing w:line="240" w:lineRule="auto"/>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简单分析a</w:t>
            </w:r>
          </w:p>
        </w:tc>
      </w:tr>
    </w:tbl>
    <w:p>
      <w:pPr>
        <w:pStyle w:val="6"/>
        <w:spacing w:line="360" w:lineRule="auto"/>
        <w:rPr>
          <w:snapToGrid w:val="0"/>
          <w:kern w:val="0"/>
          <w:szCs w:val="21"/>
        </w:rPr>
      </w:pPr>
      <w:r>
        <w:rPr>
          <w:rFonts w:hint="eastAsia"/>
          <w:snapToGrid w:val="0"/>
          <w:kern w:val="0"/>
          <w:szCs w:val="21"/>
        </w:rPr>
        <w:t>由于本项目环境风险潜势为</w:t>
      </w:r>
      <w:r>
        <w:rPr>
          <w:rStyle w:val="47"/>
          <w:sz w:val="21"/>
          <w:szCs w:val="21"/>
        </w:rPr>
        <w:t>III</w:t>
      </w:r>
      <w:r>
        <w:rPr>
          <w:rStyle w:val="47"/>
          <w:rFonts w:hint="eastAsia"/>
          <w:sz w:val="21"/>
          <w:szCs w:val="21"/>
        </w:rPr>
        <w:t>级</w:t>
      </w:r>
      <w:r>
        <w:rPr>
          <w:rFonts w:hint="eastAsia"/>
          <w:snapToGrid w:val="0"/>
          <w:kern w:val="0"/>
          <w:szCs w:val="21"/>
        </w:rPr>
        <w:t>，因此本项目环境风险评价工作等级为二级（其中大气环境风险等级为二级，地表水风险评价</w:t>
      </w:r>
      <w:r>
        <w:rPr>
          <w:rFonts w:hint="eastAsia"/>
          <w:snapToGrid w:val="0"/>
          <w:kern w:val="0"/>
          <w:szCs w:val="21"/>
          <w:lang w:eastAsia="zh-CN"/>
        </w:rPr>
        <w:t>为三级，</w:t>
      </w:r>
      <w:r>
        <w:rPr>
          <w:rFonts w:hint="eastAsia"/>
          <w:snapToGrid w:val="0"/>
          <w:kern w:val="0"/>
          <w:szCs w:val="21"/>
        </w:rPr>
        <w:t>地下水风险评价均为简单分析）。</w:t>
      </w:r>
    </w:p>
    <w:p>
      <w:pPr>
        <w:pStyle w:val="6"/>
        <w:spacing w:line="360" w:lineRule="auto"/>
        <w:rPr>
          <w:snapToGrid w:val="0"/>
          <w:kern w:val="0"/>
          <w:szCs w:val="21"/>
        </w:rPr>
      </w:pPr>
      <w:r>
        <w:rPr>
          <w:rFonts w:hint="eastAsia"/>
          <w:snapToGrid w:val="0"/>
          <w:kern w:val="0"/>
          <w:szCs w:val="21"/>
        </w:rPr>
        <w:t>（2）评价范围</w:t>
      </w:r>
    </w:p>
    <w:p>
      <w:pPr>
        <w:pStyle w:val="6"/>
        <w:spacing w:line="360" w:lineRule="auto"/>
        <w:rPr>
          <w:snapToGrid w:val="0"/>
          <w:kern w:val="0"/>
        </w:rPr>
      </w:pPr>
      <w:r>
        <w:rPr>
          <w:rFonts w:hint="eastAsia"/>
          <w:snapToGrid w:val="0"/>
          <w:kern w:val="0"/>
        </w:rPr>
        <w:t>大气环境风险二级评价范围为建设项目边界不低于5 公里范围，本次环评取距建设项目边界5公里范围。地表水环境</w:t>
      </w:r>
      <w:r>
        <w:rPr>
          <w:rFonts w:hint="eastAsia"/>
          <w:snapToGrid w:val="0"/>
          <w:kern w:val="0"/>
          <w:lang w:eastAsia="zh-CN"/>
        </w:rPr>
        <w:t>风险评价为三级，</w:t>
      </w:r>
      <w:r>
        <w:rPr>
          <w:rFonts w:hint="eastAsia"/>
          <w:snapToGrid w:val="0"/>
          <w:kern w:val="0"/>
          <w:szCs w:val="21"/>
          <w:lang w:eastAsia="zh-CN"/>
        </w:rPr>
        <w:t>影响范围涉及水环境保护目标的，评价范围至少应扩大到水环境保护目标内受影响的水域，评价范围为东风河入沅江口及沅江沅水武陵段青虾中华鳖国家级水产种质资源保护区。</w:t>
      </w:r>
      <w:r>
        <w:rPr>
          <w:rFonts w:hint="eastAsia"/>
          <w:snapToGrid w:val="0"/>
          <w:kern w:val="0"/>
        </w:rPr>
        <w:t>地下水环境风险潜势为判别为“I”，</w:t>
      </w:r>
      <w:r>
        <w:rPr>
          <w:rFonts w:hint="eastAsia"/>
          <w:snapToGrid w:val="0"/>
          <w:kern w:val="0"/>
          <w:lang w:eastAsia="zh-CN"/>
        </w:rPr>
        <w:t>为简单分析，</w:t>
      </w:r>
      <w:r>
        <w:rPr>
          <w:rFonts w:hint="eastAsia"/>
          <w:snapToGrid w:val="0"/>
          <w:kern w:val="0"/>
        </w:rPr>
        <w:t>不设评价范围。</w:t>
      </w:r>
    </w:p>
    <w:p>
      <w:pPr>
        <w:pStyle w:val="6"/>
        <w:spacing w:line="360" w:lineRule="auto"/>
        <w:rPr>
          <w:rFonts w:hint="eastAsia"/>
          <w:snapToGrid w:val="0"/>
          <w:kern w:val="0"/>
          <w:szCs w:val="21"/>
        </w:rPr>
      </w:pPr>
      <w:r>
        <w:rPr>
          <w:rFonts w:hint="eastAsia"/>
          <w:snapToGrid w:val="0"/>
          <w:kern w:val="0"/>
          <w:szCs w:val="21"/>
        </w:rPr>
        <w:t>（3）评价工作内容</w:t>
      </w:r>
    </w:p>
    <w:p>
      <w:pPr>
        <w:pStyle w:val="6"/>
        <w:spacing w:line="360" w:lineRule="auto"/>
        <w:rPr>
          <w:snapToGrid w:val="0"/>
          <w:kern w:val="0"/>
          <w:szCs w:val="21"/>
        </w:rPr>
      </w:pPr>
      <w:r>
        <w:rPr>
          <w:rFonts w:hint="eastAsia"/>
          <w:snapToGrid w:val="0"/>
          <w:kern w:val="0"/>
          <w:szCs w:val="21"/>
        </w:rPr>
        <w:t>大气环境风险二级评价需选取最不利气象条件，选择适用的数值方法进行分析预测，给出风险事故情形下危险物质释放可能造成的大气环境影响范围与程度；地表水环境风险三级评价应定性分析说明地表水环境影响后果，因本项目厂区内设置事故防控措施，因此本项目仅分析相关防控措施的可行性。地下水环境风险为简单分析。</w:t>
      </w:r>
    </w:p>
    <w:p>
      <w:pPr>
        <w:pStyle w:val="46"/>
        <w:tabs>
          <w:tab w:val="left" w:pos="6638"/>
        </w:tabs>
        <w:ind w:firstLine="0" w:firstLineChars="0"/>
        <w:rPr>
          <w:rStyle w:val="47"/>
          <w:rFonts w:hint="eastAsia"/>
          <w:b/>
          <w:sz w:val="24"/>
          <w:szCs w:val="24"/>
        </w:rPr>
      </w:pPr>
      <w:r>
        <w:rPr>
          <w:rStyle w:val="47"/>
          <w:rFonts w:hint="eastAsia"/>
          <w:b/>
          <w:sz w:val="24"/>
          <w:szCs w:val="24"/>
        </w:rPr>
        <w:t>4风险识别</w:t>
      </w:r>
    </w:p>
    <w:p>
      <w:pPr>
        <w:pStyle w:val="46"/>
        <w:tabs>
          <w:tab w:val="left" w:pos="6638"/>
        </w:tabs>
        <w:ind w:firstLine="0" w:firstLineChars="0"/>
        <w:rPr>
          <w:rStyle w:val="47"/>
          <w:rFonts w:hint="eastAsia"/>
          <w:b/>
          <w:sz w:val="24"/>
          <w:szCs w:val="24"/>
        </w:rPr>
      </w:pPr>
      <w:r>
        <w:rPr>
          <w:rStyle w:val="47"/>
          <w:rFonts w:hint="eastAsia"/>
          <w:b/>
          <w:sz w:val="24"/>
          <w:szCs w:val="24"/>
        </w:rPr>
        <w:t>4.1物质风险识别</w:t>
      </w:r>
    </w:p>
    <w:p>
      <w:pPr>
        <w:pStyle w:val="46"/>
        <w:tabs>
          <w:tab w:val="left" w:pos="6638"/>
        </w:tabs>
        <w:ind w:firstLine="480" w:firstLineChars="200"/>
        <w:rPr>
          <w:rFonts w:hint="eastAsia"/>
          <w:snapToGrid w:val="0"/>
          <w:kern w:val="0"/>
          <w:szCs w:val="21"/>
        </w:rPr>
      </w:pPr>
      <w:r>
        <w:rPr>
          <w:rFonts w:hint="eastAsia"/>
          <w:snapToGrid w:val="0"/>
          <w:kern w:val="0"/>
          <w:szCs w:val="21"/>
        </w:rPr>
        <w:t>根据《建设项目环境风险评价技术导则》（HJ169-2018），物质危险识别包括主要原辅材料、燃料、中间产品、副产品、最终产品、污染物、火灾和爆炸伴生/次生物等。</w:t>
      </w:r>
    </w:p>
    <w:p>
      <w:pPr>
        <w:keepNext/>
        <w:autoSpaceDE w:val="0"/>
        <w:autoSpaceDN w:val="0"/>
        <w:adjustRightInd w:val="0"/>
        <w:jc w:val="center"/>
        <w:rPr>
          <w:b/>
          <w:bCs/>
          <w:kern w:val="0"/>
          <w:szCs w:val="21"/>
        </w:rPr>
      </w:pPr>
      <w:r>
        <w:rPr>
          <w:rFonts w:hint="eastAsia"/>
          <w:b/>
          <w:bCs/>
          <w:kern w:val="0"/>
          <w:szCs w:val="21"/>
        </w:rPr>
        <w:t>表15</w:t>
      </w:r>
      <w:r>
        <w:rPr>
          <w:b/>
          <w:bCs/>
          <w:kern w:val="0"/>
          <w:szCs w:val="21"/>
        </w:rPr>
        <w:t xml:space="preserve"> </w:t>
      </w:r>
      <w:r>
        <w:rPr>
          <w:rFonts w:hint="eastAsia"/>
          <w:b/>
          <w:bCs/>
          <w:kern w:val="0"/>
          <w:szCs w:val="21"/>
        </w:rPr>
        <w:t xml:space="preserve"> 物质危险性标准</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54"/>
        <w:gridCol w:w="2110"/>
        <w:gridCol w:w="2260"/>
        <w:gridCol w:w="2109"/>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75"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类别</w:t>
            </w:r>
          </w:p>
        </w:tc>
        <w:tc>
          <w:tcPr>
            <w:tcW w:w="709"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1985"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LD50（大鼠经口）/（mg/kg）</w:t>
            </w:r>
          </w:p>
        </w:tc>
        <w:tc>
          <w:tcPr>
            <w:tcW w:w="2126" w:type="dxa"/>
            <w:vAlign w:val="center"/>
          </w:tcPr>
          <w:p>
            <w:pPr>
              <w:pStyle w:val="49"/>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LD50（大鼠经皮）/（mg/kg）</w:t>
            </w:r>
          </w:p>
        </w:tc>
        <w:tc>
          <w:tcPr>
            <w:tcW w:w="1984" w:type="dxa"/>
            <w:vAlign w:val="center"/>
          </w:tcPr>
          <w:p>
            <w:pPr>
              <w:pStyle w:val="49"/>
              <w:adjustRightInd w:val="0"/>
              <w:snapToGrid w:val="0"/>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LC50 （小鼠吸入、4h/（mg/L）</w:t>
            </w:r>
          </w:p>
        </w:tc>
        <w:tc>
          <w:tcPr>
            <w:tcW w:w="1043" w:type="dxa"/>
            <w:vAlign w:val="center"/>
          </w:tcPr>
          <w:p>
            <w:pPr>
              <w:pStyle w:val="49"/>
              <w:adjustRightInd w:val="0"/>
              <w:snapToGrid w:val="0"/>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有毒物质</w:t>
            </w:r>
          </w:p>
        </w:tc>
        <w:tc>
          <w:tcPr>
            <w:tcW w:w="709"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w:t>
            </w:r>
          </w:p>
        </w:tc>
        <w:tc>
          <w:tcPr>
            <w:tcW w:w="1985"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＜5</w:t>
            </w:r>
          </w:p>
        </w:tc>
        <w:tc>
          <w:tcPr>
            <w:tcW w:w="2126"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w:t>
            </w:r>
          </w:p>
        </w:tc>
        <w:tc>
          <w:tcPr>
            <w:tcW w:w="1984"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＜0.1</w:t>
            </w:r>
          </w:p>
        </w:tc>
        <w:tc>
          <w:tcPr>
            <w:tcW w:w="1043" w:type="dxa"/>
            <w:vMerge w:val="restart"/>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剧毒物质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p>
        </w:tc>
        <w:tc>
          <w:tcPr>
            <w:tcW w:w="709"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w:t>
            </w:r>
          </w:p>
        </w:tc>
        <w:tc>
          <w:tcPr>
            <w:tcW w:w="1985"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5＜LD50＜25</w:t>
            </w:r>
          </w:p>
        </w:tc>
        <w:tc>
          <w:tcPr>
            <w:tcW w:w="2126" w:type="dxa"/>
            <w:vAlign w:val="center"/>
          </w:tcPr>
          <w:p>
            <w:pPr>
              <w:pStyle w:val="49"/>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10＜LD50＜50</w:t>
            </w:r>
          </w:p>
        </w:tc>
        <w:tc>
          <w:tcPr>
            <w:tcW w:w="1984"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0.1＜LD50＜0.5</w:t>
            </w:r>
          </w:p>
        </w:tc>
        <w:tc>
          <w:tcPr>
            <w:tcW w:w="1043" w:type="dxa"/>
            <w:vMerge w:val="continue"/>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p>
        </w:tc>
        <w:tc>
          <w:tcPr>
            <w:tcW w:w="709"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3</w:t>
            </w:r>
          </w:p>
        </w:tc>
        <w:tc>
          <w:tcPr>
            <w:tcW w:w="1985"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25＜LD50＜200</w:t>
            </w:r>
          </w:p>
        </w:tc>
        <w:tc>
          <w:tcPr>
            <w:tcW w:w="2126"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50＜LD50＜500</w:t>
            </w:r>
          </w:p>
        </w:tc>
        <w:tc>
          <w:tcPr>
            <w:tcW w:w="1984"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0.5＜LD50＜2</w:t>
            </w:r>
          </w:p>
        </w:tc>
        <w:tc>
          <w:tcPr>
            <w:tcW w:w="1043"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一般毒物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易燃物质</w:t>
            </w:r>
          </w:p>
        </w:tc>
        <w:tc>
          <w:tcPr>
            <w:tcW w:w="709"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1</w:t>
            </w:r>
          </w:p>
        </w:tc>
        <w:tc>
          <w:tcPr>
            <w:tcW w:w="7138" w:type="dxa"/>
            <w:gridSpan w:val="4"/>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可燃气体：在常温下以气态存在并与空气混合形成可燃混合物；其沸点（常压下）是20</w:t>
            </w:r>
            <w:r>
              <w:rPr>
                <w:rFonts w:hint="eastAsia" w:ascii="宋体" w:hAnsi="宋体" w:cs="宋体"/>
                <w:bCs/>
                <w:color w:val="000000" w:themeColor="text1"/>
                <w:kern w:val="0"/>
                <w:szCs w:val="21"/>
                <w14:textFill>
                  <w14:solidFill>
                    <w14:schemeClr w14:val="tx1"/>
                  </w14:solidFill>
                </w14:textFill>
              </w:rPr>
              <w:t>℃</w:t>
            </w:r>
            <w:r>
              <w:rPr>
                <w:rFonts w:ascii="Times New Roman" w:hAnsi="Times New Roman"/>
                <w:bCs/>
                <w:color w:val="000000" w:themeColor="text1"/>
                <w:kern w:val="0"/>
                <w:szCs w:val="21"/>
                <w14:textFill>
                  <w14:solidFill>
                    <w14:schemeClr w14:val="tx1"/>
                  </w14:solidFill>
                </w14:textFill>
              </w:rPr>
              <w:t>或20</w:t>
            </w:r>
            <w:r>
              <w:rPr>
                <w:rFonts w:hint="eastAsia" w:ascii="宋体" w:hAnsi="宋体" w:cs="宋体"/>
                <w:bCs/>
                <w:color w:val="000000" w:themeColor="text1"/>
                <w:kern w:val="0"/>
                <w:szCs w:val="21"/>
                <w14:textFill>
                  <w14:solidFill>
                    <w14:schemeClr w14:val="tx1"/>
                  </w14:solidFill>
                </w14:textFill>
              </w:rPr>
              <w:t>℃</w:t>
            </w:r>
            <w:r>
              <w:rPr>
                <w:rFonts w:ascii="Times New Roman" w:hAnsi="Times New Roman"/>
                <w:bCs/>
                <w:color w:val="000000" w:themeColor="text1"/>
                <w:kern w:val="0"/>
                <w:szCs w:val="21"/>
                <w14:textFill>
                  <w14:solidFill>
                    <w14:schemeClr w14:val="tx1"/>
                  </w14:solidFill>
                </w14:textFill>
              </w:rPr>
              <w:t>以下的物质。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p>
        </w:tc>
        <w:tc>
          <w:tcPr>
            <w:tcW w:w="709"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2</w:t>
            </w:r>
          </w:p>
        </w:tc>
        <w:tc>
          <w:tcPr>
            <w:tcW w:w="7138" w:type="dxa"/>
            <w:gridSpan w:val="4"/>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易燃液体：闪点低于21</w:t>
            </w:r>
            <w:r>
              <w:rPr>
                <w:rFonts w:hint="eastAsia" w:ascii="宋体" w:hAnsi="宋体" w:cs="宋体"/>
                <w:bCs/>
                <w:color w:val="000000" w:themeColor="text1"/>
                <w:kern w:val="0"/>
                <w:szCs w:val="21"/>
                <w14:textFill>
                  <w14:solidFill>
                    <w14:schemeClr w14:val="tx1"/>
                  </w14:solidFill>
                </w14:textFill>
              </w:rPr>
              <w:t>℃</w:t>
            </w:r>
            <w:r>
              <w:rPr>
                <w:rFonts w:ascii="Times New Roman" w:hAnsi="Times New Roman"/>
                <w:bCs/>
                <w:color w:val="000000" w:themeColor="text1"/>
                <w:kern w:val="0"/>
                <w:szCs w:val="21"/>
                <w14:textFill>
                  <w14:solidFill>
                    <w14:schemeClr w14:val="tx1"/>
                  </w14:solidFill>
                </w14:textFill>
              </w:rPr>
              <w:t>，沸点高于20</w:t>
            </w:r>
            <w:r>
              <w:rPr>
                <w:rFonts w:hint="eastAsia" w:ascii="宋体" w:hAnsi="宋体" w:cs="宋体"/>
                <w:bCs/>
                <w:color w:val="000000" w:themeColor="text1"/>
                <w:kern w:val="0"/>
                <w:szCs w:val="21"/>
                <w14:textFill>
                  <w14:solidFill>
                    <w14:schemeClr w14:val="tx1"/>
                  </w14:solidFill>
                </w14:textFill>
              </w:rPr>
              <w:t>℃</w:t>
            </w:r>
            <w:r>
              <w:rPr>
                <w:rFonts w:ascii="Times New Roman" w:hAnsi="Times New Roman"/>
                <w:bCs/>
                <w:color w:val="000000" w:themeColor="text1"/>
                <w:kern w:val="0"/>
                <w:szCs w:val="21"/>
                <w14:textFill>
                  <w14:solidFill>
                    <w14:schemeClr w14:val="tx1"/>
                  </w14:solidFill>
                </w14:textFill>
              </w:rPr>
              <w:t>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p>
        </w:tc>
        <w:tc>
          <w:tcPr>
            <w:tcW w:w="709" w:type="dxa"/>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3</w:t>
            </w:r>
          </w:p>
        </w:tc>
        <w:tc>
          <w:tcPr>
            <w:tcW w:w="7138" w:type="dxa"/>
            <w:gridSpan w:val="4"/>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可燃液体：闪点低于55</w:t>
            </w:r>
            <w:r>
              <w:rPr>
                <w:rFonts w:hint="eastAsia" w:ascii="宋体" w:hAnsi="宋体" w:cs="宋体"/>
                <w:bCs/>
                <w:color w:val="000000" w:themeColor="text1"/>
                <w:kern w:val="0"/>
                <w:szCs w:val="21"/>
                <w14:textFill>
                  <w14:solidFill>
                    <w14:schemeClr w14:val="tx1"/>
                  </w14:solidFill>
                </w14:textFill>
              </w:rPr>
              <w:t>℃</w:t>
            </w:r>
            <w:r>
              <w:rPr>
                <w:rFonts w:ascii="Times New Roman" w:hAnsi="Times New Roman"/>
                <w:bCs/>
                <w:color w:val="000000" w:themeColor="text1"/>
                <w:kern w:val="0"/>
                <w:szCs w:val="21"/>
                <w14:textFill>
                  <w14:solidFill>
                    <w14:schemeClr w14:val="tx1"/>
                  </w14:solidFill>
                </w14:textFill>
              </w:rPr>
              <w:t>，压力下保持液态，在实际操作条件下（如高温高压）可引起重大事故的物质。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gridSpan w:val="2"/>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爆炸性物质</w:t>
            </w:r>
          </w:p>
        </w:tc>
        <w:tc>
          <w:tcPr>
            <w:tcW w:w="7138" w:type="dxa"/>
            <w:gridSpan w:val="4"/>
            <w:vAlign w:val="center"/>
          </w:tcPr>
          <w:p>
            <w:pPr>
              <w:pStyle w:val="49"/>
              <w:adjustRightInd w:val="0"/>
              <w:snapToGrid w:val="0"/>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在火焰影响下可以爆炸，或者对冲击、摩擦比硝基苯更为敏感的物质。</w:t>
            </w:r>
          </w:p>
        </w:tc>
      </w:tr>
    </w:tbl>
    <w:p>
      <w:pPr>
        <w:pStyle w:val="46"/>
        <w:tabs>
          <w:tab w:val="left" w:pos="6638"/>
        </w:tabs>
        <w:ind w:firstLine="480" w:firstLineChars="200"/>
        <w:rPr>
          <w:rFonts w:hint="default"/>
          <w:snapToGrid w:val="0"/>
          <w:kern w:val="0"/>
          <w:szCs w:val="21"/>
          <w:lang w:val="en-US" w:eastAsia="zh-CN"/>
        </w:rPr>
      </w:pPr>
      <w:r>
        <w:rPr>
          <w:rFonts w:hint="eastAsia"/>
          <w:snapToGrid w:val="0"/>
          <w:kern w:val="0"/>
          <w:szCs w:val="21"/>
          <w:lang w:eastAsia="zh-CN"/>
        </w:rPr>
        <w:t>本项目为丙类物质仓储项目，本仓库储存的物质中，</w:t>
      </w:r>
      <w:r>
        <w:rPr>
          <w:rFonts w:hint="eastAsia"/>
          <w:snapToGrid w:val="0"/>
          <w:kern w:val="0"/>
          <w:szCs w:val="21"/>
          <w:lang w:val="en-US" w:eastAsia="zh-CN"/>
        </w:rPr>
        <w:t>甲基嘧啶磷、</w:t>
      </w:r>
      <w:r>
        <w:rPr>
          <w:rFonts w:hint="default"/>
          <w:snapToGrid w:val="0"/>
          <w:kern w:val="0"/>
          <w:szCs w:val="21"/>
          <w:lang w:val="en-US" w:eastAsia="zh-CN"/>
        </w:rPr>
        <w:t>丁硫克百威</w:t>
      </w:r>
      <w:r>
        <w:rPr>
          <w:rFonts w:hint="eastAsia"/>
          <w:snapToGrid w:val="0"/>
          <w:kern w:val="0"/>
          <w:szCs w:val="21"/>
          <w:lang w:val="en-US" w:eastAsia="zh-CN"/>
        </w:rPr>
        <w:t>、丙硫克百威、仲丁威等物质具有毒性（T），属于健康危险急性毒性物质（类别2、类别3），苯甲醇、乙二醇、</w:t>
      </w:r>
      <w:r>
        <w:rPr>
          <w:rFonts w:hint="eastAsia"/>
          <w:bCs/>
          <w:sz w:val="24"/>
          <w:szCs w:val="24"/>
          <w:lang w:val="en-US" w:eastAsia="zh-CN"/>
        </w:rPr>
        <w:t>氯菊酯、磷酸二正丁酯等物质均为低毒类物质，不属于健康危险和危害水环境急性毒性类物质，但均</w:t>
      </w:r>
      <w:r>
        <w:rPr>
          <w:rFonts w:hint="eastAsia"/>
          <w:snapToGrid w:val="0"/>
          <w:kern w:val="0"/>
          <w:szCs w:val="21"/>
          <w:lang w:val="en-US" w:eastAsia="zh-CN"/>
        </w:rPr>
        <w:t>具有易燃性（I）。</w:t>
      </w:r>
    </w:p>
    <w:p>
      <w:pPr>
        <w:pStyle w:val="46"/>
        <w:tabs>
          <w:tab w:val="left" w:pos="6638"/>
        </w:tabs>
        <w:ind w:firstLine="0" w:firstLineChars="0"/>
        <w:rPr>
          <w:rStyle w:val="47"/>
          <w:rFonts w:hint="eastAsia"/>
          <w:b/>
          <w:sz w:val="24"/>
          <w:szCs w:val="24"/>
        </w:rPr>
      </w:pPr>
      <w:r>
        <w:rPr>
          <w:rStyle w:val="47"/>
          <w:rFonts w:hint="eastAsia"/>
          <w:b/>
          <w:sz w:val="24"/>
          <w:szCs w:val="24"/>
        </w:rPr>
        <w:t>4.</w:t>
      </w:r>
      <w:r>
        <w:rPr>
          <w:rStyle w:val="47"/>
          <w:rFonts w:hint="eastAsia"/>
          <w:b/>
          <w:sz w:val="24"/>
          <w:szCs w:val="24"/>
          <w:lang w:val="en-US" w:eastAsia="zh-CN"/>
        </w:rPr>
        <w:t>2</w:t>
      </w:r>
      <w:r>
        <w:rPr>
          <w:rStyle w:val="47"/>
          <w:rFonts w:hint="eastAsia"/>
          <w:b/>
          <w:sz w:val="24"/>
          <w:szCs w:val="24"/>
        </w:rPr>
        <w:t>贮存过程风险识别</w:t>
      </w:r>
    </w:p>
    <w:p>
      <w:pPr>
        <w:pStyle w:val="6"/>
        <w:spacing w:line="360" w:lineRule="auto"/>
        <w:rPr>
          <w:rFonts w:hint="eastAsia"/>
          <w:snapToGrid w:val="0"/>
          <w:kern w:val="0"/>
          <w:szCs w:val="21"/>
        </w:rPr>
      </w:pPr>
      <w:r>
        <w:rPr>
          <w:rFonts w:hint="eastAsia"/>
          <w:snapToGrid w:val="0"/>
          <w:kern w:val="0"/>
          <w:szCs w:val="21"/>
        </w:rPr>
        <w:t>本项目贮存的危险废物具有易燃性（I）、毒性（T）等危险特性，在贮存过程中由于包装桶破裂、操作失误等可能造成危险废物的泄漏；同时贮存的易燃类危险废物，在电线短路、雷击和明火情况下，可能存在火灾的发生。</w:t>
      </w:r>
    </w:p>
    <w:p>
      <w:pPr>
        <w:pStyle w:val="46"/>
        <w:tabs>
          <w:tab w:val="left" w:pos="6638"/>
        </w:tabs>
        <w:ind w:firstLine="0" w:firstLineChars="0"/>
        <w:rPr>
          <w:rStyle w:val="47"/>
          <w:rFonts w:hint="eastAsia"/>
          <w:b/>
          <w:sz w:val="24"/>
          <w:szCs w:val="24"/>
        </w:rPr>
      </w:pPr>
      <w:r>
        <w:rPr>
          <w:rStyle w:val="47"/>
          <w:rFonts w:hint="eastAsia"/>
          <w:b/>
          <w:sz w:val="24"/>
          <w:szCs w:val="24"/>
        </w:rPr>
        <w:t>4.5环境风险类型及危害分析</w:t>
      </w:r>
    </w:p>
    <w:p>
      <w:pPr>
        <w:pStyle w:val="46"/>
        <w:tabs>
          <w:tab w:val="left" w:pos="6638"/>
        </w:tabs>
        <w:ind w:firstLine="0" w:firstLineChars="0"/>
        <w:rPr>
          <w:rStyle w:val="47"/>
          <w:b/>
          <w:sz w:val="24"/>
          <w:szCs w:val="24"/>
        </w:rPr>
      </w:pPr>
      <w:r>
        <w:rPr>
          <w:rStyle w:val="47"/>
          <w:rFonts w:hint="eastAsia"/>
          <w:b/>
          <w:sz w:val="24"/>
          <w:szCs w:val="24"/>
        </w:rPr>
        <w:t>4.5.1环境风险类型</w:t>
      </w:r>
    </w:p>
    <w:p>
      <w:pPr>
        <w:pStyle w:val="6"/>
        <w:spacing w:line="360" w:lineRule="auto"/>
        <w:rPr>
          <w:snapToGrid w:val="0"/>
          <w:kern w:val="0"/>
          <w:szCs w:val="21"/>
        </w:rPr>
      </w:pPr>
      <w:r>
        <w:rPr>
          <w:rFonts w:hint="eastAsia"/>
          <w:snapToGrid w:val="0"/>
          <w:kern w:val="0"/>
          <w:szCs w:val="21"/>
        </w:rPr>
        <w:t>事故的风险类型通常分为火灾、爆炸、泄漏三种。项目</w:t>
      </w:r>
      <w:r>
        <w:rPr>
          <w:rFonts w:hint="eastAsia"/>
          <w:snapToGrid w:val="0"/>
          <w:kern w:val="0"/>
          <w:szCs w:val="21"/>
          <w:lang w:eastAsia="zh-CN"/>
        </w:rPr>
        <w:t>仓库储存</w:t>
      </w:r>
      <w:r>
        <w:rPr>
          <w:rFonts w:hint="eastAsia"/>
          <w:snapToGrid w:val="0"/>
          <w:kern w:val="0"/>
          <w:szCs w:val="21"/>
        </w:rPr>
        <w:t>的</w:t>
      </w:r>
      <w:r>
        <w:rPr>
          <w:rFonts w:hint="eastAsia"/>
          <w:snapToGrid w:val="0"/>
          <w:kern w:val="0"/>
          <w:szCs w:val="21"/>
          <w:lang w:eastAsia="zh-CN"/>
        </w:rPr>
        <w:t>原料、产品部分</w:t>
      </w:r>
      <w:r>
        <w:rPr>
          <w:rFonts w:hint="eastAsia"/>
          <w:snapToGrid w:val="0"/>
          <w:kern w:val="0"/>
          <w:szCs w:val="21"/>
        </w:rPr>
        <w:t>具有毒性，部分物质可燃，贮存过程中可能引发的环境风险事故有：</w:t>
      </w:r>
    </w:p>
    <w:p>
      <w:pPr>
        <w:pStyle w:val="6"/>
        <w:numPr>
          <w:ilvl w:val="0"/>
          <w:numId w:val="11"/>
        </w:numPr>
        <w:spacing w:line="360" w:lineRule="auto"/>
        <w:rPr>
          <w:rFonts w:hint="eastAsia"/>
          <w:snapToGrid w:val="0"/>
          <w:kern w:val="0"/>
          <w:szCs w:val="21"/>
        </w:rPr>
      </w:pPr>
      <w:r>
        <w:rPr>
          <w:rFonts w:hint="eastAsia"/>
          <w:snapToGrid w:val="0"/>
          <w:kern w:val="0"/>
          <w:szCs w:val="21"/>
        </w:rPr>
        <w:t>泄漏</w:t>
      </w:r>
    </w:p>
    <w:p>
      <w:pPr>
        <w:pStyle w:val="6"/>
        <w:numPr>
          <w:ilvl w:val="0"/>
          <w:numId w:val="0"/>
        </w:numPr>
        <w:spacing w:line="360" w:lineRule="auto"/>
        <w:ind w:firstLine="480" w:firstLineChars="200"/>
        <w:rPr>
          <w:rFonts w:hint="eastAsia"/>
          <w:snapToGrid w:val="0"/>
          <w:kern w:val="0"/>
          <w:szCs w:val="21"/>
          <w:lang w:eastAsia="zh-CN"/>
        </w:rPr>
      </w:pPr>
      <w:r>
        <w:rPr>
          <w:rFonts w:hint="eastAsia"/>
          <w:snapToGrid w:val="0"/>
          <w:kern w:val="0"/>
          <w:szCs w:val="21"/>
        </w:rPr>
        <w:t>包装容</w:t>
      </w:r>
      <w:r>
        <w:rPr>
          <w:rFonts w:hint="eastAsia"/>
          <w:snapToGrid w:val="0"/>
          <w:kern w:val="0"/>
          <w:szCs w:val="21"/>
          <w:lang w:eastAsia="zh-CN"/>
        </w:rPr>
        <w:t>器</w:t>
      </w:r>
      <w:r>
        <w:rPr>
          <w:rFonts w:hint="eastAsia"/>
          <w:snapToGrid w:val="0"/>
          <w:kern w:val="0"/>
          <w:szCs w:val="21"/>
        </w:rPr>
        <w:t>或储罐破损、破裂，将导致大量液</w:t>
      </w:r>
      <w:r>
        <w:rPr>
          <w:rFonts w:hint="eastAsia"/>
          <w:snapToGrid w:val="0"/>
          <w:kern w:val="0"/>
          <w:szCs w:val="21"/>
          <w:lang w:eastAsia="zh-CN"/>
        </w:rPr>
        <w:t>体物料等</w:t>
      </w:r>
      <w:r>
        <w:rPr>
          <w:rFonts w:hint="eastAsia"/>
          <w:snapToGrid w:val="0"/>
          <w:kern w:val="0"/>
          <w:szCs w:val="21"/>
        </w:rPr>
        <w:t>泄漏</w:t>
      </w:r>
      <w:r>
        <w:rPr>
          <w:rFonts w:hint="eastAsia"/>
          <w:snapToGrid w:val="0"/>
          <w:kern w:val="0"/>
          <w:szCs w:val="21"/>
          <w:lang w:eastAsia="zh-CN"/>
        </w:rPr>
        <w:t>。</w:t>
      </w:r>
    </w:p>
    <w:p>
      <w:pPr>
        <w:pStyle w:val="6"/>
        <w:spacing w:line="360" w:lineRule="auto"/>
        <w:rPr>
          <w:rFonts w:hint="eastAsia"/>
          <w:snapToGrid w:val="0"/>
          <w:kern w:val="0"/>
          <w:szCs w:val="21"/>
        </w:rPr>
      </w:pPr>
      <w:r>
        <w:rPr>
          <w:rFonts w:hint="eastAsia"/>
          <w:snapToGrid w:val="0"/>
          <w:kern w:val="0"/>
          <w:szCs w:val="21"/>
          <w:lang w:eastAsia="zh-CN"/>
        </w:rPr>
        <w:t>（</w:t>
      </w:r>
      <w:r>
        <w:rPr>
          <w:rFonts w:hint="eastAsia"/>
          <w:snapToGrid w:val="0"/>
          <w:kern w:val="0"/>
          <w:szCs w:val="21"/>
          <w:lang w:val="en-US" w:eastAsia="zh-CN"/>
        </w:rPr>
        <w:t>2</w:t>
      </w:r>
      <w:r>
        <w:rPr>
          <w:rFonts w:hint="eastAsia"/>
          <w:snapToGrid w:val="0"/>
          <w:kern w:val="0"/>
          <w:szCs w:val="21"/>
          <w:lang w:eastAsia="zh-CN"/>
        </w:rPr>
        <w:t>）</w:t>
      </w:r>
      <w:r>
        <w:rPr>
          <w:rFonts w:hint="eastAsia"/>
          <w:snapToGrid w:val="0"/>
          <w:kern w:val="0"/>
          <w:szCs w:val="21"/>
        </w:rPr>
        <w:t>火灾、爆炸</w:t>
      </w:r>
      <w:r>
        <w:rPr>
          <w:rFonts w:hint="eastAsia"/>
          <w:snapToGrid w:val="0"/>
          <w:kern w:val="0"/>
          <w:szCs w:val="21"/>
          <w:lang w:eastAsia="zh-CN"/>
        </w:rPr>
        <w:t>引发的</w:t>
      </w:r>
      <w:r>
        <w:rPr>
          <w:rFonts w:hint="eastAsia"/>
          <w:snapToGrid w:val="0"/>
          <w:kern w:val="0"/>
          <w:szCs w:val="21"/>
        </w:rPr>
        <w:t>伴生/次生污染</w:t>
      </w:r>
    </w:p>
    <w:p>
      <w:pPr>
        <w:pStyle w:val="6"/>
        <w:spacing w:line="360" w:lineRule="auto"/>
        <w:rPr>
          <w:rFonts w:hint="eastAsia"/>
          <w:snapToGrid w:val="0"/>
          <w:kern w:val="0"/>
          <w:szCs w:val="21"/>
          <w:lang w:eastAsia="zh-CN"/>
        </w:rPr>
      </w:pPr>
      <w:r>
        <w:rPr>
          <w:rFonts w:hint="eastAsia"/>
          <w:snapToGrid w:val="0"/>
          <w:kern w:val="0"/>
          <w:szCs w:val="21"/>
          <w:lang w:eastAsia="zh-CN"/>
        </w:rPr>
        <w:t>仓库</w:t>
      </w:r>
      <w:r>
        <w:rPr>
          <w:rFonts w:hint="eastAsia"/>
          <w:snapToGrid w:val="0"/>
          <w:kern w:val="0"/>
          <w:szCs w:val="21"/>
        </w:rPr>
        <w:t>内使用的电气设备、机械设备的电机、照明、开关箱应设计为防爆型；若电气设备不防爆或防爆级别不够，在电气设备运行时能产生电火花，存在引发火灾、爆炸的危险</w:t>
      </w:r>
      <w:r>
        <w:rPr>
          <w:rFonts w:hint="eastAsia"/>
          <w:snapToGrid w:val="0"/>
          <w:kern w:val="0"/>
          <w:szCs w:val="21"/>
          <w:lang w:eastAsia="zh-CN"/>
        </w:rPr>
        <w:t>。</w:t>
      </w:r>
    </w:p>
    <w:p>
      <w:pPr>
        <w:pStyle w:val="6"/>
        <w:spacing w:line="360" w:lineRule="auto"/>
        <w:rPr>
          <w:rFonts w:hint="eastAsia"/>
          <w:snapToGrid w:val="0"/>
          <w:kern w:val="0"/>
          <w:szCs w:val="21"/>
        </w:rPr>
      </w:pPr>
      <w:r>
        <w:rPr>
          <w:rFonts w:hint="eastAsia"/>
          <w:snapToGrid w:val="0"/>
          <w:kern w:val="0"/>
          <w:szCs w:val="21"/>
        </w:rPr>
        <w:t>项目涉及的易燃物质若发生泄漏</w:t>
      </w:r>
      <w:r>
        <w:rPr>
          <w:rFonts w:hint="eastAsia"/>
          <w:snapToGrid w:val="0"/>
          <w:kern w:val="0"/>
          <w:szCs w:val="21"/>
          <w:lang w:eastAsia="zh-CN"/>
        </w:rPr>
        <w:t>，再</w:t>
      </w:r>
      <w:r>
        <w:rPr>
          <w:rFonts w:hint="eastAsia"/>
          <w:snapToGrid w:val="0"/>
          <w:kern w:val="0"/>
          <w:szCs w:val="21"/>
        </w:rPr>
        <w:t>遇火、热时，极有可能引发火灾、爆炸事故，产生的CO可能会导致中毒事故。事故应急救援中产生的</w:t>
      </w:r>
      <w:r>
        <w:rPr>
          <w:rFonts w:hint="eastAsia"/>
          <w:snapToGrid w:val="0"/>
          <w:kern w:val="0"/>
          <w:szCs w:val="21"/>
          <w:lang w:eastAsia="zh-CN"/>
        </w:rPr>
        <w:t>消防废水</w:t>
      </w:r>
      <w:r>
        <w:rPr>
          <w:rFonts w:hint="eastAsia"/>
          <w:snapToGrid w:val="0"/>
          <w:kern w:val="0"/>
          <w:szCs w:val="21"/>
        </w:rPr>
        <w:t>将伴有一定的物料，若沿雨水管网外排，将对</w:t>
      </w:r>
      <w:r>
        <w:rPr>
          <w:rFonts w:hint="eastAsia"/>
          <w:snapToGrid w:val="0"/>
          <w:kern w:val="0"/>
          <w:szCs w:val="21"/>
          <w:lang w:eastAsia="zh-CN"/>
        </w:rPr>
        <w:t>周边</w:t>
      </w:r>
      <w:r>
        <w:rPr>
          <w:rFonts w:hint="eastAsia"/>
          <w:snapToGrid w:val="0"/>
          <w:kern w:val="0"/>
          <w:szCs w:val="21"/>
        </w:rPr>
        <w:t>受纳水体产生污染。</w:t>
      </w:r>
    </w:p>
    <w:p>
      <w:pPr>
        <w:pStyle w:val="46"/>
        <w:tabs>
          <w:tab w:val="left" w:pos="6638"/>
        </w:tabs>
        <w:ind w:firstLine="0" w:firstLineChars="0"/>
        <w:rPr>
          <w:rStyle w:val="47"/>
          <w:b/>
          <w:sz w:val="21"/>
          <w:szCs w:val="21"/>
        </w:rPr>
      </w:pPr>
      <w:r>
        <w:rPr>
          <w:rStyle w:val="47"/>
          <w:rFonts w:hint="eastAsia"/>
          <w:b/>
          <w:sz w:val="21"/>
          <w:szCs w:val="21"/>
        </w:rPr>
        <w:t>4.5.2危害分析</w:t>
      </w:r>
    </w:p>
    <w:p>
      <w:pPr>
        <w:pStyle w:val="6"/>
        <w:spacing w:line="360" w:lineRule="auto"/>
        <w:rPr>
          <w:snapToGrid w:val="0"/>
          <w:kern w:val="0"/>
          <w:szCs w:val="21"/>
        </w:rPr>
      </w:pPr>
      <w:r>
        <w:rPr>
          <w:rFonts w:hint="eastAsia"/>
          <w:snapToGrid w:val="0"/>
          <w:kern w:val="0"/>
          <w:szCs w:val="21"/>
        </w:rPr>
        <w:t>由于泄漏、火灾、爆炸等事故，有毒有害物料会以气态或液态形式释放至环境中，造成环境污染，主要从以下两种途径进行：</w:t>
      </w:r>
    </w:p>
    <w:p>
      <w:pPr>
        <w:pStyle w:val="6"/>
        <w:spacing w:line="360" w:lineRule="auto"/>
        <w:rPr>
          <w:snapToGrid w:val="0"/>
          <w:kern w:val="0"/>
          <w:szCs w:val="21"/>
        </w:rPr>
      </w:pPr>
      <w:r>
        <w:rPr>
          <w:rFonts w:hint="eastAsia"/>
          <w:snapToGrid w:val="0"/>
          <w:kern w:val="0"/>
          <w:szCs w:val="21"/>
        </w:rPr>
        <w:t>（1）水体中的弥散</w:t>
      </w:r>
    </w:p>
    <w:p>
      <w:pPr>
        <w:pStyle w:val="6"/>
        <w:spacing w:line="360" w:lineRule="auto"/>
        <w:rPr>
          <w:snapToGrid w:val="0"/>
          <w:kern w:val="0"/>
          <w:szCs w:val="21"/>
        </w:rPr>
      </w:pPr>
      <w:r>
        <w:rPr>
          <w:rFonts w:hint="eastAsia"/>
          <w:snapToGrid w:val="0"/>
          <w:kern w:val="0"/>
          <w:szCs w:val="21"/>
        </w:rPr>
        <w:t>有毒有害物质进入水体的方式主要有两种：一是液体泄漏直接进入水体；二是火灾、爆炸时含有毒有害化学物质的消防水由于处理不当直接排入地表水，引起环境污染。进入水环境的有毒物质是通过复杂的物理化学过程被稀释、扩散和降解的，包括水中颗粒物及底部沉积物对它的吸附作用、有毒物质在水/气界面上的挥发作用、生物化学的转化等过程。</w:t>
      </w:r>
    </w:p>
    <w:p>
      <w:pPr>
        <w:pStyle w:val="6"/>
        <w:spacing w:line="360" w:lineRule="auto"/>
        <w:rPr>
          <w:snapToGrid w:val="0"/>
          <w:kern w:val="0"/>
          <w:szCs w:val="21"/>
        </w:rPr>
      </w:pPr>
      <w:r>
        <w:rPr>
          <w:rFonts w:hint="eastAsia"/>
          <w:snapToGrid w:val="0"/>
          <w:kern w:val="0"/>
          <w:szCs w:val="21"/>
        </w:rPr>
        <w:t>（2）大气中的扩散</w:t>
      </w:r>
    </w:p>
    <w:p>
      <w:pPr>
        <w:pStyle w:val="6"/>
        <w:spacing w:line="360" w:lineRule="auto"/>
        <w:rPr>
          <w:snapToGrid w:val="0"/>
          <w:kern w:val="0"/>
          <w:szCs w:val="21"/>
        </w:rPr>
      </w:pPr>
      <w:r>
        <w:rPr>
          <w:rFonts w:hint="eastAsia"/>
          <w:snapToGrid w:val="0"/>
          <w:kern w:val="0"/>
          <w:szCs w:val="21"/>
        </w:rPr>
        <w:t>有毒有害物质进入环境空气的方式主要有三种：一是贮存过程中毒性气体的泄漏；二是火灾、爆炸时未完全燃烧的有毒有害化学物质直接排入环境空气；三是液体泄漏事故中液体的挥发。毒性气体云团通过大气自身的净化作用被稀释、扩散，包括平流扩散、湍流扩散和清除机制。对于密度高于空气的云团在其稀释至安全浓度前，这些云团可以在较大范围内扩散，影响范围较大。</w:t>
      </w:r>
    </w:p>
    <w:p>
      <w:pPr>
        <w:pStyle w:val="6"/>
        <w:spacing w:line="360" w:lineRule="auto"/>
        <w:rPr>
          <w:rFonts w:hint="eastAsia"/>
          <w:snapToGrid w:val="0"/>
          <w:kern w:val="0"/>
          <w:szCs w:val="21"/>
        </w:rPr>
      </w:pPr>
      <w:r>
        <w:rPr>
          <w:rFonts w:hint="eastAsia"/>
          <w:snapToGrid w:val="0"/>
          <w:kern w:val="0"/>
          <w:szCs w:val="21"/>
        </w:rPr>
        <w:t>项目贮存的</w:t>
      </w:r>
      <w:r>
        <w:rPr>
          <w:rFonts w:hint="eastAsia"/>
          <w:snapToGrid w:val="0"/>
          <w:kern w:val="0"/>
          <w:szCs w:val="21"/>
          <w:lang w:eastAsia="zh-CN"/>
        </w:rPr>
        <w:t>风险物质</w:t>
      </w:r>
      <w:r>
        <w:rPr>
          <w:rFonts w:hint="eastAsia"/>
          <w:snapToGrid w:val="0"/>
          <w:kern w:val="0"/>
          <w:szCs w:val="21"/>
        </w:rPr>
        <w:t>具有毒性，部分物</w:t>
      </w:r>
      <w:r>
        <w:rPr>
          <w:rFonts w:hint="eastAsia"/>
          <w:snapToGrid w:val="0"/>
          <w:kern w:val="0"/>
          <w:szCs w:val="21"/>
          <w:lang w:eastAsia="zh-CN"/>
        </w:rPr>
        <w:t>质</w:t>
      </w:r>
      <w:r>
        <w:rPr>
          <w:rFonts w:hint="eastAsia"/>
          <w:snapToGrid w:val="0"/>
          <w:kern w:val="0"/>
          <w:szCs w:val="21"/>
        </w:rPr>
        <w:t>可燃，潜在的环境风险事故主要为危险物质的泄漏以及火灾、爆炸等引发的伴生/次生污染物排放。</w:t>
      </w:r>
    </w:p>
    <w:p>
      <w:pPr>
        <w:pStyle w:val="6"/>
        <w:spacing w:line="360" w:lineRule="auto"/>
        <w:ind w:left="0" w:leftChars="0" w:firstLine="0" w:firstLineChars="0"/>
        <w:rPr>
          <w:rStyle w:val="47"/>
          <w:rFonts w:hint="eastAsia"/>
          <w:b/>
          <w:sz w:val="24"/>
          <w:szCs w:val="24"/>
        </w:rPr>
      </w:pPr>
      <w:r>
        <w:rPr>
          <w:rStyle w:val="47"/>
          <w:rFonts w:hint="eastAsia"/>
          <w:b/>
          <w:sz w:val="24"/>
          <w:szCs w:val="24"/>
        </w:rPr>
        <w:t>4.6风险识别结果</w:t>
      </w:r>
    </w:p>
    <w:p>
      <w:pPr>
        <w:pStyle w:val="6"/>
        <w:spacing w:line="360" w:lineRule="auto"/>
        <w:ind w:left="0" w:leftChars="0" w:firstLine="480" w:firstLineChars="200"/>
        <w:rPr>
          <w:snapToGrid w:val="0"/>
          <w:kern w:val="0"/>
          <w:szCs w:val="21"/>
        </w:rPr>
      </w:pPr>
      <w:r>
        <w:rPr>
          <w:rFonts w:hint="eastAsia"/>
          <w:snapToGrid w:val="0"/>
          <w:kern w:val="0"/>
          <w:szCs w:val="21"/>
        </w:rPr>
        <w:t>本项目环境风险识别结果见表16。</w:t>
      </w:r>
    </w:p>
    <w:p>
      <w:pPr>
        <w:keepNext/>
        <w:autoSpaceDE w:val="0"/>
        <w:autoSpaceDN w:val="0"/>
        <w:adjustRightInd w:val="0"/>
        <w:jc w:val="center"/>
        <w:rPr>
          <w:b/>
          <w:bCs/>
          <w:kern w:val="0"/>
          <w:sz w:val="21"/>
          <w:szCs w:val="21"/>
        </w:rPr>
      </w:pPr>
      <w:r>
        <w:rPr>
          <w:rFonts w:hint="eastAsia"/>
          <w:b/>
          <w:bCs/>
          <w:kern w:val="0"/>
          <w:sz w:val="21"/>
          <w:szCs w:val="21"/>
        </w:rPr>
        <w:t>表16  本项目环境风险识别表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197"/>
        <w:gridCol w:w="1575"/>
        <w:gridCol w:w="1587"/>
        <w:gridCol w:w="1750"/>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Align w:val="center"/>
          </w:tcPr>
          <w:p>
            <w:pPr>
              <w:pStyle w:val="50"/>
              <w:spacing w:line="240" w:lineRule="auto"/>
              <w:ind w:left="0" w:leftChars="0" w:firstLine="0" w:firstLineChars="0"/>
              <w:jc w:val="both"/>
              <w:rPr>
                <w:b/>
                <w:sz w:val="21"/>
                <w:szCs w:val="21"/>
              </w:rPr>
            </w:pPr>
            <w:r>
              <w:rPr>
                <w:rFonts w:hint="eastAsia"/>
                <w:b/>
                <w:sz w:val="21"/>
                <w:szCs w:val="21"/>
              </w:rPr>
              <w:t>危险单元</w:t>
            </w:r>
          </w:p>
        </w:tc>
        <w:tc>
          <w:tcPr>
            <w:tcW w:w="1197" w:type="dxa"/>
            <w:vAlign w:val="center"/>
          </w:tcPr>
          <w:p>
            <w:pPr>
              <w:pStyle w:val="50"/>
              <w:spacing w:line="240" w:lineRule="auto"/>
              <w:ind w:left="0" w:leftChars="0" w:firstLine="0" w:firstLineChars="0"/>
              <w:jc w:val="both"/>
              <w:rPr>
                <w:b/>
                <w:sz w:val="21"/>
                <w:szCs w:val="21"/>
              </w:rPr>
            </w:pPr>
            <w:r>
              <w:rPr>
                <w:rFonts w:hint="eastAsia"/>
                <w:b/>
                <w:sz w:val="21"/>
                <w:szCs w:val="21"/>
              </w:rPr>
              <w:t>风险源</w:t>
            </w:r>
          </w:p>
        </w:tc>
        <w:tc>
          <w:tcPr>
            <w:tcW w:w="1575" w:type="dxa"/>
            <w:vAlign w:val="center"/>
          </w:tcPr>
          <w:p>
            <w:pPr>
              <w:pStyle w:val="50"/>
              <w:spacing w:line="240" w:lineRule="auto"/>
              <w:ind w:left="0" w:leftChars="0" w:firstLine="0" w:firstLineChars="0"/>
              <w:jc w:val="both"/>
              <w:rPr>
                <w:b/>
                <w:sz w:val="21"/>
                <w:szCs w:val="21"/>
              </w:rPr>
            </w:pPr>
            <w:r>
              <w:rPr>
                <w:rFonts w:hint="eastAsia"/>
                <w:b/>
                <w:sz w:val="21"/>
                <w:szCs w:val="21"/>
              </w:rPr>
              <w:t>环境风险物质</w:t>
            </w:r>
          </w:p>
        </w:tc>
        <w:tc>
          <w:tcPr>
            <w:tcW w:w="1587" w:type="dxa"/>
            <w:vAlign w:val="center"/>
          </w:tcPr>
          <w:p>
            <w:pPr>
              <w:pStyle w:val="50"/>
              <w:spacing w:line="240" w:lineRule="auto"/>
              <w:ind w:left="0" w:leftChars="0" w:firstLine="0" w:firstLineChars="0"/>
              <w:jc w:val="both"/>
              <w:rPr>
                <w:b/>
                <w:sz w:val="21"/>
                <w:szCs w:val="21"/>
              </w:rPr>
            </w:pPr>
            <w:r>
              <w:rPr>
                <w:rFonts w:hint="eastAsia"/>
                <w:b/>
                <w:sz w:val="21"/>
                <w:szCs w:val="21"/>
              </w:rPr>
              <w:t>环境风险类型</w:t>
            </w:r>
          </w:p>
        </w:tc>
        <w:tc>
          <w:tcPr>
            <w:tcW w:w="1750" w:type="dxa"/>
            <w:vAlign w:val="center"/>
          </w:tcPr>
          <w:p>
            <w:pPr>
              <w:pStyle w:val="50"/>
              <w:spacing w:line="240" w:lineRule="auto"/>
              <w:ind w:left="0" w:leftChars="0" w:firstLine="0" w:firstLineChars="0"/>
              <w:jc w:val="both"/>
              <w:rPr>
                <w:b/>
                <w:sz w:val="21"/>
                <w:szCs w:val="21"/>
              </w:rPr>
            </w:pPr>
            <w:r>
              <w:rPr>
                <w:rFonts w:hint="eastAsia"/>
                <w:b/>
                <w:sz w:val="21"/>
                <w:szCs w:val="21"/>
              </w:rPr>
              <w:t>环境影响途径</w:t>
            </w:r>
          </w:p>
        </w:tc>
        <w:tc>
          <w:tcPr>
            <w:tcW w:w="1780" w:type="dxa"/>
            <w:vAlign w:val="center"/>
          </w:tcPr>
          <w:p>
            <w:pPr>
              <w:pStyle w:val="50"/>
              <w:spacing w:line="240" w:lineRule="auto"/>
              <w:ind w:left="0" w:leftChars="0" w:firstLine="0" w:firstLineChars="0"/>
              <w:jc w:val="both"/>
              <w:rPr>
                <w:b/>
                <w:sz w:val="21"/>
                <w:szCs w:val="21"/>
              </w:rPr>
            </w:pPr>
            <w:r>
              <w:rPr>
                <w:rFonts w:hint="eastAsia"/>
                <w:b/>
                <w:sz w:val="21"/>
                <w:szCs w:val="21"/>
              </w:rPr>
              <w:t>可能受影响的敏感目标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Align w:val="center"/>
          </w:tcPr>
          <w:p>
            <w:pPr>
              <w:pStyle w:val="50"/>
              <w:spacing w:line="240" w:lineRule="auto"/>
              <w:ind w:left="0" w:leftChars="0" w:firstLine="0" w:firstLineChars="0"/>
              <w:jc w:val="both"/>
              <w:rPr>
                <w:sz w:val="21"/>
                <w:szCs w:val="21"/>
              </w:rPr>
            </w:pPr>
            <w:r>
              <w:rPr>
                <w:rFonts w:hint="eastAsia"/>
                <w:sz w:val="21"/>
                <w:szCs w:val="21"/>
              </w:rPr>
              <w:t>仓库</w:t>
            </w:r>
          </w:p>
        </w:tc>
        <w:tc>
          <w:tcPr>
            <w:tcW w:w="1197" w:type="dxa"/>
            <w:vAlign w:val="center"/>
          </w:tcPr>
          <w:p>
            <w:pPr>
              <w:pStyle w:val="50"/>
              <w:spacing w:line="240" w:lineRule="auto"/>
              <w:ind w:left="0" w:leftChars="0" w:firstLine="0" w:firstLineChars="0"/>
              <w:jc w:val="both"/>
              <w:rPr>
                <w:sz w:val="21"/>
                <w:szCs w:val="21"/>
              </w:rPr>
            </w:pPr>
            <w:r>
              <w:rPr>
                <w:rFonts w:hint="eastAsia"/>
                <w:sz w:val="21"/>
                <w:szCs w:val="21"/>
              </w:rPr>
              <w:t>贮存容器</w:t>
            </w:r>
          </w:p>
        </w:tc>
        <w:tc>
          <w:tcPr>
            <w:tcW w:w="1575" w:type="dxa"/>
            <w:vAlign w:val="center"/>
          </w:tcPr>
          <w:p>
            <w:pPr>
              <w:pStyle w:val="50"/>
              <w:spacing w:line="240" w:lineRule="auto"/>
              <w:ind w:left="0" w:leftChars="0" w:firstLine="0" w:firstLineChars="0"/>
              <w:jc w:val="both"/>
              <w:rPr>
                <w:rFonts w:hint="eastAsia" w:eastAsia="宋体"/>
                <w:sz w:val="21"/>
                <w:szCs w:val="21"/>
                <w:lang w:eastAsia="zh-CN"/>
              </w:rPr>
            </w:pPr>
            <w:r>
              <w:rPr>
                <w:rFonts w:hint="eastAsia"/>
                <w:sz w:val="21"/>
                <w:szCs w:val="21"/>
              </w:rPr>
              <w:t>各种</w:t>
            </w:r>
            <w:r>
              <w:rPr>
                <w:rFonts w:hint="eastAsia"/>
                <w:sz w:val="21"/>
                <w:szCs w:val="21"/>
                <w:lang w:eastAsia="zh-CN"/>
              </w:rPr>
              <w:t>风险</w:t>
            </w:r>
            <w:r>
              <w:rPr>
                <w:rFonts w:hint="eastAsia"/>
                <w:sz w:val="21"/>
                <w:szCs w:val="21"/>
              </w:rPr>
              <w:t>物</w:t>
            </w:r>
            <w:r>
              <w:rPr>
                <w:rFonts w:hint="eastAsia"/>
                <w:sz w:val="21"/>
                <w:szCs w:val="21"/>
                <w:lang w:eastAsia="zh-CN"/>
              </w:rPr>
              <w:t>质</w:t>
            </w:r>
          </w:p>
        </w:tc>
        <w:tc>
          <w:tcPr>
            <w:tcW w:w="1587" w:type="dxa"/>
            <w:vAlign w:val="center"/>
          </w:tcPr>
          <w:p>
            <w:pPr>
              <w:pStyle w:val="50"/>
              <w:spacing w:line="240" w:lineRule="auto"/>
              <w:ind w:left="0" w:leftChars="0" w:firstLine="0" w:firstLineChars="0"/>
              <w:jc w:val="both"/>
              <w:rPr>
                <w:sz w:val="21"/>
                <w:szCs w:val="21"/>
              </w:rPr>
            </w:pPr>
            <w:r>
              <w:rPr>
                <w:rFonts w:hint="eastAsia"/>
                <w:sz w:val="21"/>
                <w:szCs w:val="21"/>
              </w:rPr>
              <w:t>火灾、泄漏</w:t>
            </w:r>
          </w:p>
        </w:tc>
        <w:tc>
          <w:tcPr>
            <w:tcW w:w="1750" w:type="dxa"/>
            <w:vAlign w:val="center"/>
          </w:tcPr>
          <w:p>
            <w:pPr>
              <w:pStyle w:val="50"/>
              <w:spacing w:line="240" w:lineRule="auto"/>
              <w:ind w:left="0" w:leftChars="0" w:firstLine="0" w:firstLineChars="0"/>
              <w:jc w:val="both"/>
              <w:rPr>
                <w:sz w:val="21"/>
                <w:szCs w:val="21"/>
              </w:rPr>
            </w:pPr>
            <w:r>
              <w:rPr>
                <w:rFonts w:hint="eastAsia"/>
                <w:sz w:val="21"/>
                <w:szCs w:val="21"/>
              </w:rPr>
              <w:t>大气、地表水、土壤、地下水</w:t>
            </w:r>
          </w:p>
        </w:tc>
        <w:tc>
          <w:tcPr>
            <w:tcW w:w="1780" w:type="dxa"/>
            <w:vAlign w:val="center"/>
          </w:tcPr>
          <w:p>
            <w:pPr>
              <w:pStyle w:val="50"/>
              <w:spacing w:line="240" w:lineRule="auto"/>
              <w:ind w:left="0" w:leftChars="0" w:firstLine="0" w:firstLineChars="0"/>
              <w:jc w:val="both"/>
              <w:rPr>
                <w:sz w:val="21"/>
                <w:szCs w:val="21"/>
              </w:rPr>
            </w:pPr>
            <w:r>
              <w:rPr>
                <w:rFonts w:hint="eastAsia"/>
                <w:sz w:val="21"/>
                <w:szCs w:val="21"/>
              </w:rPr>
              <w:t>地表水、浅层地下水</w:t>
            </w:r>
          </w:p>
        </w:tc>
      </w:tr>
    </w:tbl>
    <w:p>
      <w:pPr>
        <w:pStyle w:val="46"/>
        <w:tabs>
          <w:tab w:val="left" w:pos="6638"/>
        </w:tabs>
        <w:ind w:firstLine="0" w:firstLineChars="0"/>
        <w:rPr>
          <w:rStyle w:val="47"/>
          <w:b/>
          <w:sz w:val="24"/>
          <w:szCs w:val="24"/>
        </w:rPr>
      </w:pPr>
      <w:r>
        <w:rPr>
          <w:rStyle w:val="47"/>
          <w:rFonts w:hint="eastAsia"/>
          <w:b/>
          <w:sz w:val="24"/>
          <w:szCs w:val="24"/>
        </w:rPr>
        <w:t xml:space="preserve">5 </w:t>
      </w:r>
      <w:r>
        <w:rPr>
          <w:rStyle w:val="47"/>
          <w:b/>
          <w:sz w:val="24"/>
          <w:szCs w:val="24"/>
        </w:rPr>
        <w:t>风险事故</w:t>
      </w:r>
      <w:r>
        <w:rPr>
          <w:rStyle w:val="47"/>
          <w:rFonts w:hint="eastAsia"/>
          <w:b/>
          <w:sz w:val="24"/>
          <w:szCs w:val="24"/>
        </w:rPr>
        <w:t>情形</w:t>
      </w:r>
      <w:r>
        <w:rPr>
          <w:rStyle w:val="47"/>
          <w:b/>
          <w:sz w:val="24"/>
          <w:szCs w:val="24"/>
        </w:rPr>
        <w:t>分析</w:t>
      </w:r>
    </w:p>
    <w:p>
      <w:pPr>
        <w:pStyle w:val="46"/>
        <w:tabs>
          <w:tab w:val="left" w:pos="6638"/>
        </w:tabs>
        <w:ind w:firstLine="0" w:firstLineChars="0"/>
        <w:rPr>
          <w:rStyle w:val="47"/>
          <w:b/>
          <w:sz w:val="24"/>
          <w:szCs w:val="24"/>
        </w:rPr>
      </w:pPr>
      <w:r>
        <w:rPr>
          <w:rStyle w:val="47"/>
          <w:rFonts w:hint="eastAsia"/>
          <w:b/>
          <w:sz w:val="24"/>
          <w:szCs w:val="24"/>
        </w:rPr>
        <w:t>5.1风险事故情形设定</w:t>
      </w:r>
    </w:p>
    <w:p>
      <w:pPr>
        <w:pStyle w:val="6"/>
        <w:spacing w:line="360" w:lineRule="auto"/>
        <w:rPr>
          <w:snapToGrid w:val="0"/>
          <w:kern w:val="0"/>
          <w:szCs w:val="21"/>
        </w:rPr>
      </w:pPr>
      <w:r>
        <w:rPr>
          <w:rFonts w:hint="eastAsia"/>
          <w:snapToGrid w:val="0"/>
          <w:kern w:val="0"/>
          <w:szCs w:val="21"/>
          <w:lang w:eastAsia="zh-CN"/>
        </w:rPr>
        <w:t>（</w:t>
      </w:r>
      <w:r>
        <w:rPr>
          <w:rFonts w:hint="eastAsia"/>
          <w:snapToGrid w:val="0"/>
          <w:kern w:val="0"/>
          <w:szCs w:val="21"/>
          <w:lang w:val="en-US" w:eastAsia="zh-CN"/>
        </w:rPr>
        <w:t>1</w:t>
      </w:r>
      <w:r>
        <w:rPr>
          <w:rFonts w:hint="eastAsia"/>
          <w:snapToGrid w:val="0"/>
          <w:kern w:val="0"/>
          <w:szCs w:val="21"/>
          <w:lang w:eastAsia="zh-CN"/>
        </w:rPr>
        <w:t>）</w:t>
      </w:r>
      <w:r>
        <w:rPr>
          <w:snapToGrid w:val="0"/>
          <w:kern w:val="0"/>
          <w:szCs w:val="21"/>
        </w:rPr>
        <w:t>对地表水的</w:t>
      </w:r>
      <w:r>
        <w:rPr>
          <w:rFonts w:hint="eastAsia"/>
          <w:snapToGrid w:val="0"/>
          <w:kern w:val="0"/>
          <w:szCs w:val="21"/>
        </w:rPr>
        <w:t>风险事故情景</w:t>
      </w:r>
    </w:p>
    <w:p>
      <w:pPr>
        <w:pStyle w:val="6"/>
        <w:spacing w:line="360" w:lineRule="auto"/>
        <w:rPr>
          <w:snapToGrid w:val="0"/>
          <w:kern w:val="0"/>
          <w:szCs w:val="21"/>
        </w:rPr>
      </w:pPr>
      <w:r>
        <w:rPr>
          <w:rFonts w:hint="eastAsia"/>
          <w:snapToGrid w:val="0"/>
          <w:kern w:val="0"/>
          <w:szCs w:val="21"/>
        </w:rPr>
        <w:t>根据工程分析，本项目</w:t>
      </w:r>
      <w:r>
        <w:rPr>
          <w:rFonts w:hint="eastAsia"/>
          <w:snapToGrid w:val="0"/>
          <w:kern w:val="0"/>
          <w:szCs w:val="21"/>
          <w:lang w:eastAsia="zh-CN"/>
        </w:rPr>
        <w:t>正常运营</w:t>
      </w:r>
      <w:r>
        <w:rPr>
          <w:rFonts w:hint="eastAsia"/>
          <w:snapToGrid w:val="0"/>
          <w:kern w:val="0"/>
          <w:szCs w:val="21"/>
        </w:rPr>
        <w:t>不产生</w:t>
      </w:r>
      <w:r>
        <w:rPr>
          <w:rFonts w:hint="eastAsia"/>
          <w:snapToGrid w:val="0"/>
          <w:kern w:val="0"/>
          <w:szCs w:val="21"/>
          <w:lang w:eastAsia="zh-CN"/>
        </w:rPr>
        <w:t>工艺废水，不新增</w:t>
      </w:r>
      <w:r>
        <w:rPr>
          <w:rFonts w:hint="eastAsia"/>
          <w:snapToGrid w:val="0"/>
          <w:kern w:val="0"/>
          <w:szCs w:val="21"/>
        </w:rPr>
        <w:t>生活废水，项目对地表水产生的影响主要是贮存过程中的泄</w:t>
      </w:r>
      <w:r>
        <w:rPr>
          <w:rFonts w:hint="eastAsia"/>
          <w:snapToGrid w:val="0"/>
          <w:kern w:val="0"/>
          <w:szCs w:val="21"/>
          <w:lang w:eastAsia="zh-CN"/>
        </w:rPr>
        <w:t>漏</w:t>
      </w:r>
      <w:r>
        <w:rPr>
          <w:rFonts w:hint="eastAsia"/>
          <w:snapToGrid w:val="0"/>
          <w:kern w:val="0"/>
          <w:szCs w:val="21"/>
        </w:rPr>
        <w:t>事故以及发生火灾产生的大量消防废水外溢事故。因此项目对地表水环境产生影响的风险事故情形为：</w:t>
      </w:r>
      <w:r>
        <w:rPr>
          <w:rFonts w:hint="eastAsia"/>
          <w:snapToGrid w:val="0"/>
          <w:kern w:val="0"/>
          <w:szCs w:val="21"/>
          <w:lang w:eastAsia="zh-CN"/>
        </w:rPr>
        <w:t>风险物质</w:t>
      </w:r>
      <w:r>
        <w:rPr>
          <w:rFonts w:hint="eastAsia"/>
          <w:snapToGrid w:val="0"/>
          <w:kern w:val="0"/>
          <w:szCs w:val="21"/>
        </w:rPr>
        <w:t>发生的泄漏事故对地表水的影响</w:t>
      </w:r>
      <w:r>
        <w:rPr>
          <w:snapToGrid w:val="0"/>
          <w:kern w:val="0"/>
          <w:szCs w:val="21"/>
        </w:rPr>
        <w:t>。</w:t>
      </w:r>
    </w:p>
    <w:p>
      <w:pPr>
        <w:pStyle w:val="6"/>
        <w:spacing w:line="360" w:lineRule="auto"/>
        <w:rPr>
          <w:snapToGrid w:val="0"/>
          <w:kern w:val="0"/>
          <w:szCs w:val="21"/>
        </w:rPr>
      </w:pPr>
      <w:r>
        <w:rPr>
          <w:rFonts w:hint="eastAsia"/>
          <w:snapToGrid w:val="0"/>
          <w:kern w:val="0"/>
          <w:szCs w:val="21"/>
          <w:lang w:eastAsia="zh-CN"/>
        </w:rPr>
        <w:t>（</w:t>
      </w:r>
      <w:r>
        <w:rPr>
          <w:rFonts w:hint="eastAsia"/>
          <w:snapToGrid w:val="0"/>
          <w:kern w:val="0"/>
          <w:szCs w:val="21"/>
          <w:lang w:val="en-US" w:eastAsia="zh-CN"/>
        </w:rPr>
        <w:t>2</w:t>
      </w:r>
      <w:r>
        <w:rPr>
          <w:rFonts w:hint="eastAsia"/>
          <w:snapToGrid w:val="0"/>
          <w:kern w:val="0"/>
          <w:szCs w:val="21"/>
          <w:lang w:eastAsia="zh-CN"/>
        </w:rPr>
        <w:t>）</w:t>
      </w:r>
      <w:r>
        <w:rPr>
          <w:snapToGrid w:val="0"/>
          <w:kern w:val="0"/>
          <w:szCs w:val="21"/>
        </w:rPr>
        <w:t>对</w:t>
      </w:r>
      <w:r>
        <w:rPr>
          <w:rFonts w:hint="eastAsia"/>
          <w:snapToGrid w:val="0"/>
          <w:kern w:val="0"/>
          <w:szCs w:val="21"/>
        </w:rPr>
        <w:t>大气环境</w:t>
      </w:r>
      <w:r>
        <w:rPr>
          <w:snapToGrid w:val="0"/>
          <w:kern w:val="0"/>
          <w:szCs w:val="21"/>
        </w:rPr>
        <w:t>的</w:t>
      </w:r>
      <w:r>
        <w:rPr>
          <w:rFonts w:hint="eastAsia"/>
          <w:snapToGrid w:val="0"/>
          <w:kern w:val="0"/>
          <w:szCs w:val="21"/>
        </w:rPr>
        <w:t>风险事故情景</w:t>
      </w:r>
    </w:p>
    <w:p>
      <w:pPr>
        <w:pStyle w:val="6"/>
        <w:spacing w:line="360" w:lineRule="auto"/>
        <w:rPr>
          <w:rFonts w:hint="eastAsia"/>
          <w:snapToGrid w:val="0"/>
          <w:kern w:val="0"/>
          <w:szCs w:val="21"/>
        </w:rPr>
      </w:pPr>
      <w:r>
        <w:rPr>
          <w:rFonts w:hint="eastAsia"/>
          <w:snapToGrid w:val="0"/>
          <w:kern w:val="0"/>
          <w:szCs w:val="21"/>
        </w:rPr>
        <w:t>项目贮存的</w:t>
      </w:r>
      <w:r>
        <w:rPr>
          <w:rFonts w:hint="eastAsia"/>
          <w:snapToGrid w:val="0"/>
          <w:kern w:val="0"/>
          <w:szCs w:val="21"/>
          <w:lang w:eastAsia="zh-CN"/>
        </w:rPr>
        <w:t>风险</w:t>
      </w:r>
      <w:r>
        <w:rPr>
          <w:rFonts w:hint="eastAsia"/>
          <w:snapToGrid w:val="0"/>
          <w:kern w:val="0"/>
          <w:szCs w:val="21"/>
        </w:rPr>
        <w:t>物</w:t>
      </w:r>
      <w:r>
        <w:rPr>
          <w:rFonts w:hint="eastAsia"/>
          <w:snapToGrid w:val="0"/>
          <w:kern w:val="0"/>
          <w:szCs w:val="21"/>
          <w:lang w:eastAsia="zh-CN"/>
        </w:rPr>
        <w:t>质</w:t>
      </w:r>
      <w:r>
        <w:rPr>
          <w:rFonts w:hint="eastAsia"/>
          <w:snapToGrid w:val="0"/>
          <w:kern w:val="0"/>
          <w:szCs w:val="21"/>
        </w:rPr>
        <w:t>中，由于苯甲醇、乙二醇、冷冻机油、丁硫克百威、丙硫克百威、仲丁威等物质均为粘稠液体，常温下本身的挥发性就较低，再用密封桶进行储存，几乎不产生物料的挥发气体。</w:t>
      </w:r>
    </w:p>
    <w:p>
      <w:pPr>
        <w:pStyle w:val="6"/>
        <w:spacing w:line="360" w:lineRule="auto"/>
        <w:rPr>
          <w:snapToGrid w:val="0"/>
          <w:kern w:val="0"/>
          <w:szCs w:val="21"/>
        </w:rPr>
      </w:pPr>
      <w:r>
        <w:rPr>
          <w:rFonts w:hint="eastAsia"/>
          <w:snapToGrid w:val="0"/>
          <w:kern w:val="0"/>
          <w:szCs w:val="21"/>
        </w:rPr>
        <w:t>氯菊酯、乙酸苄酯等物质常温下易挥发，均为原材料，购买时已用密封桶包装，不在仓库内进行装卸作业，仅仅在仓库内储存时，产生极少量的放散气体，无组织排放。因此不考虑泄</w:t>
      </w:r>
      <w:r>
        <w:rPr>
          <w:rFonts w:hint="eastAsia"/>
          <w:snapToGrid w:val="0"/>
          <w:kern w:val="0"/>
          <w:szCs w:val="21"/>
          <w:lang w:eastAsia="zh-CN"/>
        </w:rPr>
        <w:t>漏</w:t>
      </w:r>
      <w:r>
        <w:rPr>
          <w:rFonts w:hint="eastAsia"/>
          <w:snapToGrid w:val="0"/>
          <w:kern w:val="0"/>
          <w:szCs w:val="21"/>
        </w:rPr>
        <w:t>事故对大气环境影响情形。本项目对大气环境产生影响的风险事故情形为：发生火灾时伴/次生污染物CO</w:t>
      </w:r>
      <w:r>
        <w:rPr>
          <w:snapToGrid w:val="0"/>
          <w:kern w:val="0"/>
          <w:szCs w:val="21"/>
        </w:rPr>
        <w:t>。</w:t>
      </w:r>
    </w:p>
    <w:p>
      <w:pPr>
        <w:pStyle w:val="6"/>
        <w:spacing w:line="360" w:lineRule="auto"/>
        <w:rPr>
          <w:snapToGrid w:val="0"/>
          <w:kern w:val="0"/>
          <w:szCs w:val="21"/>
        </w:rPr>
      </w:pPr>
      <w:r>
        <w:rPr>
          <w:rFonts w:hint="eastAsia"/>
          <w:snapToGrid w:val="0"/>
          <w:kern w:val="0"/>
          <w:szCs w:val="21"/>
          <w:lang w:eastAsia="zh-CN"/>
        </w:rPr>
        <w:t>（</w:t>
      </w:r>
      <w:r>
        <w:rPr>
          <w:rFonts w:hint="eastAsia"/>
          <w:snapToGrid w:val="0"/>
          <w:kern w:val="0"/>
          <w:szCs w:val="21"/>
          <w:lang w:val="en-US" w:eastAsia="zh-CN"/>
        </w:rPr>
        <w:t>3</w:t>
      </w:r>
      <w:r>
        <w:rPr>
          <w:rFonts w:hint="eastAsia"/>
          <w:snapToGrid w:val="0"/>
          <w:kern w:val="0"/>
          <w:szCs w:val="21"/>
          <w:lang w:eastAsia="zh-CN"/>
        </w:rPr>
        <w:t>）</w:t>
      </w:r>
      <w:r>
        <w:rPr>
          <w:snapToGrid w:val="0"/>
          <w:kern w:val="0"/>
          <w:szCs w:val="21"/>
        </w:rPr>
        <w:t>对</w:t>
      </w:r>
      <w:r>
        <w:rPr>
          <w:rFonts w:hint="eastAsia"/>
          <w:snapToGrid w:val="0"/>
          <w:kern w:val="0"/>
          <w:szCs w:val="21"/>
        </w:rPr>
        <w:t>地下水环境</w:t>
      </w:r>
      <w:r>
        <w:rPr>
          <w:snapToGrid w:val="0"/>
          <w:kern w:val="0"/>
          <w:szCs w:val="21"/>
        </w:rPr>
        <w:t>的</w:t>
      </w:r>
      <w:r>
        <w:rPr>
          <w:rFonts w:hint="eastAsia"/>
          <w:snapToGrid w:val="0"/>
          <w:kern w:val="0"/>
          <w:szCs w:val="21"/>
        </w:rPr>
        <w:t>风险事故情景</w:t>
      </w:r>
    </w:p>
    <w:p>
      <w:pPr>
        <w:pStyle w:val="46"/>
        <w:tabs>
          <w:tab w:val="left" w:pos="6638"/>
        </w:tabs>
        <w:ind w:firstLine="0" w:firstLineChars="0"/>
        <w:rPr>
          <w:rFonts w:hint="eastAsia"/>
          <w:snapToGrid w:val="0"/>
          <w:kern w:val="0"/>
          <w:szCs w:val="21"/>
        </w:rPr>
      </w:pPr>
      <w:r>
        <w:rPr>
          <w:rFonts w:hint="eastAsia"/>
          <w:snapToGrid w:val="0"/>
          <w:kern w:val="0"/>
          <w:szCs w:val="21"/>
        </w:rPr>
        <w:t>本项目设定地下水环境产生影响力事故情形为：仓库内某一容器发生破损，导致</w:t>
      </w:r>
      <w:r>
        <w:rPr>
          <w:rFonts w:hint="eastAsia"/>
          <w:snapToGrid w:val="0"/>
          <w:kern w:val="0"/>
          <w:szCs w:val="21"/>
          <w:lang w:eastAsia="zh-CN"/>
        </w:rPr>
        <w:t>风险物质</w:t>
      </w:r>
      <w:r>
        <w:rPr>
          <w:rFonts w:hint="eastAsia"/>
          <w:snapToGrid w:val="0"/>
          <w:kern w:val="0"/>
          <w:szCs w:val="21"/>
        </w:rPr>
        <w:t xml:space="preserve">泄漏，恰好此时防渗层出现破损进入到地下水，对地下水产生不良影响。 </w:t>
      </w:r>
    </w:p>
    <w:p>
      <w:pPr>
        <w:pStyle w:val="46"/>
        <w:tabs>
          <w:tab w:val="left" w:pos="6638"/>
        </w:tabs>
        <w:ind w:firstLine="0" w:firstLineChars="0"/>
        <w:rPr>
          <w:rStyle w:val="47"/>
          <w:b/>
          <w:sz w:val="24"/>
          <w:szCs w:val="24"/>
        </w:rPr>
      </w:pPr>
      <w:r>
        <w:rPr>
          <w:rStyle w:val="47"/>
          <w:rFonts w:hint="eastAsia"/>
          <w:b/>
          <w:sz w:val="24"/>
          <w:szCs w:val="24"/>
        </w:rPr>
        <w:t>5.2源项分析</w:t>
      </w:r>
    </w:p>
    <w:p>
      <w:pPr>
        <w:pStyle w:val="6"/>
        <w:spacing w:line="360" w:lineRule="auto"/>
        <w:rPr>
          <w:rFonts w:hint="eastAsia"/>
          <w:snapToGrid w:val="0"/>
          <w:kern w:val="0"/>
          <w:szCs w:val="21"/>
          <w:lang w:eastAsia="zh-CN"/>
        </w:rPr>
      </w:pPr>
      <w:r>
        <w:rPr>
          <w:rFonts w:hint="eastAsia"/>
          <w:snapToGrid w:val="0"/>
          <w:kern w:val="0"/>
          <w:szCs w:val="21"/>
        </w:rPr>
        <w:t>火灾爆炸产生的次生CO产生量估算</w:t>
      </w:r>
      <w:r>
        <w:rPr>
          <w:rFonts w:hint="eastAsia"/>
          <w:snapToGrid w:val="0"/>
          <w:kern w:val="0"/>
          <w:szCs w:val="21"/>
          <w:lang w:eastAsia="zh-CN"/>
        </w:rPr>
        <w:t>：项目仓库储存的物质中，苯甲醇、乙二醇、氯菊酯、磷酸二正丁酯、</w:t>
      </w:r>
      <w:r>
        <w:rPr>
          <w:rFonts w:hint="eastAsia"/>
          <w:snapToGrid w:val="0"/>
          <w:kern w:val="0"/>
          <w:szCs w:val="21"/>
        </w:rPr>
        <w:t>乙酸苄酯</w:t>
      </w:r>
      <w:r>
        <w:rPr>
          <w:rFonts w:hint="eastAsia"/>
          <w:snapToGrid w:val="0"/>
          <w:kern w:val="0"/>
          <w:szCs w:val="21"/>
          <w:lang w:eastAsia="zh-CN"/>
        </w:rPr>
        <w:t>等遇明火、高热等可发生火灾、爆炸事故，以上物质主要为碳氢化合物，燃烧时会产生CO，而CO具有毒性，较高浓度时能使人出现不同程度中毒症状，危害人体的脑、心、肝、肾、肺及其他组织，甚至电击样死亡，人吸入最低致死浓度为5000ppm（5分钟）。因此对火灾爆炸事故引发的次生CO浓度的分布及影响范围进行预测。</w:t>
      </w:r>
    </w:p>
    <w:p>
      <w:pPr>
        <w:pStyle w:val="6"/>
        <w:spacing w:line="360" w:lineRule="auto"/>
        <w:rPr>
          <w:rFonts w:hint="eastAsia"/>
          <w:snapToGrid w:val="0"/>
          <w:kern w:val="0"/>
          <w:szCs w:val="21"/>
          <w:lang w:eastAsia="zh-CN"/>
        </w:rPr>
      </w:pPr>
      <w:r>
        <w:rPr>
          <w:rFonts w:hint="eastAsia"/>
          <w:snapToGrid w:val="0"/>
          <w:kern w:val="0"/>
          <w:szCs w:val="21"/>
          <w:lang w:eastAsia="zh-CN"/>
        </w:rPr>
        <w:t>（1）燃烧速度</w:t>
      </w:r>
    </w:p>
    <w:p>
      <w:pPr>
        <w:pStyle w:val="6"/>
        <w:spacing w:line="360" w:lineRule="auto"/>
        <w:rPr>
          <w:rFonts w:hint="eastAsia"/>
          <w:snapToGrid w:val="0"/>
          <w:kern w:val="0"/>
          <w:szCs w:val="21"/>
          <w:lang w:eastAsia="zh-CN"/>
        </w:rPr>
      </w:pPr>
      <w:r>
        <w:rPr>
          <w:rFonts w:hint="eastAsia"/>
          <w:snapToGrid w:val="0"/>
          <w:kern w:val="0"/>
          <w:szCs w:val="21"/>
          <w:lang w:eastAsia="zh-CN"/>
        </w:rPr>
        <w:t>液体表面单位面积的燃烧速度v为：</w:t>
      </w:r>
    </w:p>
    <w:p>
      <w:pPr>
        <w:pStyle w:val="6"/>
        <w:spacing w:line="360" w:lineRule="auto"/>
        <w:ind w:left="0" w:leftChars="0" w:firstLine="0" w:firstLineChars="0"/>
        <w:jc w:val="center"/>
        <w:rPr>
          <w:rFonts w:hint="eastAsia"/>
          <w:snapToGrid w:val="0"/>
          <w:kern w:val="0"/>
          <w:sz w:val="24"/>
          <w:szCs w:val="24"/>
          <w:lang w:eastAsia="zh-CN"/>
        </w:rPr>
      </w:pPr>
      <m:oMathPara>
        <m:oMath>
          <m:r>
            <m:rPr/>
            <w:rPr>
              <w:rFonts w:hint="default" w:ascii="Cambria Math" w:hAnsi="Cambria Math" w:cs="Times New Roman"/>
              <w:snapToGrid w:val="0"/>
              <w:kern w:val="0"/>
              <w:sz w:val="24"/>
              <w:szCs w:val="24"/>
              <w:lang w:val="en-US" w:eastAsia="zh-CN" w:bidi="ar-SA"/>
            </w:rPr>
            <m:t>V=</m:t>
          </m:r>
          <m:f>
            <m:fPr>
              <m:ctrlPr>
                <w:rPr>
                  <w:rFonts w:hint="default" w:ascii="Cambria Math" w:hAnsi="Cambria Math" w:cs="Times New Roman"/>
                  <w:i/>
                  <w:snapToGrid w:val="0"/>
                  <w:kern w:val="0"/>
                  <w:sz w:val="24"/>
                  <w:szCs w:val="24"/>
                  <w:lang w:val="en-US" w:eastAsia="zh-CN" w:bidi="ar-SA"/>
                </w:rPr>
              </m:ctrlPr>
            </m:fPr>
            <m:num>
              <m:r>
                <m:rPr/>
                <w:rPr>
                  <w:rFonts w:hint="default" w:ascii="Cambria Math" w:hAnsi="Cambria Math" w:cs="Times New Roman"/>
                  <w:snapToGrid w:val="0"/>
                  <w:kern w:val="0"/>
                  <w:sz w:val="24"/>
                  <w:szCs w:val="24"/>
                  <w:lang w:val="en-US" w:eastAsia="zh-CN" w:bidi="ar-SA"/>
                </w:rPr>
                <m:t>0.001HC</m:t>
              </m:r>
              <m:ctrlPr>
                <w:rPr>
                  <w:rFonts w:hint="default" w:ascii="Cambria Math" w:hAnsi="Cambria Math" w:cs="Times New Roman"/>
                  <w:i/>
                  <w:snapToGrid w:val="0"/>
                  <w:kern w:val="0"/>
                  <w:sz w:val="24"/>
                  <w:szCs w:val="24"/>
                  <w:lang w:val="en-US" w:eastAsia="zh-CN" w:bidi="ar-SA"/>
                </w:rPr>
              </m:ctrlPr>
            </m:num>
            <m:den>
              <m:r>
                <m:rPr>
                  <m:sty m:val="p"/>
                </m:rPr>
                <w:rPr>
                  <w:rFonts w:hint="eastAsia"/>
                  <w:snapToGrid w:val="0"/>
                  <w:kern w:val="0"/>
                  <w:sz w:val="24"/>
                  <w:szCs w:val="24"/>
                  <w:lang w:eastAsia="zh-CN"/>
                </w:rPr>
                <m:t>Cp</m:t>
              </m:r>
              <m:r>
                <m:rPr>
                  <m:sty m:val="p"/>
                </m:rPr>
                <w:rPr>
                  <w:rFonts w:hint="default"/>
                  <w:snapToGrid w:val="0"/>
                  <w:kern w:val="0"/>
                  <w:sz w:val="24"/>
                  <w:szCs w:val="24"/>
                  <w:lang w:eastAsia="zh-CN"/>
                </w:rPr>
                <m:t>（</m:t>
              </m:r>
              <m:r>
                <m:rPr>
                  <m:sty m:val="p"/>
                </m:rPr>
                <w:rPr>
                  <w:rFonts w:hint="eastAsia"/>
                  <w:snapToGrid w:val="0"/>
                  <w:kern w:val="0"/>
                  <w:sz w:val="24"/>
                  <w:szCs w:val="24"/>
                  <w:lang w:eastAsia="zh-CN"/>
                </w:rPr>
                <m:t>Tb−T0</m:t>
              </m:r>
              <m:r>
                <m:rPr>
                  <m:sty m:val="p"/>
                </m:rPr>
                <w:rPr>
                  <w:rFonts w:hint="default"/>
                  <w:snapToGrid w:val="0"/>
                  <w:kern w:val="0"/>
                  <w:sz w:val="24"/>
                  <w:szCs w:val="24"/>
                  <w:lang w:eastAsia="zh-CN"/>
                </w:rPr>
                <m:t>）</m:t>
              </m:r>
              <m:r>
                <m:rPr>
                  <m:sty m:val="p"/>
                </m:rPr>
                <w:rPr>
                  <w:rFonts w:hint="eastAsia"/>
                  <w:snapToGrid w:val="0"/>
                  <w:kern w:val="0"/>
                  <w:sz w:val="24"/>
                  <w:szCs w:val="24"/>
                  <w:lang w:eastAsia="zh-CN"/>
                </w:rPr>
                <m:t>+H</m:t>
              </m:r>
              <m:ctrlPr>
                <w:rPr>
                  <w:rFonts w:hint="default" w:ascii="Cambria Math" w:hAnsi="Cambria Math" w:cs="Times New Roman"/>
                  <w:i/>
                  <w:snapToGrid w:val="0"/>
                  <w:kern w:val="0"/>
                  <w:sz w:val="24"/>
                  <w:szCs w:val="24"/>
                  <w:lang w:val="en-US" w:eastAsia="zh-CN" w:bidi="ar-SA"/>
                </w:rPr>
              </m:ctrlPr>
            </m:den>
          </m:f>
        </m:oMath>
      </m:oMathPara>
    </w:p>
    <w:p>
      <w:pPr>
        <w:pStyle w:val="6"/>
        <w:spacing w:line="360" w:lineRule="auto"/>
        <w:rPr>
          <w:rFonts w:hint="eastAsia"/>
          <w:snapToGrid w:val="0"/>
          <w:kern w:val="0"/>
          <w:szCs w:val="21"/>
          <w:lang w:eastAsia="zh-CN"/>
        </w:rPr>
      </w:pPr>
      <w:r>
        <w:rPr>
          <w:rFonts w:hint="eastAsia"/>
          <w:snapToGrid w:val="0"/>
          <w:kern w:val="0"/>
          <w:szCs w:val="21"/>
          <w:lang w:eastAsia="zh-CN"/>
        </w:rPr>
        <w:t>其中，v—单位表面积燃烧速度，kg/（m</w:t>
      </w:r>
      <w:r>
        <w:rPr>
          <w:rFonts w:hint="eastAsia"/>
          <w:snapToGrid w:val="0"/>
          <w:kern w:val="0"/>
          <w:szCs w:val="21"/>
          <w:vertAlign w:val="superscript"/>
          <w:lang w:eastAsia="zh-CN"/>
        </w:rPr>
        <w:t>2</w:t>
      </w:r>
      <w:r>
        <w:rPr>
          <w:rFonts w:hint="eastAsia"/>
          <w:snapToGrid w:val="0"/>
          <w:kern w:val="0"/>
          <w:szCs w:val="21"/>
          <w:lang w:eastAsia="zh-CN"/>
        </w:rPr>
        <w:t>•s）；</w:t>
      </w:r>
    </w:p>
    <w:p>
      <w:pPr>
        <w:pStyle w:val="6"/>
        <w:spacing w:line="360" w:lineRule="auto"/>
        <w:rPr>
          <w:rFonts w:hint="eastAsia"/>
          <w:snapToGrid w:val="0"/>
          <w:kern w:val="0"/>
          <w:szCs w:val="21"/>
          <w:lang w:eastAsia="zh-CN"/>
        </w:rPr>
      </w:pPr>
      <w:r>
        <w:rPr>
          <w:rFonts w:hint="eastAsia"/>
          <w:snapToGrid w:val="0"/>
          <w:kern w:val="0"/>
          <w:szCs w:val="21"/>
          <w:lang w:eastAsia="zh-CN"/>
        </w:rPr>
        <w:t>Hc—液体燃烧热，J/kg，取41.82×106J/kg；</w:t>
      </w:r>
    </w:p>
    <w:p>
      <w:pPr>
        <w:pStyle w:val="6"/>
        <w:spacing w:line="360" w:lineRule="auto"/>
        <w:rPr>
          <w:rFonts w:hint="eastAsia"/>
          <w:snapToGrid w:val="0"/>
          <w:kern w:val="0"/>
          <w:szCs w:val="21"/>
          <w:lang w:eastAsia="zh-CN"/>
        </w:rPr>
      </w:pPr>
      <w:r>
        <w:rPr>
          <w:rFonts w:hint="eastAsia"/>
          <w:snapToGrid w:val="0"/>
          <w:kern w:val="0"/>
          <w:szCs w:val="21"/>
          <w:lang w:eastAsia="zh-CN"/>
        </w:rPr>
        <w:t>Cp—液体的比定压热容，J/（kg.K），取1737J/（kg•k）；</w:t>
      </w:r>
    </w:p>
    <w:p>
      <w:pPr>
        <w:pStyle w:val="6"/>
        <w:spacing w:line="360" w:lineRule="auto"/>
        <w:rPr>
          <w:rFonts w:hint="eastAsia"/>
          <w:snapToGrid w:val="0"/>
          <w:kern w:val="0"/>
          <w:szCs w:val="21"/>
          <w:lang w:eastAsia="zh-CN"/>
        </w:rPr>
      </w:pPr>
      <w:r>
        <w:rPr>
          <w:rFonts w:hint="eastAsia"/>
          <w:snapToGrid w:val="0"/>
          <w:kern w:val="0"/>
          <w:szCs w:val="21"/>
          <w:lang w:eastAsia="zh-CN"/>
        </w:rPr>
        <w:t>Tb—液体的沸点，取473K；</w:t>
      </w:r>
    </w:p>
    <w:p>
      <w:pPr>
        <w:pStyle w:val="6"/>
        <w:spacing w:line="360" w:lineRule="auto"/>
        <w:rPr>
          <w:rFonts w:hint="eastAsia"/>
          <w:snapToGrid w:val="0"/>
          <w:kern w:val="0"/>
          <w:szCs w:val="21"/>
          <w:lang w:eastAsia="zh-CN"/>
        </w:rPr>
      </w:pPr>
      <w:r>
        <w:rPr>
          <w:rFonts w:hint="eastAsia"/>
          <w:snapToGrid w:val="0"/>
          <w:kern w:val="0"/>
          <w:szCs w:val="21"/>
          <w:lang w:eastAsia="zh-CN"/>
        </w:rPr>
        <w:t>T0—环境温度，取288.85K；</w:t>
      </w:r>
    </w:p>
    <w:p>
      <w:pPr>
        <w:pStyle w:val="6"/>
        <w:spacing w:line="360" w:lineRule="auto"/>
        <w:rPr>
          <w:rFonts w:hint="eastAsia"/>
          <w:snapToGrid w:val="0"/>
          <w:kern w:val="0"/>
          <w:szCs w:val="21"/>
          <w:lang w:eastAsia="zh-CN"/>
        </w:rPr>
      </w:pPr>
      <w:r>
        <w:rPr>
          <w:rFonts w:hint="eastAsia"/>
          <w:snapToGrid w:val="0"/>
          <w:kern w:val="0"/>
          <w:szCs w:val="21"/>
          <w:lang w:eastAsia="zh-CN"/>
        </w:rPr>
        <w:t>H—液体的汽化热，J/kg，取434.26×103J/Kg。</w:t>
      </w:r>
    </w:p>
    <w:p>
      <w:pPr>
        <w:pStyle w:val="6"/>
        <w:spacing w:line="360" w:lineRule="auto"/>
        <w:rPr>
          <w:rFonts w:hint="eastAsia"/>
          <w:snapToGrid w:val="0"/>
          <w:kern w:val="0"/>
          <w:szCs w:val="21"/>
          <w:lang w:eastAsia="zh-CN"/>
        </w:rPr>
      </w:pPr>
      <w:r>
        <w:rPr>
          <w:rFonts w:hint="eastAsia"/>
          <w:snapToGrid w:val="0"/>
          <w:kern w:val="0"/>
          <w:szCs w:val="21"/>
          <w:lang w:eastAsia="zh-CN"/>
        </w:rPr>
        <w:t>计算得燃烧速率为0.056kg/（m2•s），按最不利情况考虑，发生火灾爆炸时液体表面积为</w:t>
      </w:r>
      <w:r>
        <w:rPr>
          <w:rFonts w:hint="eastAsia"/>
          <w:snapToGrid w:val="0"/>
          <w:kern w:val="0"/>
          <w:szCs w:val="21"/>
          <w:lang w:val="en-US" w:eastAsia="zh-CN"/>
        </w:rPr>
        <w:t>200</w:t>
      </w:r>
      <w:r>
        <w:rPr>
          <w:rFonts w:hint="eastAsia"/>
          <w:snapToGrid w:val="0"/>
          <w:kern w:val="0"/>
          <w:szCs w:val="21"/>
          <w:lang w:eastAsia="zh-CN"/>
        </w:rPr>
        <w:t>m</w:t>
      </w:r>
      <w:r>
        <w:rPr>
          <w:rFonts w:hint="eastAsia"/>
          <w:snapToGrid w:val="0"/>
          <w:kern w:val="0"/>
          <w:szCs w:val="21"/>
          <w:vertAlign w:val="superscript"/>
          <w:lang w:eastAsia="zh-CN"/>
        </w:rPr>
        <w:t>2</w:t>
      </w:r>
      <w:r>
        <w:rPr>
          <w:rFonts w:hint="eastAsia"/>
          <w:snapToGrid w:val="0"/>
          <w:kern w:val="0"/>
          <w:szCs w:val="21"/>
          <w:lang w:eastAsia="zh-CN"/>
        </w:rPr>
        <w:t>（按易燃物质储存区的总面积计），则每秒燃烧的量为</w:t>
      </w:r>
      <w:r>
        <w:rPr>
          <w:rFonts w:hint="eastAsia"/>
          <w:snapToGrid w:val="0"/>
          <w:kern w:val="0"/>
          <w:szCs w:val="21"/>
          <w:lang w:val="en-US" w:eastAsia="zh-CN"/>
        </w:rPr>
        <w:t>11.2</w:t>
      </w:r>
      <w:r>
        <w:rPr>
          <w:rFonts w:hint="eastAsia"/>
          <w:snapToGrid w:val="0"/>
          <w:kern w:val="0"/>
          <w:szCs w:val="21"/>
          <w:lang w:eastAsia="zh-CN"/>
        </w:rPr>
        <w:t>kg/s。</w:t>
      </w:r>
    </w:p>
    <w:p>
      <w:pPr>
        <w:pStyle w:val="6"/>
        <w:spacing w:line="360" w:lineRule="auto"/>
        <w:rPr>
          <w:rFonts w:hint="eastAsia"/>
          <w:snapToGrid w:val="0"/>
          <w:kern w:val="0"/>
          <w:szCs w:val="21"/>
          <w:lang w:eastAsia="zh-CN"/>
        </w:rPr>
      </w:pPr>
      <w:r>
        <w:rPr>
          <w:rFonts w:hint="eastAsia"/>
          <w:snapToGrid w:val="0"/>
          <w:kern w:val="0"/>
          <w:szCs w:val="21"/>
          <w:lang w:eastAsia="zh-CN"/>
        </w:rPr>
        <w:t>（2）一氧化碳产生量本项目储存的易燃物质主要为碳氢化合物，参照油品的火灾伴生/次生一氧化碳产生量的经验公式计算：</w:t>
      </w:r>
    </w:p>
    <w:p>
      <w:pPr>
        <w:pStyle w:val="6"/>
        <w:spacing w:line="360" w:lineRule="auto"/>
        <w:jc w:val="center"/>
        <w:rPr>
          <w:rFonts w:hint="eastAsia"/>
          <w:snapToGrid w:val="0"/>
          <w:kern w:val="0"/>
          <w:szCs w:val="21"/>
          <w:lang w:eastAsia="zh-CN"/>
        </w:rPr>
      </w:pPr>
      <w:r>
        <w:rPr>
          <w:rFonts w:hint="eastAsia"/>
          <w:snapToGrid w:val="0"/>
          <w:kern w:val="0"/>
          <w:szCs w:val="21"/>
          <w:lang w:eastAsia="zh-CN"/>
        </w:rPr>
        <w:t>G</w:t>
      </w:r>
      <w:r>
        <w:rPr>
          <w:rFonts w:hint="eastAsia"/>
          <w:snapToGrid w:val="0"/>
          <w:kern w:val="0"/>
          <w:szCs w:val="21"/>
          <w:vertAlign w:val="subscript"/>
          <w:lang w:val="en-US" w:eastAsia="zh-CN"/>
        </w:rPr>
        <w:t>CO</w:t>
      </w:r>
      <w:r>
        <w:rPr>
          <w:rFonts w:hint="eastAsia"/>
          <w:snapToGrid w:val="0"/>
          <w:kern w:val="0"/>
          <w:szCs w:val="21"/>
          <w:lang w:eastAsia="zh-CN"/>
        </w:rPr>
        <w:t>=2330qCQ</w:t>
      </w:r>
    </w:p>
    <w:p>
      <w:pPr>
        <w:pStyle w:val="6"/>
        <w:spacing w:line="360" w:lineRule="auto"/>
        <w:ind w:firstLine="1440" w:firstLineChars="600"/>
        <w:rPr>
          <w:rFonts w:hint="eastAsia"/>
          <w:snapToGrid w:val="0"/>
          <w:kern w:val="0"/>
          <w:szCs w:val="21"/>
          <w:lang w:eastAsia="zh-CN"/>
        </w:rPr>
      </w:pPr>
      <w:r>
        <w:rPr>
          <w:rFonts w:hint="eastAsia"/>
          <w:snapToGrid w:val="0"/>
          <w:kern w:val="0"/>
          <w:szCs w:val="21"/>
          <w:lang w:eastAsia="zh-CN"/>
        </w:rPr>
        <w:t>式中，G</w:t>
      </w:r>
      <w:r>
        <w:rPr>
          <w:rFonts w:hint="eastAsia"/>
          <w:snapToGrid w:val="0"/>
          <w:kern w:val="0"/>
          <w:szCs w:val="21"/>
          <w:vertAlign w:val="subscript"/>
          <w:lang w:val="en-US" w:eastAsia="zh-CN"/>
        </w:rPr>
        <w:t>CO</w:t>
      </w:r>
      <w:r>
        <w:rPr>
          <w:rFonts w:hint="eastAsia"/>
          <w:snapToGrid w:val="0"/>
          <w:kern w:val="0"/>
          <w:szCs w:val="21"/>
          <w:lang w:eastAsia="zh-CN"/>
        </w:rPr>
        <w:t>—</w:t>
      </w:r>
      <w:r>
        <w:rPr>
          <w:rFonts w:hint="eastAsia"/>
          <w:snapToGrid w:val="0"/>
          <w:kern w:val="0"/>
          <w:szCs w:val="21"/>
          <w:vertAlign w:val="baseline"/>
          <w:lang w:val="en-US" w:eastAsia="zh-CN"/>
        </w:rPr>
        <w:t>CO</w:t>
      </w:r>
      <w:r>
        <w:rPr>
          <w:rFonts w:hint="eastAsia"/>
          <w:snapToGrid w:val="0"/>
          <w:kern w:val="0"/>
          <w:szCs w:val="21"/>
          <w:lang w:eastAsia="zh-CN"/>
        </w:rPr>
        <w:t>的产生量，kg/s；</w:t>
      </w:r>
    </w:p>
    <w:p>
      <w:pPr>
        <w:pStyle w:val="6"/>
        <w:spacing w:line="360" w:lineRule="auto"/>
        <w:ind w:firstLine="2160" w:firstLineChars="900"/>
        <w:rPr>
          <w:rFonts w:hint="eastAsia"/>
          <w:snapToGrid w:val="0"/>
          <w:kern w:val="0"/>
          <w:szCs w:val="21"/>
          <w:lang w:eastAsia="zh-CN"/>
        </w:rPr>
      </w:pPr>
      <w:r>
        <w:rPr>
          <w:rFonts w:hint="eastAsia"/>
          <w:snapToGrid w:val="0"/>
          <w:kern w:val="0"/>
          <w:szCs w:val="21"/>
          <w:lang w:eastAsia="zh-CN"/>
        </w:rPr>
        <w:t>C—物质中碳的含量，本项目取</w:t>
      </w:r>
      <w:r>
        <w:rPr>
          <w:rFonts w:hint="eastAsia"/>
          <w:snapToGrid w:val="0"/>
          <w:kern w:val="0"/>
          <w:szCs w:val="21"/>
          <w:lang w:val="en-US" w:eastAsia="zh-CN"/>
        </w:rPr>
        <w:t>7</w:t>
      </w:r>
      <w:r>
        <w:rPr>
          <w:rFonts w:hint="eastAsia"/>
          <w:snapToGrid w:val="0"/>
          <w:kern w:val="0"/>
          <w:szCs w:val="21"/>
          <w:lang w:eastAsia="zh-CN"/>
        </w:rPr>
        <w:t>5%；</w:t>
      </w:r>
    </w:p>
    <w:p>
      <w:pPr>
        <w:pStyle w:val="6"/>
        <w:spacing w:line="360" w:lineRule="auto"/>
        <w:ind w:firstLine="2160" w:firstLineChars="900"/>
        <w:rPr>
          <w:rFonts w:hint="eastAsia"/>
          <w:snapToGrid w:val="0"/>
          <w:kern w:val="0"/>
          <w:szCs w:val="21"/>
          <w:lang w:eastAsia="zh-CN"/>
        </w:rPr>
      </w:pPr>
      <w:r>
        <w:rPr>
          <w:rFonts w:hint="eastAsia"/>
          <w:snapToGrid w:val="0"/>
          <w:kern w:val="0"/>
          <w:szCs w:val="21"/>
          <w:lang w:eastAsia="zh-CN"/>
        </w:rPr>
        <w:t>q—化学不完全燃烧值，取6%；</w:t>
      </w:r>
    </w:p>
    <w:p>
      <w:pPr>
        <w:pStyle w:val="6"/>
        <w:spacing w:line="360" w:lineRule="auto"/>
        <w:ind w:firstLine="2160" w:firstLineChars="900"/>
        <w:rPr>
          <w:rFonts w:hint="eastAsia"/>
          <w:snapToGrid w:val="0"/>
          <w:kern w:val="0"/>
          <w:szCs w:val="21"/>
          <w:lang w:eastAsia="zh-CN"/>
        </w:rPr>
      </w:pPr>
      <w:r>
        <w:rPr>
          <w:rFonts w:hint="eastAsia"/>
          <w:snapToGrid w:val="0"/>
          <w:kern w:val="0"/>
          <w:szCs w:val="21"/>
          <w:lang w:eastAsia="zh-CN"/>
        </w:rPr>
        <w:t>Q—参与燃烧的物质量，t/s。</w:t>
      </w:r>
    </w:p>
    <w:p>
      <w:pPr>
        <w:pStyle w:val="6"/>
        <w:spacing w:line="360" w:lineRule="auto"/>
        <w:rPr>
          <w:rFonts w:hint="eastAsia"/>
          <w:snapToGrid w:val="0"/>
          <w:kern w:val="0"/>
          <w:szCs w:val="21"/>
          <w:lang w:eastAsia="zh-CN"/>
        </w:rPr>
      </w:pPr>
      <w:r>
        <w:rPr>
          <w:rFonts w:hint="eastAsia"/>
          <w:snapToGrid w:val="0"/>
          <w:kern w:val="0"/>
          <w:szCs w:val="21"/>
          <w:lang w:val="en-US" w:eastAsia="zh-CN"/>
        </w:rPr>
        <w:t>根据以上公式</w:t>
      </w:r>
      <w:r>
        <w:rPr>
          <w:rFonts w:hint="eastAsia"/>
          <w:snapToGrid w:val="0"/>
          <w:kern w:val="0"/>
          <w:szCs w:val="21"/>
          <w:lang w:eastAsia="zh-CN"/>
        </w:rPr>
        <w:t>计算得一氧化碳的产生量为</w:t>
      </w:r>
      <w:r>
        <w:rPr>
          <w:rFonts w:hint="eastAsia"/>
          <w:snapToGrid w:val="0"/>
          <w:kern w:val="0"/>
          <w:szCs w:val="21"/>
          <w:lang w:val="en-US" w:eastAsia="zh-CN"/>
        </w:rPr>
        <w:t>1.174</w:t>
      </w:r>
      <w:r>
        <w:rPr>
          <w:rFonts w:hint="eastAsia"/>
          <w:snapToGrid w:val="0"/>
          <w:kern w:val="0"/>
          <w:szCs w:val="21"/>
          <w:lang w:eastAsia="zh-CN"/>
        </w:rPr>
        <w:t>kg/s。</w:t>
      </w:r>
    </w:p>
    <w:p>
      <w:pPr>
        <w:pStyle w:val="46"/>
        <w:tabs>
          <w:tab w:val="left" w:pos="6638"/>
        </w:tabs>
        <w:ind w:firstLine="0" w:firstLineChars="0"/>
        <w:rPr>
          <w:rFonts w:hint="eastAsia" w:cs="Times New Roman"/>
          <w:b/>
          <w:bCs/>
          <w:snapToGrid w:val="0"/>
          <w:color w:val="auto"/>
          <w:kern w:val="0"/>
          <w:sz w:val="24"/>
          <w:szCs w:val="21"/>
          <w:lang w:val="en-US" w:eastAsia="zh-CN" w:bidi="ar-SA"/>
        </w:rPr>
      </w:pPr>
      <w:r>
        <w:rPr>
          <w:rFonts w:hint="eastAsia" w:ascii="Times New Roman" w:hAnsi="Times New Roman" w:eastAsia="宋体" w:cs="Times New Roman"/>
          <w:b/>
          <w:bCs/>
          <w:snapToGrid w:val="0"/>
          <w:color w:val="auto"/>
          <w:kern w:val="0"/>
          <w:sz w:val="24"/>
          <w:szCs w:val="21"/>
          <w:lang w:val="en-US" w:eastAsia="zh-CN" w:bidi="ar-SA"/>
        </w:rPr>
        <w:t>6 风险评价</w:t>
      </w:r>
      <w:r>
        <w:rPr>
          <w:rFonts w:hint="eastAsia" w:cs="Times New Roman"/>
          <w:b/>
          <w:bCs/>
          <w:snapToGrid w:val="0"/>
          <w:color w:val="auto"/>
          <w:kern w:val="0"/>
          <w:sz w:val="24"/>
          <w:szCs w:val="21"/>
          <w:lang w:val="en-US" w:eastAsia="zh-CN" w:bidi="ar-SA"/>
        </w:rPr>
        <w:t>与影响分析</w:t>
      </w:r>
    </w:p>
    <w:p>
      <w:pPr>
        <w:pStyle w:val="46"/>
        <w:tabs>
          <w:tab w:val="left" w:pos="6638"/>
        </w:tabs>
        <w:ind w:firstLine="0" w:firstLineChars="0"/>
        <w:rPr>
          <w:rStyle w:val="47"/>
          <w:b/>
          <w:sz w:val="24"/>
          <w:szCs w:val="24"/>
        </w:rPr>
      </w:pPr>
      <w:r>
        <w:rPr>
          <w:rStyle w:val="47"/>
          <w:rFonts w:hint="eastAsia"/>
          <w:b/>
          <w:sz w:val="24"/>
          <w:szCs w:val="24"/>
        </w:rPr>
        <w:t>6.1对大气环境的影响</w:t>
      </w:r>
    </w:p>
    <w:p>
      <w:pPr>
        <w:pStyle w:val="6"/>
        <w:spacing w:line="360" w:lineRule="auto"/>
        <w:ind w:left="0" w:leftChars="0" w:firstLine="480" w:firstLineChars="200"/>
        <w:rPr>
          <w:snapToGrid w:val="0"/>
          <w:kern w:val="0"/>
          <w:sz w:val="24"/>
          <w:szCs w:val="24"/>
        </w:rPr>
      </w:pPr>
      <w:r>
        <w:rPr>
          <w:rFonts w:hint="eastAsia"/>
          <w:snapToGrid w:val="0"/>
          <w:kern w:val="0"/>
          <w:sz w:val="24"/>
          <w:szCs w:val="24"/>
        </w:rPr>
        <w:t>本项目对大气环境产生影响的风险事故情形为：于苯甲醇、乙二醇</w:t>
      </w:r>
      <w:r>
        <w:rPr>
          <w:rFonts w:hint="eastAsia"/>
          <w:snapToGrid w:val="0"/>
          <w:kern w:val="0"/>
          <w:sz w:val="24"/>
          <w:szCs w:val="24"/>
          <w:lang w:eastAsia="zh-CN"/>
        </w:rPr>
        <w:t>、</w:t>
      </w:r>
      <w:r>
        <w:rPr>
          <w:rFonts w:hint="eastAsia"/>
          <w:snapToGrid w:val="0"/>
          <w:kern w:val="0"/>
          <w:sz w:val="24"/>
          <w:szCs w:val="24"/>
        </w:rPr>
        <w:t>氯菊酯、乙酸苄酯等</w:t>
      </w:r>
      <w:r>
        <w:rPr>
          <w:rFonts w:hint="eastAsia"/>
          <w:snapToGrid w:val="0"/>
          <w:kern w:val="0"/>
          <w:sz w:val="24"/>
          <w:szCs w:val="24"/>
          <w:lang w:eastAsia="zh-CN"/>
        </w:rPr>
        <w:t>易燃</w:t>
      </w:r>
      <w:r>
        <w:rPr>
          <w:rFonts w:hint="eastAsia"/>
          <w:snapToGrid w:val="0"/>
          <w:kern w:val="0"/>
          <w:sz w:val="24"/>
          <w:szCs w:val="24"/>
        </w:rPr>
        <w:t>物质</w:t>
      </w:r>
      <w:r>
        <w:rPr>
          <w:rFonts w:hint="eastAsia"/>
          <w:snapToGrid w:val="0"/>
          <w:kern w:val="0"/>
          <w:sz w:val="24"/>
          <w:szCs w:val="24"/>
          <w:lang w:eastAsia="zh-CN"/>
        </w:rPr>
        <w:t>发生泄漏，遇明火高热等</w:t>
      </w:r>
      <w:r>
        <w:rPr>
          <w:rFonts w:hint="eastAsia"/>
          <w:snapToGrid w:val="0"/>
          <w:kern w:val="0"/>
          <w:sz w:val="24"/>
          <w:szCs w:val="24"/>
        </w:rPr>
        <w:t>发生火灾</w:t>
      </w:r>
      <w:r>
        <w:rPr>
          <w:rFonts w:hint="eastAsia"/>
          <w:snapToGrid w:val="0"/>
          <w:kern w:val="0"/>
          <w:sz w:val="24"/>
          <w:szCs w:val="24"/>
          <w:lang w:eastAsia="zh-CN"/>
        </w:rPr>
        <w:t>爆炸事故，</w:t>
      </w:r>
      <w:r>
        <w:rPr>
          <w:rFonts w:hint="eastAsia"/>
          <w:snapToGrid w:val="0"/>
          <w:kern w:val="0"/>
          <w:sz w:val="24"/>
          <w:szCs w:val="24"/>
        </w:rPr>
        <w:t>时伴/次生污染物CO</w:t>
      </w:r>
      <w:r>
        <w:rPr>
          <w:rFonts w:hint="eastAsia"/>
          <w:snapToGrid w:val="0"/>
          <w:kern w:val="0"/>
          <w:sz w:val="24"/>
          <w:szCs w:val="24"/>
          <w:lang w:eastAsia="zh-CN"/>
        </w:rPr>
        <w:t>、颗粒物等污染物污染周边大气环境</w:t>
      </w:r>
      <w:r>
        <w:rPr>
          <w:snapToGrid w:val="0"/>
          <w:kern w:val="0"/>
          <w:sz w:val="24"/>
          <w:szCs w:val="24"/>
        </w:rPr>
        <w:t>。</w:t>
      </w:r>
    </w:p>
    <w:p>
      <w:pPr>
        <w:pStyle w:val="6"/>
        <w:spacing w:line="360" w:lineRule="auto"/>
        <w:ind w:left="0" w:leftChars="0" w:firstLine="480" w:firstLineChars="200"/>
        <w:rPr>
          <w:rFonts w:hint="eastAsia"/>
          <w:snapToGrid w:val="0"/>
          <w:kern w:val="0"/>
          <w:sz w:val="24"/>
          <w:szCs w:val="24"/>
        </w:rPr>
      </w:pPr>
      <w:r>
        <w:rPr>
          <w:rFonts w:hint="eastAsia"/>
          <w:snapToGrid w:val="0"/>
          <w:kern w:val="0"/>
          <w:sz w:val="24"/>
          <w:szCs w:val="24"/>
        </w:rPr>
        <w:t>火灾、爆炸产生一氧化碳大气风险预测</w:t>
      </w:r>
    </w:p>
    <w:p>
      <w:pPr>
        <w:pStyle w:val="6"/>
        <w:spacing w:line="360" w:lineRule="auto"/>
        <w:ind w:left="0" w:leftChars="0" w:firstLine="480" w:firstLineChars="200"/>
        <w:rPr>
          <w:rFonts w:hint="eastAsia"/>
          <w:snapToGrid w:val="0"/>
          <w:kern w:val="0"/>
          <w:szCs w:val="21"/>
        </w:rPr>
      </w:pPr>
      <w:r>
        <w:rPr>
          <w:rFonts w:hint="eastAsia"/>
          <w:snapToGrid w:val="0"/>
          <w:kern w:val="0"/>
          <w:szCs w:val="21"/>
        </w:rPr>
        <w:t>风险物质CO为短时或持续泄露，排放时长为15min，预测在风速（1.5m/s）、气温（25℃）、释放高度（5m），F类稳定度气象条件下，进行风险物质CO浓度分布预测（采用AFTOX模型预测），预测结果见</w:t>
      </w:r>
      <w:r>
        <w:rPr>
          <w:rFonts w:hint="eastAsia"/>
          <w:snapToGrid w:val="0"/>
          <w:kern w:val="0"/>
          <w:szCs w:val="21"/>
          <w:lang w:eastAsia="zh-CN"/>
        </w:rPr>
        <w:t>下</w:t>
      </w:r>
      <w:r>
        <w:rPr>
          <w:rFonts w:hint="eastAsia"/>
          <w:snapToGrid w:val="0"/>
          <w:kern w:val="0"/>
          <w:szCs w:val="21"/>
        </w:rPr>
        <w:t>表1</w:t>
      </w:r>
      <w:r>
        <w:rPr>
          <w:rFonts w:hint="eastAsia"/>
          <w:snapToGrid w:val="0"/>
          <w:kern w:val="0"/>
          <w:szCs w:val="21"/>
          <w:lang w:val="en-US" w:eastAsia="zh-CN"/>
        </w:rPr>
        <w:t>7</w:t>
      </w:r>
      <w:r>
        <w:rPr>
          <w:rFonts w:hint="eastAsia"/>
          <w:snapToGrid w:val="0"/>
          <w:kern w:val="0"/>
          <w:szCs w:val="21"/>
        </w:rPr>
        <w:t>、图3。</w:t>
      </w:r>
    </w:p>
    <w:p>
      <w:pPr>
        <w:keepNext/>
        <w:autoSpaceDE w:val="0"/>
        <w:autoSpaceDN w:val="0"/>
        <w:adjustRightInd w:val="0"/>
        <w:jc w:val="center"/>
        <w:rPr>
          <w:b/>
          <w:bCs/>
          <w:kern w:val="0"/>
          <w:szCs w:val="21"/>
        </w:rPr>
      </w:pPr>
      <w:r>
        <w:rPr>
          <w:rFonts w:hint="eastAsia"/>
          <w:b/>
          <w:bCs/>
          <w:kern w:val="0"/>
          <w:szCs w:val="21"/>
        </w:rPr>
        <w:t>表1</w:t>
      </w:r>
      <w:r>
        <w:rPr>
          <w:rFonts w:hint="eastAsia"/>
          <w:b/>
          <w:bCs/>
          <w:kern w:val="0"/>
          <w:szCs w:val="21"/>
          <w:lang w:val="en-US" w:eastAsia="zh-CN"/>
        </w:rPr>
        <w:t>7</w:t>
      </w:r>
      <w:r>
        <w:rPr>
          <w:rFonts w:hint="eastAsia"/>
          <w:b/>
          <w:bCs/>
          <w:kern w:val="0"/>
          <w:szCs w:val="21"/>
        </w:rPr>
        <w:t xml:space="preserve"> 轴线各点的最大浓度及出现时刻一览表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8"/>
        <w:gridCol w:w="3248"/>
        <w:gridCol w:w="3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b/>
                <w:sz w:val="21"/>
                <w:szCs w:val="21"/>
              </w:rPr>
            </w:pPr>
            <w:r>
              <w:rPr>
                <w:b/>
                <w:sz w:val="21"/>
                <w:szCs w:val="21"/>
              </w:rPr>
              <w:tab/>
            </w:r>
            <w:r>
              <w:rPr>
                <w:rFonts w:hint="eastAsia"/>
                <w:b/>
                <w:sz w:val="21"/>
                <w:szCs w:val="21"/>
              </w:rPr>
              <w:t>距离（m）</w:t>
            </w:r>
            <w:r>
              <w:rPr>
                <w:b/>
                <w:sz w:val="21"/>
                <w:szCs w:val="21"/>
              </w:rPr>
              <w:tab/>
            </w:r>
          </w:p>
        </w:tc>
        <w:tc>
          <w:tcPr>
            <w:tcW w:w="3158" w:type="dxa"/>
          </w:tcPr>
          <w:p>
            <w:pPr>
              <w:pStyle w:val="50"/>
              <w:rPr>
                <w:b/>
                <w:sz w:val="21"/>
                <w:szCs w:val="21"/>
              </w:rPr>
            </w:pPr>
            <w:r>
              <w:rPr>
                <w:rFonts w:hint="eastAsia"/>
                <w:b/>
                <w:sz w:val="21"/>
                <w:szCs w:val="21"/>
              </w:rPr>
              <w:t>浓度出现时间（min）</w:t>
            </w:r>
          </w:p>
        </w:tc>
        <w:tc>
          <w:tcPr>
            <w:tcW w:w="3228" w:type="dxa"/>
          </w:tcPr>
          <w:p>
            <w:pPr>
              <w:pStyle w:val="50"/>
              <w:rPr>
                <w:b/>
                <w:sz w:val="21"/>
                <w:szCs w:val="21"/>
              </w:rPr>
            </w:pPr>
            <w:r>
              <w:rPr>
                <w:rFonts w:hint="eastAsia"/>
                <w:b/>
                <w:sz w:val="21"/>
                <w:szCs w:val="21"/>
              </w:rPr>
              <w:t>浓度（mg/m</w:t>
            </w:r>
            <w:r>
              <w:rPr>
                <w:rFonts w:hint="eastAsia"/>
                <w:b/>
                <w:sz w:val="21"/>
                <w:szCs w:val="21"/>
                <w:vertAlign w:val="superscript"/>
              </w:rPr>
              <w:t>3</w:t>
            </w:r>
            <w:r>
              <w:rPr>
                <w:rFonts w:hint="eastAsia"/>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sz w:val="21"/>
                <w:szCs w:val="21"/>
              </w:rPr>
            </w:pPr>
            <w:r>
              <w:rPr>
                <w:rFonts w:hint="eastAsia"/>
                <w:sz w:val="21"/>
                <w:szCs w:val="21"/>
              </w:rPr>
              <w:t>10</w:t>
            </w:r>
          </w:p>
        </w:tc>
        <w:tc>
          <w:tcPr>
            <w:tcW w:w="3158" w:type="dxa"/>
          </w:tcPr>
          <w:p>
            <w:pPr>
              <w:pStyle w:val="50"/>
              <w:rPr>
                <w:sz w:val="21"/>
                <w:szCs w:val="21"/>
              </w:rPr>
            </w:pPr>
            <w:r>
              <w:rPr>
                <w:rFonts w:hint="eastAsia"/>
                <w:sz w:val="21"/>
                <w:szCs w:val="21"/>
                <w:lang w:val="en-US" w:eastAsia="zh-CN"/>
              </w:rPr>
              <w:t>8.3333</w:t>
            </w:r>
            <w:r>
              <w:rPr>
                <w:sz w:val="21"/>
                <w:szCs w:val="21"/>
              </w:rPr>
              <w:t>E+00</w:t>
            </w:r>
          </w:p>
        </w:tc>
        <w:tc>
          <w:tcPr>
            <w:tcW w:w="3228" w:type="dxa"/>
          </w:tcPr>
          <w:p>
            <w:pPr>
              <w:pStyle w:val="50"/>
              <w:rPr>
                <w:rFonts w:hint="eastAsia" w:eastAsia="宋体"/>
                <w:sz w:val="21"/>
                <w:szCs w:val="21"/>
                <w:lang w:val="en-US" w:eastAsia="zh-CN"/>
              </w:rPr>
            </w:pPr>
            <w:r>
              <w:rPr>
                <w:sz w:val="21"/>
                <w:szCs w:val="21"/>
              </w:rPr>
              <w:t>1.3326E</w:t>
            </w:r>
            <w:r>
              <w:rPr>
                <w:rFonts w:hint="eastAsia"/>
                <w:sz w:val="21"/>
                <w:szCs w:val="21"/>
                <w:lang w:val="en-US" w:eastAsia="zh-CN"/>
              </w:rPr>
              <w:t>-</w:t>
            </w:r>
            <w:r>
              <w:rPr>
                <w:sz w:val="21"/>
                <w:szCs w:val="21"/>
              </w:rPr>
              <w:t>0</w:t>
            </w:r>
            <w:r>
              <w:rPr>
                <w:rFonts w:hint="eastAsia"/>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sz w:val="21"/>
                <w:szCs w:val="21"/>
              </w:rPr>
            </w:pPr>
            <w:r>
              <w:rPr>
                <w:rFonts w:hint="eastAsia"/>
                <w:sz w:val="21"/>
                <w:szCs w:val="21"/>
              </w:rPr>
              <w:t>20</w:t>
            </w:r>
          </w:p>
        </w:tc>
        <w:tc>
          <w:tcPr>
            <w:tcW w:w="3158" w:type="dxa"/>
          </w:tcPr>
          <w:p>
            <w:pPr>
              <w:pStyle w:val="50"/>
              <w:rPr>
                <w:rFonts w:hint="default" w:eastAsia="宋体"/>
                <w:sz w:val="21"/>
                <w:szCs w:val="21"/>
                <w:lang w:val="en-US" w:eastAsia="zh-CN"/>
              </w:rPr>
            </w:pPr>
            <w:r>
              <w:rPr>
                <w:rFonts w:hint="eastAsia"/>
                <w:sz w:val="21"/>
                <w:szCs w:val="21"/>
                <w:lang w:val="en-US" w:eastAsia="zh-CN"/>
              </w:rPr>
              <w:t>1.6667</w:t>
            </w:r>
            <w:r>
              <w:rPr>
                <w:sz w:val="21"/>
                <w:szCs w:val="21"/>
              </w:rPr>
              <w:t>E</w:t>
            </w:r>
            <w:r>
              <w:rPr>
                <w:rFonts w:hint="eastAsia"/>
                <w:sz w:val="21"/>
                <w:szCs w:val="21"/>
                <w:lang w:val="en-US" w:eastAsia="zh-CN"/>
              </w:rPr>
              <w:t>-01</w:t>
            </w:r>
          </w:p>
        </w:tc>
        <w:tc>
          <w:tcPr>
            <w:tcW w:w="3228" w:type="dxa"/>
          </w:tcPr>
          <w:p>
            <w:pPr>
              <w:pStyle w:val="50"/>
              <w:rPr>
                <w:rFonts w:hint="eastAsia" w:eastAsia="宋体"/>
                <w:sz w:val="21"/>
                <w:szCs w:val="21"/>
                <w:lang w:val="en-US" w:eastAsia="zh-CN"/>
              </w:rPr>
            </w:pPr>
            <w:r>
              <w:rPr>
                <w:rFonts w:hint="eastAsia"/>
                <w:sz w:val="21"/>
                <w:szCs w:val="21"/>
                <w:lang w:val="en-US" w:eastAsia="zh-CN"/>
              </w:rPr>
              <w:t>3.7287</w:t>
            </w:r>
            <w:r>
              <w:rPr>
                <w:sz w:val="21"/>
                <w:szCs w:val="21"/>
              </w:rPr>
              <w:t>3E+0</w:t>
            </w:r>
            <w:r>
              <w:rPr>
                <w:rFonts w:hint="eastAsia"/>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rFonts w:hint="default" w:eastAsia="宋体"/>
                <w:sz w:val="21"/>
                <w:szCs w:val="21"/>
                <w:lang w:val="en-US" w:eastAsia="zh-CN"/>
              </w:rPr>
            </w:pPr>
            <w:r>
              <w:rPr>
                <w:rFonts w:hint="eastAsia"/>
                <w:sz w:val="21"/>
                <w:szCs w:val="21"/>
                <w:lang w:val="en-US" w:eastAsia="zh-CN"/>
              </w:rPr>
              <w:t>30</w:t>
            </w:r>
          </w:p>
        </w:tc>
        <w:tc>
          <w:tcPr>
            <w:tcW w:w="3158" w:type="dxa"/>
          </w:tcPr>
          <w:p>
            <w:pPr>
              <w:pStyle w:val="50"/>
              <w:rPr>
                <w:rFonts w:hint="default"/>
                <w:sz w:val="21"/>
                <w:szCs w:val="21"/>
                <w:lang w:val="en-US" w:eastAsia="zh-CN"/>
              </w:rPr>
            </w:pPr>
            <w:r>
              <w:rPr>
                <w:rFonts w:hint="eastAsia"/>
                <w:sz w:val="21"/>
                <w:szCs w:val="21"/>
                <w:lang w:val="en-US" w:eastAsia="zh-CN"/>
              </w:rPr>
              <w:t>2.5000</w:t>
            </w:r>
            <w:r>
              <w:rPr>
                <w:sz w:val="21"/>
                <w:szCs w:val="21"/>
              </w:rPr>
              <w:t>E</w:t>
            </w:r>
            <w:r>
              <w:rPr>
                <w:rFonts w:hint="eastAsia"/>
                <w:sz w:val="21"/>
                <w:szCs w:val="21"/>
                <w:lang w:val="en-US" w:eastAsia="zh-CN"/>
              </w:rPr>
              <w:t>-01</w:t>
            </w:r>
          </w:p>
        </w:tc>
        <w:tc>
          <w:tcPr>
            <w:tcW w:w="3228" w:type="dxa"/>
          </w:tcPr>
          <w:p>
            <w:pPr>
              <w:pStyle w:val="50"/>
              <w:rPr>
                <w:rFonts w:hint="eastAsia"/>
                <w:sz w:val="21"/>
                <w:szCs w:val="21"/>
                <w:lang w:val="en-US" w:eastAsia="zh-CN"/>
              </w:rPr>
            </w:pPr>
            <w:r>
              <w:rPr>
                <w:rFonts w:hint="eastAsia"/>
                <w:sz w:val="21"/>
                <w:szCs w:val="21"/>
                <w:lang w:val="en-US" w:eastAsia="zh-CN"/>
              </w:rPr>
              <w:t>1.7461</w:t>
            </w:r>
            <w:r>
              <w:rPr>
                <w:sz w:val="21"/>
                <w:szCs w:val="21"/>
              </w:rPr>
              <w:t>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rFonts w:hint="default"/>
                <w:sz w:val="21"/>
                <w:szCs w:val="21"/>
                <w:lang w:val="en-US" w:eastAsia="zh-CN"/>
              </w:rPr>
            </w:pPr>
            <w:r>
              <w:rPr>
                <w:rFonts w:hint="eastAsia"/>
                <w:sz w:val="21"/>
                <w:szCs w:val="21"/>
                <w:lang w:val="en-US" w:eastAsia="zh-CN"/>
              </w:rPr>
              <w:t>40</w:t>
            </w:r>
          </w:p>
        </w:tc>
        <w:tc>
          <w:tcPr>
            <w:tcW w:w="3158" w:type="dxa"/>
            <w:vAlign w:val="top"/>
          </w:tcPr>
          <w:p>
            <w:pPr>
              <w:pStyle w:val="50"/>
              <w:ind w:firstLine="420" w:firstLineChars="200"/>
              <w:rPr>
                <w:rFonts w:hint="eastAsia"/>
                <w:sz w:val="21"/>
                <w:szCs w:val="21"/>
                <w:lang w:val="en-US" w:eastAsia="zh-CN"/>
              </w:rPr>
            </w:pPr>
            <w:r>
              <w:rPr>
                <w:rFonts w:hint="eastAsia"/>
                <w:sz w:val="21"/>
                <w:szCs w:val="21"/>
                <w:lang w:val="en-US" w:eastAsia="zh-CN"/>
              </w:rPr>
              <w:t>3.3333</w:t>
            </w:r>
            <w:r>
              <w:rPr>
                <w:sz w:val="21"/>
                <w:szCs w:val="21"/>
              </w:rPr>
              <w:t>E</w:t>
            </w:r>
            <w:r>
              <w:rPr>
                <w:rFonts w:hint="eastAsia"/>
                <w:sz w:val="21"/>
                <w:szCs w:val="21"/>
                <w:lang w:val="en-US" w:eastAsia="zh-CN"/>
              </w:rPr>
              <w:t>-01</w:t>
            </w:r>
          </w:p>
        </w:tc>
        <w:tc>
          <w:tcPr>
            <w:tcW w:w="3228" w:type="dxa"/>
            <w:vAlign w:val="top"/>
          </w:tcPr>
          <w:p>
            <w:pPr>
              <w:pStyle w:val="50"/>
              <w:ind w:firstLine="420" w:firstLineChars="200"/>
              <w:rPr>
                <w:rFonts w:hint="eastAsia"/>
                <w:sz w:val="21"/>
                <w:szCs w:val="21"/>
                <w:lang w:val="en-US" w:eastAsia="zh-CN"/>
              </w:rPr>
            </w:pPr>
            <w:r>
              <w:rPr>
                <w:rFonts w:hint="eastAsia"/>
                <w:sz w:val="21"/>
                <w:szCs w:val="21"/>
                <w:lang w:val="en-US" w:eastAsia="zh-CN"/>
              </w:rPr>
              <w:t>2.6697</w:t>
            </w:r>
            <w:r>
              <w:rPr>
                <w:sz w:val="21"/>
                <w:szCs w:val="21"/>
              </w:rPr>
              <w:t>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sz w:val="21"/>
                <w:szCs w:val="21"/>
              </w:rPr>
            </w:pPr>
            <w:r>
              <w:rPr>
                <w:rFonts w:hint="eastAsia"/>
                <w:sz w:val="21"/>
                <w:szCs w:val="21"/>
              </w:rPr>
              <w:t>50</w:t>
            </w:r>
          </w:p>
        </w:tc>
        <w:tc>
          <w:tcPr>
            <w:tcW w:w="3158" w:type="dxa"/>
          </w:tcPr>
          <w:p>
            <w:pPr>
              <w:pStyle w:val="50"/>
              <w:rPr>
                <w:rFonts w:hint="default" w:eastAsia="宋体"/>
                <w:sz w:val="21"/>
                <w:szCs w:val="21"/>
                <w:lang w:val="en-US" w:eastAsia="zh-CN"/>
              </w:rPr>
            </w:pPr>
            <w:r>
              <w:rPr>
                <w:rFonts w:hint="eastAsia"/>
                <w:sz w:val="21"/>
                <w:szCs w:val="21"/>
                <w:lang w:val="en-US" w:eastAsia="zh-CN"/>
              </w:rPr>
              <w:t>4.1667</w:t>
            </w:r>
            <w:r>
              <w:rPr>
                <w:sz w:val="21"/>
                <w:szCs w:val="21"/>
              </w:rPr>
              <w:t>E</w:t>
            </w:r>
            <w:r>
              <w:rPr>
                <w:rFonts w:hint="eastAsia"/>
                <w:sz w:val="21"/>
                <w:szCs w:val="21"/>
                <w:lang w:val="en-US" w:eastAsia="zh-CN"/>
              </w:rPr>
              <w:t>-01</w:t>
            </w:r>
          </w:p>
        </w:tc>
        <w:tc>
          <w:tcPr>
            <w:tcW w:w="3228" w:type="dxa"/>
          </w:tcPr>
          <w:p>
            <w:pPr>
              <w:pStyle w:val="50"/>
              <w:rPr>
                <w:sz w:val="21"/>
                <w:szCs w:val="21"/>
              </w:rPr>
            </w:pPr>
            <w:r>
              <w:rPr>
                <w:rFonts w:hint="eastAsia"/>
                <w:sz w:val="21"/>
                <w:szCs w:val="21"/>
                <w:lang w:val="en-US" w:eastAsia="zh-CN"/>
              </w:rPr>
              <w:t>2.9350</w:t>
            </w:r>
            <w:r>
              <w:rPr>
                <w:sz w:val="21"/>
                <w:szCs w:val="21"/>
              </w:rPr>
              <w:t>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sz w:val="21"/>
                <w:szCs w:val="21"/>
              </w:rPr>
            </w:pPr>
            <w:r>
              <w:rPr>
                <w:rFonts w:hint="eastAsia"/>
                <w:sz w:val="21"/>
                <w:szCs w:val="21"/>
                <w:lang w:val="en-US" w:eastAsia="zh-CN"/>
              </w:rPr>
              <w:t>6</w:t>
            </w:r>
            <w:r>
              <w:rPr>
                <w:rFonts w:hint="eastAsia"/>
                <w:sz w:val="21"/>
                <w:szCs w:val="21"/>
              </w:rPr>
              <w:t>0</w:t>
            </w:r>
          </w:p>
        </w:tc>
        <w:tc>
          <w:tcPr>
            <w:tcW w:w="3158" w:type="dxa"/>
          </w:tcPr>
          <w:p>
            <w:pPr>
              <w:pStyle w:val="50"/>
              <w:rPr>
                <w:rFonts w:hint="eastAsia" w:eastAsia="宋体"/>
                <w:sz w:val="21"/>
                <w:szCs w:val="21"/>
                <w:lang w:eastAsia="zh-CN"/>
              </w:rPr>
            </w:pPr>
            <w:r>
              <w:rPr>
                <w:rFonts w:hint="eastAsia"/>
                <w:sz w:val="21"/>
                <w:szCs w:val="21"/>
                <w:lang w:val="en-US" w:eastAsia="zh-CN"/>
              </w:rPr>
              <w:t>5.0000</w:t>
            </w:r>
            <w:r>
              <w:rPr>
                <w:sz w:val="21"/>
                <w:szCs w:val="21"/>
              </w:rPr>
              <w:t>E</w:t>
            </w:r>
            <w:r>
              <w:rPr>
                <w:rFonts w:hint="eastAsia"/>
                <w:sz w:val="21"/>
                <w:szCs w:val="21"/>
                <w:lang w:val="en-US" w:eastAsia="zh-CN"/>
              </w:rPr>
              <w:t>-</w:t>
            </w:r>
            <w:r>
              <w:rPr>
                <w:sz w:val="21"/>
                <w:szCs w:val="21"/>
              </w:rPr>
              <w:t>0</w:t>
            </w:r>
            <w:r>
              <w:rPr>
                <w:rFonts w:hint="eastAsia"/>
                <w:sz w:val="21"/>
                <w:szCs w:val="21"/>
                <w:lang w:val="en-US" w:eastAsia="zh-CN"/>
              </w:rPr>
              <w:t>1</w:t>
            </w:r>
          </w:p>
        </w:tc>
        <w:tc>
          <w:tcPr>
            <w:tcW w:w="3228" w:type="dxa"/>
          </w:tcPr>
          <w:p>
            <w:pPr>
              <w:pStyle w:val="50"/>
              <w:rPr>
                <w:sz w:val="21"/>
                <w:szCs w:val="21"/>
              </w:rPr>
            </w:pPr>
            <w:r>
              <w:rPr>
                <w:rFonts w:hint="eastAsia"/>
                <w:sz w:val="21"/>
                <w:szCs w:val="21"/>
                <w:lang w:val="en-US" w:eastAsia="zh-CN"/>
              </w:rPr>
              <w:t>2.8543</w:t>
            </w:r>
            <w:r>
              <w:rPr>
                <w:sz w:val="21"/>
                <w:szCs w:val="21"/>
              </w:rPr>
              <w:t>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sz w:val="21"/>
                <w:szCs w:val="21"/>
              </w:rPr>
            </w:pPr>
            <w:r>
              <w:rPr>
                <w:rFonts w:hint="eastAsia"/>
                <w:sz w:val="21"/>
                <w:szCs w:val="21"/>
                <w:lang w:val="en-US" w:eastAsia="zh-CN"/>
              </w:rPr>
              <w:t>7</w:t>
            </w:r>
            <w:r>
              <w:rPr>
                <w:rFonts w:hint="eastAsia"/>
                <w:sz w:val="21"/>
                <w:szCs w:val="21"/>
              </w:rPr>
              <w:t>0</w:t>
            </w:r>
          </w:p>
        </w:tc>
        <w:tc>
          <w:tcPr>
            <w:tcW w:w="3158" w:type="dxa"/>
          </w:tcPr>
          <w:p>
            <w:pPr>
              <w:pStyle w:val="50"/>
              <w:rPr>
                <w:sz w:val="21"/>
                <w:szCs w:val="21"/>
              </w:rPr>
            </w:pPr>
            <w:r>
              <w:rPr>
                <w:rFonts w:hint="eastAsia"/>
                <w:sz w:val="21"/>
                <w:szCs w:val="21"/>
                <w:lang w:val="en-US" w:eastAsia="zh-CN"/>
              </w:rPr>
              <w:t>5.8333</w:t>
            </w:r>
            <w:r>
              <w:rPr>
                <w:sz w:val="21"/>
                <w:szCs w:val="21"/>
              </w:rPr>
              <w:t>E</w:t>
            </w:r>
            <w:r>
              <w:rPr>
                <w:rFonts w:hint="eastAsia"/>
                <w:sz w:val="21"/>
                <w:szCs w:val="21"/>
                <w:lang w:val="en-US" w:eastAsia="zh-CN"/>
              </w:rPr>
              <w:t>-</w:t>
            </w:r>
            <w:r>
              <w:rPr>
                <w:sz w:val="21"/>
                <w:szCs w:val="21"/>
              </w:rPr>
              <w:t>01</w:t>
            </w:r>
          </w:p>
        </w:tc>
        <w:tc>
          <w:tcPr>
            <w:tcW w:w="3228" w:type="dxa"/>
          </w:tcPr>
          <w:p>
            <w:pPr>
              <w:pStyle w:val="50"/>
              <w:rPr>
                <w:sz w:val="21"/>
                <w:szCs w:val="21"/>
              </w:rPr>
            </w:pPr>
            <w:r>
              <w:rPr>
                <w:sz w:val="21"/>
                <w:szCs w:val="21"/>
              </w:rPr>
              <w:t>2.5325E+02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sz w:val="21"/>
                <w:szCs w:val="21"/>
              </w:rPr>
            </w:pPr>
            <w:r>
              <w:rPr>
                <w:rFonts w:hint="eastAsia"/>
                <w:sz w:val="21"/>
                <w:szCs w:val="21"/>
                <w:lang w:val="en-US" w:eastAsia="zh-CN"/>
              </w:rPr>
              <w:t>1</w:t>
            </w:r>
            <w:r>
              <w:rPr>
                <w:rFonts w:hint="eastAsia"/>
                <w:sz w:val="21"/>
                <w:szCs w:val="21"/>
              </w:rPr>
              <w:t>00</w:t>
            </w:r>
          </w:p>
        </w:tc>
        <w:tc>
          <w:tcPr>
            <w:tcW w:w="3158" w:type="dxa"/>
          </w:tcPr>
          <w:p>
            <w:pPr>
              <w:pStyle w:val="50"/>
              <w:rPr>
                <w:sz w:val="21"/>
                <w:szCs w:val="21"/>
              </w:rPr>
            </w:pPr>
            <w:r>
              <w:rPr>
                <w:rFonts w:hint="eastAsia"/>
                <w:sz w:val="21"/>
                <w:szCs w:val="21"/>
                <w:lang w:val="en-US" w:eastAsia="zh-CN"/>
              </w:rPr>
              <w:t>8.3333</w:t>
            </w:r>
            <w:r>
              <w:rPr>
                <w:sz w:val="21"/>
                <w:szCs w:val="21"/>
              </w:rPr>
              <w:t>E</w:t>
            </w:r>
            <w:r>
              <w:rPr>
                <w:rFonts w:hint="eastAsia"/>
                <w:sz w:val="21"/>
                <w:szCs w:val="21"/>
                <w:lang w:val="en-US" w:eastAsia="zh-CN"/>
              </w:rPr>
              <w:t>-</w:t>
            </w:r>
            <w:r>
              <w:rPr>
                <w:sz w:val="21"/>
                <w:szCs w:val="21"/>
              </w:rPr>
              <w:t>01</w:t>
            </w:r>
          </w:p>
        </w:tc>
        <w:tc>
          <w:tcPr>
            <w:tcW w:w="3228" w:type="dxa"/>
          </w:tcPr>
          <w:p>
            <w:pPr>
              <w:pStyle w:val="50"/>
              <w:rPr>
                <w:sz w:val="21"/>
                <w:szCs w:val="21"/>
              </w:rPr>
            </w:pPr>
            <w:r>
              <w:rPr>
                <w:sz w:val="21"/>
                <w:szCs w:val="21"/>
              </w:rPr>
              <w:t>1</w:t>
            </w:r>
            <w:r>
              <w:rPr>
                <w:rFonts w:hint="eastAsia"/>
                <w:sz w:val="21"/>
                <w:szCs w:val="21"/>
                <w:lang w:val="en-US" w:eastAsia="zh-CN"/>
              </w:rPr>
              <w:t>.9214</w:t>
            </w:r>
            <w:r>
              <w:rPr>
                <w:sz w:val="21"/>
                <w:szCs w:val="21"/>
              </w:rPr>
              <w:t>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sz w:val="21"/>
                <w:szCs w:val="21"/>
              </w:rPr>
            </w:pPr>
            <w:r>
              <w:rPr>
                <w:rFonts w:hint="eastAsia"/>
                <w:sz w:val="21"/>
                <w:szCs w:val="21"/>
                <w:lang w:val="en-US" w:eastAsia="zh-CN"/>
              </w:rPr>
              <w:t>15</w:t>
            </w:r>
            <w:r>
              <w:rPr>
                <w:rFonts w:hint="eastAsia"/>
                <w:sz w:val="21"/>
                <w:szCs w:val="21"/>
              </w:rPr>
              <w:t>0</w:t>
            </w:r>
          </w:p>
        </w:tc>
        <w:tc>
          <w:tcPr>
            <w:tcW w:w="3158" w:type="dxa"/>
          </w:tcPr>
          <w:p>
            <w:pPr>
              <w:pStyle w:val="50"/>
              <w:rPr>
                <w:rFonts w:hint="eastAsia" w:eastAsia="宋体"/>
                <w:sz w:val="21"/>
                <w:szCs w:val="21"/>
                <w:lang w:eastAsia="zh-CN"/>
              </w:rPr>
            </w:pPr>
            <w:r>
              <w:rPr>
                <w:sz w:val="21"/>
                <w:szCs w:val="21"/>
              </w:rPr>
              <w:t>1.</w:t>
            </w:r>
            <w:r>
              <w:rPr>
                <w:rFonts w:hint="eastAsia"/>
                <w:sz w:val="21"/>
                <w:szCs w:val="21"/>
                <w:lang w:val="en-US" w:eastAsia="zh-CN"/>
              </w:rPr>
              <w:t>2500</w:t>
            </w:r>
            <w:r>
              <w:rPr>
                <w:sz w:val="21"/>
                <w:szCs w:val="21"/>
              </w:rPr>
              <w:t>E+0</w:t>
            </w:r>
            <w:r>
              <w:rPr>
                <w:rFonts w:hint="eastAsia"/>
                <w:sz w:val="21"/>
                <w:szCs w:val="21"/>
                <w:lang w:val="en-US" w:eastAsia="zh-CN"/>
              </w:rPr>
              <w:t>0</w:t>
            </w:r>
          </w:p>
        </w:tc>
        <w:tc>
          <w:tcPr>
            <w:tcW w:w="3228" w:type="dxa"/>
          </w:tcPr>
          <w:p>
            <w:pPr>
              <w:pStyle w:val="50"/>
              <w:rPr>
                <w:rFonts w:hint="eastAsia" w:eastAsia="宋体"/>
                <w:sz w:val="21"/>
                <w:szCs w:val="21"/>
                <w:lang w:eastAsia="zh-CN"/>
              </w:rPr>
            </w:pPr>
            <w:r>
              <w:rPr>
                <w:rFonts w:hint="eastAsia"/>
                <w:sz w:val="21"/>
                <w:szCs w:val="21"/>
                <w:lang w:val="en-US" w:eastAsia="zh-CN"/>
              </w:rPr>
              <w:t>1.1593</w:t>
            </w:r>
            <w:r>
              <w:rPr>
                <w:sz w:val="21"/>
                <w:szCs w:val="21"/>
              </w:rPr>
              <w:t>E+0</w:t>
            </w:r>
            <w:r>
              <w:rPr>
                <w:rFonts w:hint="eastAsia"/>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rFonts w:hint="default"/>
                <w:sz w:val="21"/>
                <w:szCs w:val="21"/>
                <w:lang w:val="en-US" w:eastAsia="zh-CN"/>
              </w:rPr>
            </w:pPr>
            <w:r>
              <w:rPr>
                <w:rFonts w:hint="eastAsia"/>
                <w:sz w:val="21"/>
                <w:szCs w:val="21"/>
                <w:lang w:val="en-US" w:eastAsia="zh-CN"/>
              </w:rPr>
              <w:t>170</w:t>
            </w:r>
          </w:p>
        </w:tc>
        <w:tc>
          <w:tcPr>
            <w:tcW w:w="3158" w:type="dxa"/>
            <w:shd w:val="clear" w:color="auto" w:fill="auto"/>
            <w:vAlign w:val="top"/>
          </w:tcPr>
          <w:p>
            <w:pPr>
              <w:pStyle w:val="50"/>
              <w:ind w:firstLine="420" w:firstLineChars="200"/>
              <w:rPr>
                <w:rFonts w:hint="eastAsia" w:ascii="Times New Roman" w:hAnsi="Times New Roman" w:eastAsia="宋体" w:cs="Times New Roman"/>
                <w:bCs/>
                <w:kern w:val="2"/>
                <w:sz w:val="21"/>
                <w:szCs w:val="21"/>
                <w:lang w:val="en-US" w:eastAsia="zh-CN" w:bidi="ar-SA"/>
              </w:rPr>
            </w:pPr>
            <w:r>
              <w:rPr>
                <w:rFonts w:hint="eastAsia"/>
                <w:sz w:val="21"/>
                <w:szCs w:val="21"/>
                <w:lang w:val="en-US" w:eastAsia="zh-CN"/>
              </w:rPr>
              <w:t>1.4167</w:t>
            </w:r>
            <w:r>
              <w:rPr>
                <w:sz w:val="21"/>
                <w:szCs w:val="21"/>
              </w:rPr>
              <w:t>E+0</w:t>
            </w:r>
            <w:r>
              <w:rPr>
                <w:rFonts w:hint="eastAsia"/>
                <w:sz w:val="21"/>
                <w:szCs w:val="21"/>
                <w:lang w:val="en-US" w:eastAsia="zh-CN"/>
              </w:rPr>
              <w:t>0</w:t>
            </w:r>
          </w:p>
        </w:tc>
        <w:tc>
          <w:tcPr>
            <w:tcW w:w="3228" w:type="dxa"/>
            <w:shd w:val="clear" w:color="auto" w:fill="auto"/>
            <w:vAlign w:val="top"/>
          </w:tcPr>
          <w:p>
            <w:pPr>
              <w:pStyle w:val="50"/>
              <w:ind w:firstLine="420" w:firstLineChars="200"/>
              <w:rPr>
                <w:rFonts w:hint="eastAsia" w:ascii="Times New Roman" w:hAnsi="Times New Roman" w:eastAsia="宋体" w:cs="Times New Roman"/>
                <w:bCs/>
                <w:kern w:val="2"/>
                <w:sz w:val="21"/>
                <w:szCs w:val="21"/>
                <w:lang w:val="en-US" w:eastAsia="zh-CN" w:bidi="ar-SA"/>
              </w:rPr>
            </w:pPr>
            <w:r>
              <w:rPr>
                <w:rFonts w:hint="eastAsia"/>
                <w:sz w:val="21"/>
                <w:szCs w:val="21"/>
                <w:lang w:val="en-US" w:eastAsia="zh-CN"/>
              </w:rPr>
              <w:t>9.7294</w:t>
            </w:r>
            <w:r>
              <w:rPr>
                <w:sz w:val="21"/>
                <w:szCs w:val="21"/>
              </w:rPr>
              <w:t>E+0</w:t>
            </w:r>
            <w:r>
              <w:rPr>
                <w:rFonts w:hint="eastAsia"/>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sz w:val="21"/>
                <w:szCs w:val="21"/>
              </w:rPr>
            </w:pPr>
            <w:r>
              <w:rPr>
                <w:rFonts w:hint="eastAsia"/>
                <w:sz w:val="21"/>
                <w:szCs w:val="21"/>
                <w:lang w:val="en-US" w:eastAsia="zh-CN"/>
              </w:rPr>
              <w:t>2</w:t>
            </w:r>
            <w:r>
              <w:rPr>
                <w:rFonts w:hint="eastAsia"/>
                <w:sz w:val="21"/>
                <w:szCs w:val="21"/>
              </w:rPr>
              <w:t>00</w:t>
            </w:r>
          </w:p>
        </w:tc>
        <w:tc>
          <w:tcPr>
            <w:tcW w:w="3158" w:type="dxa"/>
          </w:tcPr>
          <w:p>
            <w:pPr>
              <w:pStyle w:val="50"/>
              <w:rPr>
                <w:rFonts w:hint="eastAsia" w:eastAsia="宋体"/>
                <w:sz w:val="21"/>
                <w:szCs w:val="21"/>
                <w:lang w:eastAsia="zh-CN"/>
              </w:rPr>
            </w:pPr>
            <w:r>
              <w:rPr>
                <w:rFonts w:hint="eastAsia"/>
                <w:sz w:val="21"/>
                <w:szCs w:val="21"/>
                <w:lang w:val="en-US" w:eastAsia="zh-CN"/>
              </w:rPr>
              <w:t>1.6667</w:t>
            </w:r>
            <w:r>
              <w:rPr>
                <w:sz w:val="21"/>
                <w:szCs w:val="21"/>
              </w:rPr>
              <w:t>E+0</w:t>
            </w:r>
            <w:r>
              <w:rPr>
                <w:rFonts w:hint="eastAsia"/>
                <w:sz w:val="21"/>
                <w:szCs w:val="21"/>
                <w:lang w:val="en-US" w:eastAsia="zh-CN"/>
              </w:rPr>
              <w:t>0</w:t>
            </w:r>
          </w:p>
        </w:tc>
        <w:tc>
          <w:tcPr>
            <w:tcW w:w="3228" w:type="dxa"/>
          </w:tcPr>
          <w:p>
            <w:pPr>
              <w:pStyle w:val="50"/>
              <w:rPr>
                <w:sz w:val="21"/>
                <w:szCs w:val="21"/>
              </w:rPr>
            </w:pPr>
            <w:r>
              <w:rPr>
                <w:rFonts w:hint="eastAsia"/>
                <w:sz w:val="21"/>
                <w:szCs w:val="21"/>
                <w:lang w:val="en-US" w:eastAsia="zh-CN"/>
              </w:rPr>
              <w:t>7.6770</w:t>
            </w:r>
            <w:r>
              <w:rPr>
                <w:sz w:val="21"/>
                <w:szCs w:val="21"/>
              </w:rPr>
              <w:t>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sz w:val="21"/>
                <w:szCs w:val="21"/>
              </w:rPr>
            </w:pPr>
            <w:r>
              <w:rPr>
                <w:rFonts w:hint="eastAsia"/>
                <w:sz w:val="21"/>
                <w:szCs w:val="21"/>
                <w:lang w:val="en-US" w:eastAsia="zh-CN"/>
              </w:rPr>
              <w:t>3</w:t>
            </w:r>
            <w:r>
              <w:rPr>
                <w:rFonts w:hint="eastAsia"/>
                <w:sz w:val="21"/>
                <w:szCs w:val="21"/>
              </w:rPr>
              <w:t>00</w:t>
            </w:r>
          </w:p>
        </w:tc>
        <w:tc>
          <w:tcPr>
            <w:tcW w:w="3158" w:type="dxa"/>
          </w:tcPr>
          <w:p>
            <w:pPr>
              <w:pStyle w:val="50"/>
              <w:rPr>
                <w:rFonts w:hint="eastAsia" w:eastAsia="宋体"/>
                <w:sz w:val="21"/>
                <w:szCs w:val="21"/>
                <w:lang w:eastAsia="zh-CN"/>
              </w:rPr>
            </w:pPr>
            <w:r>
              <w:rPr>
                <w:rFonts w:hint="eastAsia"/>
                <w:sz w:val="21"/>
                <w:szCs w:val="21"/>
                <w:lang w:val="en-US" w:eastAsia="zh-CN"/>
              </w:rPr>
              <w:t>2.5000</w:t>
            </w:r>
            <w:r>
              <w:rPr>
                <w:sz w:val="21"/>
                <w:szCs w:val="21"/>
              </w:rPr>
              <w:t>E+0</w:t>
            </w:r>
            <w:r>
              <w:rPr>
                <w:rFonts w:hint="eastAsia"/>
                <w:sz w:val="21"/>
                <w:szCs w:val="21"/>
                <w:lang w:val="en-US" w:eastAsia="zh-CN"/>
              </w:rPr>
              <w:t>0</w:t>
            </w:r>
          </w:p>
        </w:tc>
        <w:tc>
          <w:tcPr>
            <w:tcW w:w="3228" w:type="dxa"/>
          </w:tcPr>
          <w:p>
            <w:pPr>
              <w:pStyle w:val="50"/>
              <w:rPr>
                <w:rFonts w:hint="eastAsia" w:eastAsia="宋体"/>
                <w:sz w:val="21"/>
                <w:szCs w:val="21"/>
                <w:lang w:eastAsia="zh-CN"/>
              </w:rPr>
            </w:pPr>
            <w:r>
              <w:rPr>
                <w:rFonts w:hint="eastAsia"/>
                <w:sz w:val="21"/>
                <w:szCs w:val="21"/>
                <w:lang w:val="en-US" w:eastAsia="zh-CN"/>
              </w:rPr>
              <w:t>4.1150</w:t>
            </w:r>
            <w:r>
              <w:rPr>
                <w:sz w:val="21"/>
                <w:szCs w:val="21"/>
              </w:rPr>
              <w:t>E+0</w:t>
            </w:r>
            <w:r>
              <w:rPr>
                <w:rFonts w:hint="eastAsia"/>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sz w:val="21"/>
                <w:szCs w:val="21"/>
              </w:rPr>
            </w:pPr>
            <w:r>
              <w:rPr>
                <w:rFonts w:hint="eastAsia"/>
                <w:sz w:val="21"/>
                <w:szCs w:val="21"/>
                <w:lang w:val="en-US" w:eastAsia="zh-CN"/>
              </w:rPr>
              <w:t>4</w:t>
            </w:r>
            <w:r>
              <w:rPr>
                <w:rFonts w:hint="eastAsia"/>
                <w:sz w:val="21"/>
                <w:szCs w:val="21"/>
              </w:rPr>
              <w:t>00</w:t>
            </w:r>
          </w:p>
        </w:tc>
        <w:tc>
          <w:tcPr>
            <w:tcW w:w="3158" w:type="dxa"/>
          </w:tcPr>
          <w:p>
            <w:pPr>
              <w:pStyle w:val="50"/>
              <w:rPr>
                <w:rFonts w:hint="eastAsia" w:eastAsia="宋体"/>
                <w:sz w:val="21"/>
                <w:szCs w:val="21"/>
                <w:lang w:val="en-US" w:eastAsia="zh-CN"/>
              </w:rPr>
            </w:pPr>
            <w:r>
              <w:rPr>
                <w:rFonts w:hint="eastAsia"/>
                <w:sz w:val="21"/>
                <w:szCs w:val="21"/>
                <w:lang w:val="en-US" w:eastAsia="zh-CN"/>
              </w:rPr>
              <w:t>3.3333</w:t>
            </w:r>
            <w:r>
              <w:rPr>
                <w:sz w:val="21"/>
                <w:szCs w:val="21"/>
              </w:rPr>
              <w:t>E+0</w:t>
            </w:r>
            <w:r>
              <w:rPr>
                <w:rFonts w:hint="eastAsia"/>
                <w:sz w:val="21"/>
                <w:szCs w:val="21"/>
                <w:lang w:val="en-US" w:eastAsia="zh-CN"/>
              </w:rPr>
              <w:t>0</w:t>
            </w:r>
          </w:p>
        </w:tc>
        <w:tc>
          <w:tcPr>
            <w:tcW w:w="3228" w:type="dxa"/>
          </w:tcPr>
          <w:p>
            <w:pPr>
              <w:pStyle w:val="50"/>
              <w:rPr>
                <w:rFonts w:hint="eastAsia" w:eastAsia="宋体"/>
                <w:sz w:val="21"/>
                <w:szCs w:val="21"/>
                <w:lang w:eastAsia="zh-CN"/>
              </w:rPr>
            </w:pPr>
            <w:r>
              <w:rPr>
                <w:sz w:val="21"/>
                <w:szCs w:val="21"/>
              </w:rPr>
              <w:t>2.</w:t>
            </w:r>
            <w:r>
              <w:rPr>
                <w:rFonts w:hint="eastAsia"/>
                <w:sz w:val="21"/>
                <w:szCs w:val="21"/>
                <w:lang w:val="en-US" w:eastAsia="zh-CN"/>
              </w:rPr>
              <w:t>5961</w:t>
            </w:r>
            <w:r>
              <w:rPr>
                <w:sz w:val="21"/>
                <w:szCs w:val="21"/>
              </w:rPr>
              <w:t>E+0</w:t>
            </w:r>
            <w:r>
              <w:rPr>
                <w:rFonts w:hint="eastAsia"/>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sz w:val="21"/>
                <w:szCs w:val="21"/>
              </w:rPr>
            </w:pPr>
            <w:r>
              <w:rPr>
                <w:rFonts w:hint="eastAsia"/>
                <w:sz w:val="21"/>
                <w:szCs w:val="21"/>
                <w:lang w:val="en-US" w:eastAsia="zh-CN"/>
              </w:rPr>
              <w:t>5</w:t>
            </w:r>
            <w:r>
              <w:rPr>
                <w:rFonts w:hint="eastAsia"/>
                <w:sz w:val="21"/>
                <w:szCs w:val="21"/>
              </w:rPr>
              <w:t>00</w:t>
            </w:r>
          </w:p>
        </w:tc>
        <w:tc>
          <w:tcPr>
            <w:tcW w:w="3158" w:type="dxa"/>
          </w:tcPr>
          <w:p>
            <w:pPr>
              <w:pStyle w:val="50"/>
              <w:rPr>
                <w:rFonts w:hint="eastAsia" w:eastAsia="宋体"/>
                <w:sz w:val="21"/>
                <w:szCs w:val="21"/>
                <w:lang w:eastAsia="zh-CN"/>
              </w:rPr>
            </w:pPr>
            <w:r>
              <w:rPr>
                <w:rFonts w:hint="eastAsia"/>
                <w:sz w:val="21"/>
                <w:szCs w:val="21"/>
                <w:lang w:val="en-US" w:eastAsia="zh-CN"/>
              </w:rPr>
              <w:t>4.1667</w:t>
            </w:r>
            <w:r>
              <w:rPr>
                <w:sz w:val="21"/>
                <w:szCs w:val="21"/>
              </w:rPr>
              <w:t>E+0</w:t>
            </w:r>
            <w:r>
              <w:rPr>
                <w:rFonts w:hint="eastAsia"/>
                <w:sz w:val="21"/>
                <w:szCs w:val="21"/>
                <w:lang w:val="en-US" w:eastAsia="zh-CN"/>
              </w:rPr>
              <w:t>0</w:t>
            </w:r>
          </w:p>
        </w:tc>
        <w:tc>
          <w:tcPr>
            <w:tcW w:w="3228" w:type="dxa"/>
          </w:tcPr>
          <w:p>
            <w:pPr>
              <w:pStyle w:val="50"/>
              <w:rPr>
                <w:rFonts w:hint="eastAsia" w:eastAsia="宋体"/>
                <w:sz w:val="21"/>
                <w:szCs w:val="21"/>
                <w:lang w:eastAsia="zh-CN"/>
              </w:rPr>
            </w:pPr>
            <w:r>
              <w:rPr>
                <w:sz w:val="21"/>
                <w:szCs w:val="21"/>
              </w:rPr>
              <w:t>1.</w:t>
            </w:r>
            <w:r>
              <w:rPr>
                <w:rFonts w:hint="eastAsia"/>
                <w:sz w:val="21"/>
                <w:szCs w:val="21"/>
                <w:lang w:val="en-US" w:eastAsia="zh-CN"/>
              </w:rPr>
              <w:t>8045</w:t>
            </w:r>
            <w:r>
              <w:rPr>
                <w:sz w:val="21"/>
                <w:szCs w:val="21"/>
              </w:rPr>
              <w:t>E+0</w:t>
            </w:r>
            <w:r>
              <w:rPr>
                <w:rFonts w:hint="eastAsia"/>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4" w:type="dxa"/>
          </w:tcPr>
          <w:p>
            <w:pPr>
              <w:pStyle w:val="50"/>
              <w:rPr>
                <w:sz w:val="21"/>
                <w:szCs w:val="21"/>
              </w:rPr>
            </w:pPr>
            <w:r>
              <w:rPr>
                <w:rFonts w:hint="eastAsia"/>
                <w:sz w:val="21"/>
                <w:szCs w:val="21"/>
              </w:rPr>
              <w:t>5</w:t>
            </w:r>
            <w:r>
              <w:rPr>
                <w:rFonts w:hint="eastAsia"/>
                <w:sz w:val="21"/>
                <w:szCs w:val="21"/>
                <w:lang w:val="en-US" w:eastAsia="zh-CN"/>
              </w:rPr>
              <w:t>5</w:t>
            </w:r>
            <w:r>
              <w:rPr>
                <w:rFonts w:hint="eastAsia"/>
                <w:sz w:val="21"/>
                <w:szCs w:val="21"/>
              </w:rPr>
              <w:t>0</w:t>
            </w:r>
          </w:p>
        </w:tc>
        <w:tc>
          <w:tcPr>
            <w:tcW w:w="3158" w:type="dxa"/>
          </w:tcPr>
          <w:p>
            <w:pPr>
              <w:pStyle w:val="50"/>
              <w:rPr>
                <w:rFonts w:hint="eastAsia" w:eastAsia="宋体"/>
                <w:sz w:val="21"/>
                <w:szCs w:val="21"/>
                <w:lang w:eastAsia="zh-CN"/>
              </w:rPr>
            </w:pPr>
            <w:r>
              <w:rPr>
                <w:rFonts w:hint="eastAsia"/>
                <w:sz w:val="21"/>
                <w:szCs w:val="21"/>
                <w:lang w:val="en-US" w:eastAsia="zh-CN"/>
              </w:rPr>
              <w:t>4.583</w:t>
            </w:r>
            <w:r>
              <w:rPr>
                <w:sz w:val="21"/>
                <w:szCs w:val="21"/>
              </w:rPr>
              <w:t>3E+0</w:t>
            </w:r>
            <w:r>
              <w:rPr>
                <w:rFonts w:hint="eastAsia"/>
                <w:sz w:val="21"/>
                <w:szCs w:val="21"/>
                <w:lang w:val="en-US" w:eastAsia="zh-CN"/>
              </w:rPr>
              <w:t>0</w:t>
            </w:r>
          </w:p>
        </w:tc>
        <w:tc>
          <w:tcPr>
            <w:tcW w:w="3228" w:type="dxa"/>
          </w:tcPr>
          <w:p>
            <w:pPr>
              <w:pStyle w:val="50"/>
              <w:rPr>
                <w:rFonts w:hint="eastAsia" w:eastAsia="宋体"/>
                <w:sz w:val="21"/>
                <w:szCs w:val="21"/>
                <w:lang w:eastAsia="zh-CN"/>
              </w:rPr>
            </w:pPr>
            <w:r>
              <w:rPr>
                <w:sz w:val="21"/>
                <w:szCs w:val="21"/>
              </w:rPr>
              <w:t>1.</w:t>
            </w:r>
            <w:r>
              <w:rPr>
                <w:rFonts w:hint="eastAsia"/>
                <w:sz w:val="21"/>
                <w:szCs w:val="21"/>
                <w:lang w:val="en-US" w:eastAsia="zh-CN"/>
              </w:rPr>
              <w:t>5430</w:t>
            </w:r>
            <w:r>
              <w:rPr>
                <w:sz w:val="21"/>
                <w:szCs w:val="21"/>
              </w:rPr>
              <w:t>E+0</w:t>
            </w:r>
            <w:r>
              <w:rPr>
                <w:rFonts w:hint="eastAsia"/>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3"/>
          </w:tcPr>
          <w:p>
            <w:pPr>
              <w:pStyle w:val="50"/>
              <w:ind w:left="0" w:leftChars="0" w:firstLine="0" w:firstLineChars="0"/>
              <w:jc w:val="both"/>
              <w:rPr>
                <w:rFonts w:hint="eastAsia" w:eastAsia="宋体"/>
                <w:sz w:val="21"/>
                <w:szCs w:val="21"/>
                <w:lang w:eastAsia="zh-CN"/>
              </w:rPr>
            </w:pPr>
            <w:r>
              <w:rPr>
                <w:rFonts w:hint="eastAsia" w:eastAsia="宋体"/>
                <w:sz w:val="21"/>
                <w:szCs w:val="21"/>
                <w:lang w:eastAsia="zh-CN"/>
              </w:rPr>
              <w:drawing>
                <wp:inline distT="0" distB="0" distL="114300" distR="114300">
                  <wp:extent cx="5614035" cy="3227705"/>
                  <wp:effectExtent l="0" t="0" r="5715" b="10795"/>
                  <wp:docPr id="2" name="图片 2" descr="f2e060366031c2a1481b0dfa73ca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e060366031c2a1481b0dfa73ca6482"/>
                          <pic:cNvPicPr>
                            <a:picLocks noChangeAspect="1"/>
                          </pic:cNvPicPr>
                        </pic:nvPicPr>
                        <pic:blipFill>
                          <a:blip r:embed="rId21"/>
                          <a:stretch>
                            <a:fillRect/>
                          </a:stretch>
                        </pic:blipFill>
                        <pic:spPr>
                          <a:xfrm>
                            <a:off x="0" y="0"/>
                            <a:ext cx="5614035" cy="3227705"/>
                          </a:xfrm>
                          <a:prstGeom prst="rect">
                            <a:avLst/>
                          </a:prstGeom>
                        </pic:spPr>
                      </pic:pic>
                    </a:graphicData>
                  </a:graphic>
                </wp:inline>
              </w:drawing>
            </w:r>
          </w:p>
        </w:tc>
      </w:tr>
    </w:tbl>
    <w:p>
      <w:pPr>
        <w:keepNext/>
        <w:autoSpaceDE w:val="0"/>
        <w:autoSpaceDN w:val="0"/>
        <w:adjustRightInd w:val="0"/>
        <w:jc w:val="center"/>
        <w:rPr>
          <w:rFonts w:hint="eastAsia"/>
          <w:snapToGrid w:val="0"/>
          <w:kern w:val="0"/>
          <w:szCs w:val="21"/>
        </w:rPr>
      </w:pPr>
      <w:r>
        <w:rPr>
          <w:rFonts w:hint="eastAsia"/>
          <w:b/>
          <w:bCs/>
          <w:kern w:val="0"/>
          <w:szCs w:val="21"/>
        </w:rPr>
        <w:t>图3 轴线最大浓度-距离曲线图</w:t>
      </w:r>
    </w:p>
    <w:p>
      <w:pPr>
        <w:pStyle w:val="6"/>
        <w:spacing w:line="360" w:lineRule="auto"/>
        <w:ind w:left="0" w:leftChars="0" w:firstLine="480" w:firstLineChars="200"/>
        <w:rPr>
          <w:rFonts w:hint="eastAsia"/>
          <w:snapToGrid w:val="0"/>
          <w:kern w:val="0"/>
          <w:szCs w:val="21"/>
        </w:rPr>
      </w:pPr>
      <w:r>
        <w:rPr>
          <w:rFonts w:hint="eastAsia"/>
          <w:snapToGrid w:val="0"/>
          <w:kern w:val="0"/>
          <w:szCs w:val="21"/>
        </w:rPr>
        <w:t>根据预测，火灾爆炸产生一氧化碳，最不利气象条件下，一氧化碳预测浓度</w:t>
      </w:r>
      <w:r>
        <w:rPr>
          <w:rFonts w:hint="eastAsia"/>
          <w:snapToGrid w:val="0"/>
          <w:kern w:val="0"/>
          <w:szCs w:val="21"/>
          <w:lang w:eastAsia="zh-CN"/>
        </w:rPr>
        <w:t>均未</w:t>
      </w:r>
      <w:r>
        <w:rPr>
          <w:rFonts w:hint="eastAsia"/>
          <w:snapToGrid w:val="0"/>
          <w:kern w:val="0"/>
          <w:szCs w:val="21"/>
        </w:rPr>
        <w:t>达到毒性终点浓度-1</w:t>
      </w:r>
      <w:r>
        <w:rPr>
          <w:rFonts w:hint="eastAsia"/>
          <w:snapToGrid w:val="0"/>
          <w:kern w:val="0"/>
          <w:szCs w:val="21"/>
          <w:lang w:eastAsia="zh-CN"/>
        </w:rPr>
        <w:t>（</w:t>
      </w:r>
      <w:r>
        <w:rPr>
          <w:rFonts w:hint="eastAsia"/>
          <w:snapToGrid w:val="0"/>
          <w:kern w:val="0"/>
          <w:szCs w:val="21"/>
          <w:lang w:val="en-US" w:eastAsia="zh-CN"/>
        </w:rPr>
        <w:t>380mg/m</w:t>
      </w:r>
      <w:r>
        <w:rPr>
          <w:rFonts w:hint="eastAsia"/>
          <w:snapToGrid w:val="0"/>
          <w:kern w:val="0"/>
          <w:szCs w:val="21"/>
          <w:vertAlign w:val="superscript"/>
          <w:lang w:val="en-US" w:eastAsia="zh-CN"/>
        </w:rPr>
        <w:t>3</w:t>
      </w:r>
      <w:r>
        <w:rPr>
          <w:rFonts w:hint="eastAsia"/>
          <w:snapToGrid w:val="0"/>
          <w:kern w:val="0"/>
          <w:szCs w:val="21"/>
          <w:lang w:eastAsia="zh-CN"/>
        </w:rPr>
        <w:t>）</w:t>
      </w:r>
      <w:r>
        <w:rPr>
          <w:rFonts w:hint="eastAsia"/>
          <w:snapToGrid w:val="0"/>
          <w:kern w:val="0"/>
          <w:szCs w:val="21"/>
        </w:rPr>
        <w:t>，预测浓度达到毒性终点浓度-2</w:t>
      </w:r>
      <w:r>
        <w:rPr>
          <w:rFonts w:hint="eastAsia"/>
          <w:snapToGrid w:val="0"/>
          <w:kern w:val="0"/>
          <w:szCs w:val="21"/>
          <w:lang w:val="en-US" w:eastAsia="zh-CN"/>
        </w:rPr>
        <w:t>（95mg/m</w:t>
      </w:r>
      <w:r>
        <w:rPr>
          <w:rFonts w:hint="eastAsia"/>
          <w:snapToGrid w:val="0"/>
          <w:kern w:val="0"/>
          <w:szCs w:val="21"/>
          <w:vertAlign w:val="superscript"/>
          <w:lang w:val="en-US" w:eastAsia="zh-CN"/>
        </w:rPr>
        <w:t>3</w:t>
      </w:r>
      <w:r>
        <w:rPr>
          <w:rFonts w:hint="eastAsia"/>
          <w:snapToGrid w:val="0"/>
          <w:kern w:val="0"/>
          <w:szCs w:val="21"/>
          <w:lang w:val="en-US" w:eastAsia="zh-CN"/>
        </w:rPr>
        <w:t>）</w:t>
      </w:r>
      <w:r>
        <w:rPr>
          <w:rFonts w:hint="eastAsia"/>
          <w:snapToGrid w:val="0"/>
          <w:kern w:val="0"/>
          <w:szCs w:val="21"/>
        </w:rPr>
        <w:t>的最远距离是</w:t>
      </w:r>
      <w:r>
        <w:rPr>
          <w:rFonts w:hint="eastAsia"/>
          <w:snapToGrid w:val="0"/>
          <w:kern w:val="0"/>
          <w:szCs w:val="21"/>
          <w:lang w:val="en-US" w:eastAsia="zh-CN"/>
        </w:rPr>
        <w:t>17</w:t>
      </w:r>
      <w:r>
        <w:rPr>
          <w:rFonts w:hint="eastAsia"/>
          <w:snapToGrid w:val="0"/>
          <w:kern w:val="0"/>
          <w:szCs w:val="21"/>
        </w:rPr>
        <w:t>0m。大气毒性终点浓度-2的影响范围内无居民点。</w:t>
      </w:r>
    </w:p>
    <w:p>
      <w:pPr>
        <w:pStyle w:val="6"/>
        <w:spacing w:line="360" w:lineRule="auto"/>
        <w:ind w:left="0" w:leftChars="0" w:firstLine="480" w:firstLineChars="200"/>
        <w:rPr>
          <w:rStyle w:val="47"/>
          <w:rFonts w:hint="eastAsia"/>
          <w:sz w:val="24"/>
          <w:szCs w:val="24"/>
          <w:lang w:val="en-US" w:eastAsia="zh-CN"/>
        </w:rPr>
      </w:pPr>
      <w:r>
        <w:rPr>
          <w:rFonts w:hint="eastAsia"/>
          <w:snapToGrid w:val="0"/>
          <w:kern w:val="0"/>
          <w:sz w:val="24"/>
          <w:szCs w:val="24"/>
          <w:lang w:eastAsia="zh-CN"/>
        </w:rPr>
        <w:t>本项目位于常德经济技术开发区的化工产业园区内，北部为沅江，周边为空地和园区其他工业企业，距离最近的居民位于西侧和南侧</w:t>
      </w:r>
      <w:r>
        <w:rPr>
          <w:rFonts w:hint="eastAsia"/>
          <w:snapToGrid w:val="0"/>
          <w:kern w:val="0"/>
          <w:sz w:val="24"/>
          <w:szCs w:val="24"/>
          <w:lang w:val="en-US" w:eastAsia="zh-CN"/>
        </w:rPr>
        <w:t>500米之外，</w:t>
      </w:r>
      <w:r>
        <w:rPr>
          <w:rFonts w:hint="eastAsia"/>
          <w:snapToGrid w:val="0"/>
          <w:kern w:val="0"/>
          <w:szCs w:val="21"/>
        </w:rPr>
        <w:t>大气毒性终点浓度-2的影响范围内无居民点</w:t>
      </w:r>
      <w:r>
        <w:rPr>
          <w:rFonts w:hint="eastAsia"/>
          <w:snapToGrid w:val="0"/>
          <w:kern w:val="0"/>
          <w:sz w:val="24"/>
          <w:szCs w:val="24"/>
          <w:lang w:val="en-US" w:eastAsia="zh-CN"/>
        </w:rPr>
        <w:t>。因本项目</w:t>
      </w:r>
      <w:r>
        <w:rPr>
          <w:rStyle w:val="47"/>
          <w:rFonts w:hint="eastAsia"/>
          <w:sz w:val="24"/>
          <w:szCs w:val="24"/>
        </w:rPr>
        <w:t>火灾、爆炸产生一氧化碳</w:t>
      </w:r>
      <w:r>
        <w:rPr>
          <w:rStyle w:val="47"/>
          <w:rFonts w:hint="eastAsia"/>
          <w:sz w:val="24"/>
          <w:szCs w:val="24"/>
          <w:lang w:eastAsia="zh-CN"/>
        </w:rPr>
        <w:t>等污染物对周边居民影响在可接受范围之内。</w:t>
      </w:r>
    </w:p>
    <w:p>
      <w:pPr>
        <w:pStyle w:val="46"/>
        <w:tabs>
          <w:tab w:val="left" w:pos="6638"/>
        </w:tabs>
        <w:ind w:firstLine="0" w:firstLineChars="0"/>
        <w:rPr>
          <w:rStyle w:val="47"/>
          <w:rFonts w:hint="eastAsia"/>
          <w:b/>
          <w:sz w:val="24"/>
          <w:szCs w:val="24"/>
        </w:rPr>
      </w:pPr>
      <w:r>
        <w:rPr>
          <w:rStyle w:val="47"/>
          <w:rFonts w:hint="eastAsia"/>
          <w:b/>
          <w:sz w:val="24"/>
          <w:szCs w:val="24"/>
        </w:rPr>
        <w:t>6.2对地表水环境的影响</w:t>
      </w:r>
    </w:p>
    <w:p>
      <w:pPr>
        <w:pStyle w:val="6"/>
        <w:spacing w:line="360" w:lineRule="auto"/>
        <w:rPr>
          <w:rFonts w:hint="eastAsia"/>
          <w:snapToGrid w:val="0"/>
          <w:kern w:val="0"/>
          <w:szCs w:val="21"/>
        </w:rPr>
      </w:pPr>
      <w:r>
        <w:rPr>
          <w:rFonts w:hint="eastAsia"/>
          <w:snapToGrid w:val="0"/>
          <w:kern w:val="0"/>
          <w:szCs w:val="21"/>
        </w:rPr>
        <w:t xml:space="preserve">本项目营运过程中的水污染事故主要是泄漏物料排入附近体，造成水体的污染。在泄漏以及火灾爆炸事故的消防应急处置过程中，如不当操作有引发二次水污染可能（受污染的消防水直接进入雨水管网排放）。 </w:t>
      </w:r>
    </w:p>
    <w:p>
      <w:pPr>
        <w:pStyle w:val="6"/>
        <w:spacing w:line="360" w:lineRule="auto"/>
        <w:rPr>
          <w:rFonts w:hint="eastAsia"/>
          <w:snapToGrid w:val="0"/>
          <w:kern w:val="0"/>
          <w:szCs w:val="21"/>
          <w:lang w:val="en-US" w:eastAsia="zh-CN"/>
        </w:rPr>
      </w:pPr>
      <w:r>
        <w:rPr>
          <w:rFonts w:hint="eastAsia"/>
          <w:snapToGrid w:val="0"/>
          <w:kern w:val="0"/>
          <w:szCs w:val="21"/>
          <w:lang w:eastAsia="zh-CN"/>
        </w:rPr>
        <w:t>本项目仓库地面采用环氧树脂覆盖，进行防腐防渗处理，并设置防止液体流散的设施，</w:t>
      </w:r>
      <w:r>
        <w:rPr>
          <w:rFonts w:hint="eastAsia"/>
          <w:snapToGrid w:val="0"/>
          <w:kern w:val="0"/>
          <w:szCs w:val="21"/>
        </w:rPr>
        <w:t>仓库内设有排液槽，地面设置成斜坡，使泄漏</w:t>
      </w:r>
      <w:r>
        <w:rPr>
          <w:rFonts w:hint="eastAsia"/>
          <w:snapToGrid w:val="0"/>
          <w:kern w:val="0"/>
          <w:szCs w:val="21"/>
          <w:lang w:eastAsia="zh-CN"/>
        </w:rPr>
        <w:t>的</w:t>
      </w:r>
      <w:r>
        <w:rPr>
          <w:rFonts w:hint="eastAsia"/>
          <w:snapToGrid w:val="0"/>
          <w:kern w:val="0"/>
          <w:szCs w:val="21"/>
        </w:rPr>
        <w:t>液体</w:t>
      </w:r>
      <w:r>
        <w:rPr>
          <w:rFonts w:hint="eastAsia"/>
          <w:snapToGrid w:val="0"/>
          <w:kern w:val="0"/>
          <w:szCs w:val="21"/>
          <w:lang w:eastAsia="zh-CN"/>
        </w:rPr>
        <w:t>能被</w:t>
      </w:r>
      <w:r>
        <w:rPr>
          <w:rFonts w:hint="eastAsia"/>
          <w:snapToGrid w:val="0"/>
          <w:kern w:val="0"/>
          <w:szCs w:val="21"/>
        </w:rPr>
        <w:t>收集到排液槽内。排液槽设置一定的坡度，其末端设有一集液池，方便排液槽内的液体聚集到集液池内。集液池不小于</w:t>
      </w:r>
      <w:r>
        <w:rPr>
          <w:rFonts w:hint="eastAsia"/>
          <w:snapToGrid w:val="0"/>
          <w:kern w:val="0"/>
          <w:szCs w:val="21"/>
          <w:lang w:val="en-US" w:eastAsia="zh-CN"/>
        </w:rPr>
        <w:t>4</w:t>
      </w:r>
      <w:r>
        <w:rPr>
          <w:rFonts w:hint="eastAsia"/>
          <w:snapToGrid w:val="0"/>
          <w:kern w:val="0"/>
          <w:szCs w:val="21"/>
        </w:rPr>
        <w:t>m</w:t>
      </w:r>
      <w:r>
        <w:rPr>
          <w:rFonts w:hint="eastAsia"/>
          <w:snapToGrid w:val="0"/>
          <w:kern w:val="0"/>
          <w:szCs w:val="21"/>
          <w:vertAlign w:val="superscript"/>
        </w:rPr>
        <w:t>3</w:t>
      </w:r>
      <w:r>
        <w:rPr>
          <w:rFonts w:hint="eastAsia"/>
          <w:snapToGrid w:val="0"/>
          <w:kern w:val="0"/>
          <w:szCs w:val="21"/>
        </w:rPr>
        <w:t>，其结构防渗漏</w:t>
      </w:r>
      <w:r>
        <w:rPr>
          <w:rFonts w:hint="eastAsia"/>
          <w:snapToGrid w:val="0"/>
          <w:kern w:val="0"/>
          <w:szCs w:val="21"/>
          <w:lang w:eastAsia="zh-CN"/>
        </w:rPr>
        <w:t>、防腐蚀</w:t>
      </w:r>
      <w:r>
        <w:rPr>
          <w:rFonts w:hint="eastAsia"/>
          <w:snapToGrid w:val="0"/>
          <w:kern w:val="0"/>
          <w:szCs w:val="21"/>
        </w:rPr>
        <w:t>。集液池设置在墙角处，并于墙上设置一出口，便于</w:t>
      </w:r>
      <w:r>
        <w:rPr>
          <w:rFonts w:hint="eastAsia"/>
          <w:snapToGrid w:val="0"/>
          <w:kern w:val="0"/>
          <w:szCs w:val="21"/>
          <w:lang w:eastAsia="zh-CN"/>
        </w:rPr>
        <w:t>及时</w:t>
      </w:r>
      <w:r>
        <w:rPr>
          <w:rFonts w:hint="eastAsia"/>
          <w:snapToGrid w:val="0"/>
          <w:kern w:val="0"/>
          <w:szCs w:val="21"/>
        </w:rPr>
        <w:t>抽取泄漏液</w:t>
      </w:r>
      <w:r>
        <w:rPr>
          <w:rFonts w:hint="eastAsia"/>
          <w:snapToGrid w:val="0"/>
          <w:kern w:val="0"/>
          <w:szCs w:val="21"/>
          <w:lang w:eastAsia="zh-CN"/>
        </w:rPr>
        <w:t>，可</w:t>
      </w:r>
      <w:r>
        <w:rPr>
          <w:rFonts w:hint="eastAsia"/>
          <w:snapToGrid w:val="0"/>
          <w:kern w:val="0"/>
          <w:szCs w:val="21"/>
          <w:lang w:val="en-US" w:eastAsia="zh-CN"/>
        </w:rPr>
        <w:t>用移动泵送至厂区污水处理站进行处理，再</w:t>
      </w:r>
      <w:r>
        <w:rPr>
          <w:rFonts w:hint="eastAsia"/>
          <w:snapToGrid w:val="0"/>
          <w:kern w:val="0"/>
          <w:szCs w:val="21"/>
          <w:lang w:eastAsia="zh-CN"/>
        </w:rPr>
        <w:t>经德山污水处理厂集中处理后排入东风河，</w:t>
      </w:r>
      <w:r>
        <w:rPr>
          <w:rFonts w:hint="eastAsia"/>
          <w:snapToGrid w:val="0"/>
          <w:kern w:val="0"/>
          <w:szCs w:val="21"/>
          <w:lang w:val="en-US" w:eastAsia="zh-CN"/>
        </w:rPr>
        <w:t>最终排入沅江。泄漏液体能得到有效的收集，不会直接排入周边的地表水体。</w:t>
      </w:r>
    </w:p>
    <w:p>
      <w:pPr>
        <w:pStyle w:val="6"/>
        <w:spacing w:line="360" w:lineRule="auto"/>
        <w:rPr>
          <w:rFonts w:hint="eastAsia" w:eastAsia="宋体"/>
          <w:snapToGrid w:val="0"/>
          <w:kern w:val="0"/>
          <w:szCs w:val="21"/>
          <w:lang w:val="en-US" w:eastAsia="zh-CN"/>
        </w:rPr>
      </w:pPr>
      <w:r>
        <w:rPr>
          <w:rFonts w:hint="eastAsia"/>
          <w:snapToGrid w:val="0"/>
          <w:kern w:val="0"/>
          <w:szCs w:val="21"/>
          <w:lang w:eastAsia="zh-CN"/>
        </w:rPr>
        <w:t>本项目仓库四周设置较完善的雨水集排系统，本企业厂区也设置了较完善的雨水集排系统，并配套设置了两个初期雨水收集池，容积分别为500m</w:t>
      </w:r>
      <w:r>
        <w:rPr>
          <w:rFonts w:hint="eastAsia"/>
          <w:snapToGrid w:val="0"/>
          <w:kern w:val="0"/>
          <w:szCs w:val="21"/>
          <w:vertAlign w:val="superscript"/>
          <w:lang w:eastAsia="zh-CN"/>
        </w:rPr>
        <w:t>3</w:t>
      </w:r>
      <w:r>
        <w:rPr>
          <w:rFonts w:hint="eastAsia"/>
          <w:snapToGrid w:val="0"/>
          <w:kern w:val="0"/>
          <w:szCs w:val="21"/>
          <w:lang w:eastAsia="zh-CN"/>
        </w:rPr>
        <w:t>与 1500m</w:t>
      </w:r>
      <w:r>
        <w:rPr>
          <w:rFonts w:hint="eastAsia"/>
          <w:snapToGrid w:val="0"/>
          <w:kern w:val="0"/>
          <w:szCs w:val="21"/>
          <w:vertAlign w:val="superscript"/>
          <w:lang w:eastAsia="zh-CN"/>
        </w:rPr>
        <w:t>3</w:t>
      </w:r>
      <w:r>
        <w:rPr>
          <w:rFonts w:hint="eastAsia"/>
          <w:snapToGrid w:val="0"/>
          <w:kern w:val="0"/>
          <w:szCs w:val="21"/>
          <w:lang w:eastAsia="zh-CN"/>
        </w:rPr>
        <w:t>，分别位于厂区西侧与东侧，可有效地收集本项目因</w:t>
      </w:r>
      <w:r>
        <w:rPr>
          <w:rFonts w:hint="eastAsia"/>
          <w:snapToGrid w:val="0"/>
          <w:kern w:val="0"/>
          <w:szCs w:val="21"/>
        </w:rPr>
        <w:t>火灾爆炸事故</w:t>
      </w:r>
      <w:r>
        <w:rPr>
          <w:rFonts w:hint="eastAsia"/>
          <w:snapToGrid w:val="0"/>
          <w:kern w:val="0"/>
          <w:szCs w:val="21"/>
          <w:lang w:eastAsia="zh-CN"/>
        </w:rPr>
        <w:t>产生</w:t>
      </w:r>
      <w:r>
        <w:rPr>
          <w:rFonts w:hint="eastAsia"/>
          <w:snapToGrid w:val="0"/>
          <w:kern w:val="0"/>
          <w:szCs w:val="21"/>
        </w:rPr>
        <w:t>的消防</w:t>
      </w:r>
      <w:r>
        <w:rPr>
          <w:rFonts w:hint="eastAsia"/>
          <w:snapToGrid w:val="0"/>
          <w:kern w:val="0"/>
          <w:szCs w:val="21"/>
          <w:lang w:eastAsia="zh-CN"/>
        </w:rPr>
        <w:t>废水。此外，</w:t>
      </w:r>
    </w:p>
    <w:p>
      <w:pPr>
        <w:spacing w:line="360" w:lineRule="auto"/>
        <w:ind w:left="0" w:leftChars="0" w:firstLine="0" w:firstLineChars="0"/>
        <w:rPr>
          <w:rFonts w:hint="eastAsia" w:ascii="Times New Roman" w:hAnsi="Times New Roman" w:eastAsia="新宋体" w:cs="Times New Roman"/>
          <w:color w:val="auto"/>
          <w:sz w:val="24"/>
          <w:highlight w:val="none"/>
        </w:rPr>
      </w:pPr>
      <w:r>
        <w:rPr>
          <w:rFonts w:hint="eastAsia" w:ascii="Times New Roman" w:hAnsi="Times New Roman" w:eastAsia="新宋体" w:cs="Times New Roman"/>
          <w:color w:val="auto"/>
          <w:sz w:val="24"/>
          <w:highlight w:val="none"/>
        </w:rPr>
        <w:t>厂区东侧设置有两个隔断隔开的地埋式事故应急池，容积分别为1500m</w:t>
      </w:r>
      <w:r>
        <w:rPr>
          <w:rFonts w:hint="eastAsia" w:ascii="Times New Roman" w:hAnsi="Times New Roman" w:eastAsia="新宋体" w:cs="Times New Roman"/>
          <w:color w:val="auto"/>
          <w:sz w:val="24"/>
          <w:highlight w:val="none"/>
          <w:vertAlign w:val="superscript"/>
        </w:rPr>
        <w:t>3</w:t>
      </w:r>
      <w:r>
        <w:rPr>
          <w:rFonts w:hint="eastAsia" w:ascii="Times New Roman" w:hAnsi="Times New Roman" w:eastAsia="新宋体" w:cs="Times New Roman"/>
          <w:color w:val="auto"/>
          <w:sz w:val="24"/>
          <w:highlight w:val="none"/>
        </w:rPr>
        <w:t>与2000m</w:t>
      </w:r>
      <w:r>
        <w:rPr>
          <w:rFonts w:hint="eastAsia" w:ascii="Times New Roman" w:hAnsi="Times New Roman" w:eastAsia="新宋体" w:cs="Times New Roman"/>
          <w:color w:val="auto"/>
          <w:sz w:val="24"/>
          <w:highlight w:val="none"/>
          <w:vertAlign w:val="superscript"/>
        </w:rPr>
        <w:t>3</w:t>
      </w:r>
      <w:r>
        <w:rPr>
          <w:rFonts w:hint="eastAsia" w:ascii="Times New Roman" w:hAnsi="Times New Roman" w:eastAsia="新宋体" w:cs="Times New Roman"/>
          <w:color w:val="auto"/>
          <w:sz w:val="24"/>
          <w:highlight w:val="none"/>
        </w:rPr>
        <w:t>，有足够的容量对事故废水进行收集。</w:t>
      </w:r>
      <w:r>
        <w:rPr>
          <w:rFonts w:hint="eastAsia" w:eastAsia="新宋体" w:cs="Times New Roman"/>
          <w:color w:val="auto"/>
          <w:sz w:val="24"/>
          <w:highlight w:val="none"/>
          <w:lang w:eastAsia="zh-CN"/>
        </w:rPr>
        <w:t>企业</w:t>
      </w:r>
      <w:r>
        <w:rPr>
          <w:rFonts w:hint="eastAsia" w:ascii="Times New Roman" w:hAnsi="Times New Roman" w:eastAsia="新宋体" w:cs="Times New Roman"/>
          <w:color w:val="auto"/>
          <w:sz w:val="24"/>
          <w:highlight w:val="none"/>
        </w:rPr>
        <w:t>废水外排口及雨水外排口设置闸门，发生事故状态下，停止生产，关闭闸门，启用事故应急池，避免事故污水及雨水和消防水排入外环境。</w:t>
      </w:r>
    </w:p>
    <w:p>
      <w:pPr>
        <w:spacing w:line="360" w:lineRule="auto"/>
        <w:ind w:left="0" w:leftChars="0" w:firstLine="480" w:firstLineChars="200"/>
        <w:rPr>
          <w:rFonts w:hint="eastAsia" w:ascii="Times New Roman" w:hAnsi="Times New Roman" w:eastAsia="新宋体" w:cs="Times New Roman"/>
          <w:color w:val="auto"/>
          <w:sz w:val="24"/>
          <w:highlight w:val="none"/>
          <w:lang w:eastAsia="zh-CN"/>
        </w:rPr>
      </w:pPr>
      <w:r>
        <w:rPr>
          <w:rFonts w:hint="eastAsia" w:eastAsia="新宋体" w:cs="Times New Roman"/>
          <w:color w:val="auto"/>
          <w:sz w:val="24"/>
          <w:highlight w:val="none"/>
          <w:lang w:eastAsia="zh-CN"/>
        </w:rPr>
        <w:t>综上所述，本项目环境风险事故是短时期的，事故状态下在采取必要的预警措施和应急措施的前提下，泄漏的风险物质难以直接进入周边的地表水体，对周边地表水环境的影响较小。</w:t>
      </w:r>
    </w:p>
    <w:p>
      <w:pPr>
        <w:pStyle w:val="46"/>
        <w:tabs>
          <w:tab w:val="left" w:pos="6638"/>
        </w:tabs>
        <w:ind w:firstLine="0" w:firstLineChars="0"/>
        <w:rPr>
          <w:rStyle w:val="47"/>
          <w:rFonts w:hint="eastAsia"/>
          <w:b/>
          <w:sz w:val="24"/>
          <w:szCs w:val="24"/>
        </w:rPr>
      </w:pPr>
      <w:r>
        <w:rPr>
          <w:rStyle w:val="47"/>
          <w:rFonts w:hint="eastAsia"/>
          <w:b/>
          <w:sz w:val="24"/>
          <w:szCs w:val="24"/>
        </w:rPr>
        <w:t>6.3对地下水环境的影响</w:t>
      </w:r>
    </w:p>
    <w:p>
      <w:pPr>
        <w:pStyle w:val="6"/>
        <w:spacing w:line="360" w:lineRule="auto"/>
        <w:rPr>
          <w:rFonts w:hint="eastAsia"/>
          <w:snapToGrid w:val="0"/>
          <w:kern w:val="0"/>
          <w:szCs w:val="21"/>
        </w:rPr>
      </w:pPr>
      <w:r>
        <w:rPr>
          <w:rFonts w:hint="eastAsia"/>
          <w:snapToGrid w:val="0"/>
          <w:kern w:val="0"/>
          <w:szCs w:val="21"/>
        </w:rPr>
        <w:t>项目建设区域项目建设区域水文地质条件简单，现场调查未见地下水露头。基于现有地下水流场条件，建设单位在做好分区防渗和应急预案前提下，污染物如泄漏，在采取分区防控、污染监控、应急响应的情况下，能被防渗措施有效避免进入地下，规避对地下水环境的危害。</w:t>
      </w:r>
    </w:p>
    <w:p>
      <w:pPr>
        <w:pStyle w:val="46"/>
        <w:tabs>
          <w:tab w:val="left" w:pos="6638"/>
        </w:tabs>
        <w:ind w:firstLine="0" w:firstLineChars="0"/>
        <w:rPr>
          <w:rStyle w:val="47"/>
          <w:rFonts w:hint="eastAsia"/>
          <w:b/>
          <w:sz w:val="24"/>
          <w:szCs w:val="24"/>
        </w:rPr>
      </w:pPr>
      <w:r>
        <w:rPr>
          <w:rStyle w:val="47"/>
          <w:rFonts w:hint="eastAsia"/>
          <w:b/>
          <w:sz w:val="24"/>
          <w:szCs w:val="24"/>
        </w:rPr>
        <w:t>7 事故风险防范措施</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本项目仓库内地面防腐防渗，并设有排液槽，地面设置成斜坡，使泄漏之液体收集到排液槽内。排液槽设置一定的坡度，其末端设有一集液池，方便排液槽内的液体聚集到集液池内。集液池不小于4m</w:t>
      </w:r>
      <w:r>
        <w:rPr>
          <w:rFonts w:hint="eastAsia"/>
          <w:snapToGrid w:val="0"/>
          <w:kern w:val="0"/>
          <w:szCs w:val="21"/>
          <w:u w:val="single"/>
          <w:vertAlign w:val="superscript"/>
          <w:lang w:val="en-US" w:eastAsia="zh-CN"/>
        </w:rPr>
        <w:t>3</w:t>
      </w:r>
      <w:r>
        <w:rPr>
          <w:rFonts w:hint="eastAsia"/>
          <w:snapToGrid w:val="0"/>
          <w:kern w:val="0"/>
          <w:szCs w:val="21"/>
          <w:u w:val="single"/>
          <w:lang w:val="en-US" w:eastAsia="zh-CN"/>
        </w:rPr>
        <w:t>，其结构防腐蚀、防渗漏。集液池设置在墙角处，并于墙上设置一出口，便于抽取泄漏液。集液池要尽量密封，防止收集的液体挥发到空气中，对环境造成危害，同时产生火灾隐患。</w:t>
      </w:r>
    </w:p>
    <w:p>
      <w:pPr>
        <w:pStyle w:val="6"/>
        <w:spacing w:line="360" w:lineRule="auto"/>
        <w:rPr>
          <w:rFonts w:hint="default"/>
          <w:snapToGrid w:val="0"/>
          <w:kern w:val="0"/>
          <w:szCs w:val="21"/>
          <w:u w:val="single"/>
          <w:lang w:val="en-US" w:eastAsia="zh-CN"/>
        </w:rPr>
      </w:pPr>
      <w:r>
        <w:rPr>
          <w:rFonts w:hint="eastAsia"/>
          <w:snapToGrid w:val="0"/>
          <w:kern w:val="0"/>
          <w:szCs w:val="21"/>
          <w:u w:val="single"/>
          <w:lang w:val="en-US" w:eastAsia="zh-CN"/>
        </w:rPr>
        <w:t>此外，本项目还采取以下风险防范措施：</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1）仓库储存的化学品应避免阳光直射，远离火源、热源、电源及产生火花的环境。</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2）贮存的危险化学品应有明显的标志，同一区域贮存两种或两种以上不同级别的危险品时，应按最高等级危险物品的性能标志。</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3）本项目各类危险化学品将严格按照《危险化学品储存通则》（GB15603-2022）的要求进行分区、分类、分库贮存，不得与禁忌物料混合贮存，并满足规范对贮存场所的要求，以及贮存安排及贮存量限制的要求。</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4）本项目仓库不允许储存遇湿易燃物品、爆炸品、剧毒物品、易燃易爆气体、放射性物品、油品，以及不能用水灭火的危险化学品。</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5）仓库内设置温度计和湿度计。</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6）通风和空气调节系统应符合现行相关规范的要求。为保证易燃、易爆、有毒物质在仓库中的浓度不超过危险浓度，必须采取有效的通风排气措施。一般宜采取自然通风，当自然通风不能满足要求时应采取机械通风。建筑通排风系统应设有导除静电的接地装置，通风管应采用非燃烧材料制作。通风管道不宜穿过防火墙等防火分隔物，如必须穿过时应用非燃烧材料分隔。化学品仓库的通风气体不能循环使用；排风/送风设备应有独立分开的风机室，送风系统应送入较纯净的空气。设备的一切排气管都应伸出屋外，高出附近屋顶；排气不应造成负压，也不应堵塞。</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7）化学品入库前必须检查登记，入库后应定期检查，并实行严格出入库发放管理制度。危险化学品入库后应采取适当的养护措施，在贮存期内，定期检查，发现其品质变化、包装破损、渗漏等，应及时处理。</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8）化学品存处地点必须张贴所存储的所有化学品的物质安全资料表，具体要求为：①MSDS必须为十六项，中文版；②产品名称及厂商名称，联系方法要齐全；③危险性、储存、防泄漏、灭火、个人防护等信息要详细准确；④相关成分及危险性、危害性要详细准确；⑤易燃化学品的著火点或燃点、闪点信息要准确，范围不能太大。危险化学品库内只能贮存同一类危险化学品。</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9）仓库及罐区需设置监控摄像头和火灾探测器等监控探测系统，监控探测系统同时应满足电器防爆的要求。探测器回路需连接到火灾报警控制器，监控探测系统的各个部分要连接到消防监控室。</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10）废弃物处理必须严格执行《中华人民共和国环境保护法》的有关规定，防止环境污染与生态破坏。</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11）建立健全企业安全生产责任制和安全检查管理制度，加强对仓储设施的巡检力度，确保本项目的运营安全。</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12）企业应加强对动火作业的管理，加强对仓储区域车辆和人员进出入的管理,仓储区严禁烟火，并于显眼处张贴安全标识。进入仓库的人员必须登记，并要求交出携带的火种（如打火机、火柴）。在日常运营过程中，企业应定期检验和维护库区的安全设施、自控系统和监控报警系统，应定期进行应急救援预案的演练，确保各项风险控制措施完善可靠，杜绝重特大事故的发生。</w:t>
      </w:r>
    </w:p>
    <w:p>
      <w:pPr>
        <w:pStyle w:val="6"/>
        <w:spacing w:line="360" w:lineRule="auto"/>
        <w:rPr>
          <w:rFonts w:hint="default"/>
          <w:snapToGrid w:val="0"/>
          <w:kern w:val="0"/>
          <w:szCs w:val="21"/>
          <w:u w:val="single"/>
          <w:lang w:val="en-US" w:eastAsia="zh-CN"/>
        </w:rPr>
      </w:pPr>
      <w:r>
        <w:rPr>
          <w:rFonts w:hint="eastAsia"/>
          <w:snapToGrid w:val="0"/>
          <w:kern w:val="0"/>
          <w:szCs w:val="21"/>
          <w:u w:val="single"/>
          <w:lang w:val="en-US" w:eastAsia="zh-CN"/>
        </w:rPr>
        <w:t>13）人身防护措施：仓库内应设有紧急疏散安全通道，确保通道畅通；并配备有存放安全，使用方便的空气呼吸器、防毒面具。</w:t>
      </w:r>
    </w:p>
    <w:p>
      <w:pPr>
        <w:pStyle w:val="6"/>
        <w:spacing w:line="360" w:lineRule="auto"/>
        <w:rPr>
          <w:rFonts w:hint="eastAsia"/>
          <w:snapToGrid w:val="0"/>
          <w:kern w:val="0"/>
          <w:szCs w:val="21"/>
          <w:u w:val="single"/>
          <w:lang w:val="en-US" w:eastAsia="zh-CN"/>
        </w:rPr>
      </w:pPr>
      <w:r>
        <w:rPr>
          <w:rFonts w:hint="eastAsia"/>
          <w:snapToGrid w:val="0"/>
          <w:kern w:val="0"/>
          <w:szCs w:val="21"/>
          <w:u w:val="single"/>
          <w:lang w:val="en-US" w:eastAsia="zh-CN"/>
        </w:rPr>
        <w:t>采取以上防范措施后，本项目储存的环境风险物质进入环境的风险不大，本项目环境风险可控。</w:t>
      </w:r>
    </w:p>
    <w:p>
      <w:pPr>
        <w:pStyle w:val="6"/>
        <w:spacing w:line="360" w:lineRule="auto"/>
        <w:rPr>
          <w:rFonts w:hint="eastAsia"/>
          <w:snapToGrid w:val="0"/>
          <w:kern w:val="0"/>
          <w:szCs w:val="21"/>
          <w:lang w:val="en-US" w:eastAsia="zh-CN"/>
        </w:rPr>
      </w:pPr>
      <w:r>
        <w:rPr>
          <w:rFonts w:hint="eastAsia"/>
          <w:snapToGrid w:val="0"/>
          <w:kern w:val="0"/>
          <w:szCs w:val="21"/>
          <w:lang w:val="en-US" w:eastAsia="zh-CN"/>
        </w:rPr>
        <w:t>14）应急预案</w:t>
      </w:r>
    </w:p>
    <w:p>
      <w:pPr>
        <w:pStyle w:val="6"/>
        <w:spacing w:line="360" w:lineRule="auto"/>
        <w:rPr>
          <w:rFonts w:hint="eastAsia"/>
          <w:snapToGrid w:val="0"/>
          <w:kern w:val="0"/>
          <w:szCs w:val="21"/>
          <w:lang w:val="en-US" w:eastAsia="zh-CN"/>
        </w:rPr>
      </w:pPr>
      <w:r>
        <w:rPr>
          <w:rFonts w:hint="eastAsia"/>
          <w:snapToGrid w:val="0"/>
          <w:kern w:val="0"/>
          <w:szCs w:val="21"/>
          <w:lang w:val="en-US" w:eastAsia="zh-CN"/>
        </w:rPr>
        <w:t>落实环境管理及风险监控的机构、人员，加强日常监控和管理，并制定相应的环境风险事故应急预案，强化消防安全措施及管理；企业现已编制了《湖南海利常德农药化工有限公司突发环境事件应急预案》，并备案。本项目建成后，应对企业现有的应急预案按照《湖南省生态环境厅关于印发&lt;湖南省突发环境事件应急预案管理办法（修订版）&gt;的通知》（湘环发〔2024〕49号）等文件要求进行修编，并报相关部门进行备案。</w:t>
      </w:r>
    </w:p>
    <w:p>
      <w:pPr>
        <w:pStyle w:val="46"/>
        <w:tabs>
          <w:tab w:val="left" w:pos="6638"/>
        </w:tabs>
        <w:ind w:firstLine="0" w:firstLineChars="0"/>
        <w:rPr>
          <w:rStyle w:val="47"/>
          <w:rFonts w:hint="eastAsia"/>
          <w:b/>
          <w:sz w:val="24"/>
          <w:szCs w:val="24"/>
        </w:rPr>
      </w:pPr>
      <w:r>
        <w:rPr>
          <w:rStyle w:val="47"/>
          <w:rFonts w:hint="eastAsia"/>
          <w:b/>
          <w:sz w:val="24"/>
          <w:szCs w:val="24"/>
        </w:rPr>
        <w:t>8 分析结论</w:t>
      </w:r>
    </w:p>
    <w:p>
      <w:pPr>
        <w:pStyle w:val="6"/>
        <w:spacing w:line="360" w:lineRule="auto"/>
        <w:rPr>
          <w:snapToGrid w:val="0"/>
          <w:kern w:val="0"/>
          <w:szCs w:val="21"/>
        </w:rPr>
      </w:pPr>
      <w:r>
        <w:rPr>
          <w:rFonts w:hint="eastAsia"/>
          <w:snapToGrid w:val="0"/>
          <w:kern w:val="0"/>
          <w:szCs w:val="21"/>
        </w:rPr>
        <w:t>本项目</w:t>
      </w:r>
      <w:r>
        <w:rPr>
          <w:rFonts w:hint="eastAsia"/>
          <w:snapToGrid w:val="0"/>
          <w:kern w:val="0"/>
          <w:szCs w:val="21"/>
          <w:lang w:eastAsia="zh-CN"/>
        </w:rPr>
        <w:t>新建设仓库</w:t>
      </w:r>
      <w:r>
        <w:rPr>
          <w:rFonts w:hint="eastAsia"/>
          <w:snapToGrid w:val="0"/>
          <w:kern w:val="0"/>
          <w:szCs w:val="21"/>
        </w:rPr>
        <w:t>贮存</w:t>
      </w:r>
      <w:r>
        <w:rPr>
          <w:rFonts w:hint="eastAsia"/>
          <w:snapToGrid w:val="0"/>
          <w:kern w:val="0"/>
          <w:szCs w:val="21"/>
          <w:lang w:eastAsia="zh-CN"/>
        </w:rPr>
        <w:t>丙类物料</w:t>
      </w:r>
      <w:r>
        <w:rPr>
          <w:rFonts w:hint="eastAsia"/>
          <w:snapToGrid w:val="0"/>
          <w:kern w:val="0"/>
          <w:szCs w:val="21"/>
        </w:rPr>
        <w:t>，地面做防渗、防腐处理；贮存的</w:t>
      </w:r>
      <w:r>
        <w:rPr>
          <w:rFonts w:hint="eastAsia"/>
          <w:snapToGrid w:val="0"/>
          <w:kern w:val="0"/>
          <w:szCs w:val="21"/>
          <w:lang w:eastAsia="zh-CN"/>
        </w:rPr>
        <w:t>风险物质</w:t>
      </w:r>
      <w:r>
        <w:rPr>
          <w:rFonts w:hint="eastAsia"/>
          <w:snapToGrid w:val="0"/>
          <w:kern w:val="0"/>
          <w:szCs w:val="21"/>
        </w:rPr>
        <w:t>一旦发生泄漏或火灾事故，泄漏物料（或消防废水）可沿导流沟收集至应急事故池中，可有效防止环境风险事故的发生。通过本次环境影响评价报告中提出的各项风险防范措施和应急预案后，本项目能将事故的环境风险降到最低，风险防范措施可行，风险水平可以接受。</w:t>
      </w:r>
    </w:p>
    <w:p>
      <w:pPr>
        <w:pStyle w:val="6"/>
        <w:numPr>
          <w:ilvl w:val="0"/>
          <w:numId w:val="0"/>
        </w:numPr>
        <w:spacing w:line="360" w:lineRule="auto"/>
        <w:ind w:leftChars="200"/>
        <w:rPr>
          <w:rFonts w:hint="eastAsia"/>
          <w:snapToGrid w:val="0"/>
          <w:kern w:val="0"/>
          <w:szCs w:val="21"/>
        </w:rPr>
      </w:pPr>
    </w:p>
    <w:p>
      <w:pPr>
        <w:pStyle w:val="6"/>
        <w:numPr>
          <w:ilvl w:val="0"/>
          <w:numId w:val="0"/>
        </w:numPr>
        <w:spacing w:line="360" w:lineRule="auto"/>
        <w:ind w:firstLine="480" w:firstLineChars="200"/>
        <w:rPr>
          <w:rFonts w:hint="eastAsia"/>
          <w:snapToGrid w:val="0"/>
          <w:kern w:val="0"/>
          <w:szCs w:val="21"/>
          <w:lang w:eastAsia="zh-CN"/>
        </w:rPr>
      </w:pPr>
    </w:p>
    <w:p>
      <w:pPr>
        <w:ind w:left="0" w:leftChars="0" w:firstLine="0" w:firstLineChars="0"/>
        <w:rPr>
          <w:rFonts w:hint="eastAsia" w:ascii="楷体_GB2312" w:eastAsia="楷体_GB2312"/>
          <w:sz w:val="36"/>
          <w:szCs w:val="36"/>
          <w:lang w:eastAsia="zh-CN"/>
        </w:rPr>
      </w:pPr>
    </w:p>
    <w:sectPr>
      <w:pgSz w:w="11906" w:h="16838"/>
      <w:pgMar w:top="1701" w:right="1531" w:bottom="1701" w:left="1531" w:header="851" w:footer="992" w:gutter="0"/>
      <w:pgNumType w:fmt="numberInDash"/>
      <w:cols w:space="0" w:num="1"/>
      <w:rtlGutter w:val="0"/>
      <w:docGrid w:type="lines"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59B24B9-D2D0-44CD-BBBF-FD07287179E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8BEF5D2B-C775-4C19-B2D6-96E7B7E8687A}"/>
  </w:font>
  <w:font w:name="方正小标宋_GBK">
    <w:panose1 w:val="03000509000000000000"/>
    <w:charset w:val="86"/>
    <w:family w:val="script"/>
    <w:pitch w:val="default"/>
    <w:sig w:usb0="00000001" w:usb1="080E0000" w:usb2="00000000" w:usb3="00000000" w:csb0="00040000" w:csb1="00000000"/>
    <w:embedRegular r:id="rId3" w:fontKey="{EEBA5D34-7DAB-4E22-AD5E-6A0D71FD6A0C}"/>
  </w:font>
  <w:font w:name="楷体_GB2312">
    <w:panose1 w:val="02010609030101010101"/>
    <w:charset w:val="86"/>
    <w:family w:val="modern"/>
    <w:pitch w:val="default"/>
    <w:sig w:usb0="00000001" w:usb1="080E0000" w:usb2="00000000" w:usb3="00000000" w:csb0="00040000" w:csb1="00000000"/>
    <w:embedRegular r:id="rId4" w:fontKey="{4DAA1B8E-6331-441A-B733-4A3EC9294B22}"/>
  </w:font>
  <w:font w:name="仿宋">
    <w:panose1 w:val="02010609060101010101"/>
    <w:charset w:val="86"/>
    <w:family w:val="auto"/>
    <w:pitch w:val="default"/>
    <w:sig w:usb0="800002BF" w:usb1="38CF7CFA" w:usb2="00000016" w:usb3="00000000" w:csb0="00040001" w:csb1="00000000"/>
    <w:embedRegular r:id="rId5" w:fontKey="{C942D866-C743-46C9-9AAA-C5D2327AAF52}"/>
  </w:font>
  <w:font w:name="Wingdings 2">
    <w:altName w:val="Wingdings"/>
    <w:panose1 w:val="05020102010507070707"/>
    <w:charset w:val="02"/>
    <w:family w:val="roman"/>
    <w:pitch w:val="default"/>
    <w:sig w:usb0="00000000" w:usb1="00000000" w:usb2="00000000" w:usb3="00000000" w:csb0="80000000" w:csb1="00000000"/>
    <w:embedRegular r:id="rId6" w:fontKey="{78927BE2-D5C4-43CE-847A-0D53990A680A}"/>
  </w:font>
  <w:font w:name="Cambria Math">
    <w:panose1 w:val="02040503050406030204"/>
    <w:charset w:val="00"/>
    <w:family w:val="auto"/>
    <w:pitch w:val="default"/>
    <w:sig w:usb0="E00002FF" w:usb1="420024FF" w:usb2="00000000" w:usb3="00000000" w:csb0="2000019F" w:csb1="00000000"/>
    <w:embedRegular r:id="rId7" w:fontKey="{373E05CF-63B6-4573-8A40-D20764928CAD}"/>
  </w:font>
  <w:font w:name="新宋体">
    <w:panose1 w:val="02010609030101010101"/>
    <w:charset w:val="86"/>
    <w:family w:val="modern"/>
    <w:pitch w:val="default"/>
    <w:sig w:usb0="00000003" w:usb1="288F0000" w:usb2="00000006" w:usb3="00000000" w:csb0="00040001" w:csb1="00000000"/>
    <w:embedRegular r:id="rId8" w:fontKey="{26616E78-FC06-4F57-A344-0F5EE3B7C613}"/>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p>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10"/>
          <w:ind w:firstLine="360"/>
          <w:jc w:val="center"/>
        </w:pPr>
        <w:r>
          <w:fldChar w:fldCharType="begin"/>
        </w:r>
        <w:r>
          <w:instrText xml:space="preserve">PAGE   \* MERGEFORMAT</w:instrText>
        </w:r>
        <w:r>
          <w:fldChar w:fldCharType="separate"/>
        </w:r>
        <w:r>
          <w:rPr>
            <w:lang w:val="zh-CN"/>
          </w:rPr>
          <w:t>-</w:t>
        </w:r>
        <w:r>
          <w:t xml:space="preserve"> 70 -</w:t>
        </w:r>
        <w:r>
          <w:fldChar w:fldCharType="end"/>
        </w:r>
      </w:p>
    </w:sdtContent>
  </w:sdt>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97001C"/>
    <w:multiLevelType w:val="singleLevel"/>
    <w:tmpl w:val="9997001C"/>
    <w:lvl w:ilvl="0" w:tentative="0">
      <w:start w:val="1"/>
      <w:numFmt w:val="decimal"/>
      <w:suff w:val="nothing"/>
      <w:lvlText w:val="（%1）"/>
      <w:lvlJc w:val="left"/>
    </w:lvl>
  </w:abstractNum>
  <w:abstractNum w:abstractNumId="1">
    <w:nsid w:val="9EB59B6F"/>
    <w:multiLevelType w:val="singleLevel"/>
    <w:tmpl w:val="9EB59B6F"/>
    <w:lvl w:ilvl="0" w:tentative="0">
      <w:start w:val="1"/>
      <w:numFmt w:val="decimal"/>
      <w:suff w:val="nothing"/>
      <w:lvlText w:val="%1、"/>
      <w:lvlJc w:val="left"/>
    </w:lvl>
  </w:abstractNum>
  <w:abstractNum w:abstractNumId="2">
    <w:nsid w:val="A2F711EA"/>
    <w:multiLevelType w:val="multilevel"/>
    <w:tmpl w:val="A2F711EA"/>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suff w:val="nothing"/>
      <w:lvlText w:val="（%1.%2.%3.%4）"/>
      <w:lvlJc w:val="left"/>
      <w:pPr>
        <w:ind w:left="0" w:leftChars="0" w:firstLine="0" w:firstLineChars="0"/>
      </w:pPr>
      <w:rPr>
        <w:rFonts w:hint="default"/>
      </w:rPr>
    </w:lvl>
    <w:lvl w:ilvl="4" w:tentative="0">
      <w:start w:val="1"/>
      <w:numFmt w:val="decimal"/>
      <w:suff w:val="nothing"/>
      <w:lvlText w:val="（%1.%2.%3.%4.%5）"/>
      <w:lvlJc w:val="left"/>
      <w:pPr>
        <w:ind w:left="0" w:leftChars="0" w:firstLine="0" w:firstLineChars="0"/>
      </w:pPr>
      <w:rPr>
        <w:rFonts w:hint="default"/>
      </w:rPr>
    </w:lvl>
    <w:lvl w:ilvl="5" w:tentative="0">
      <w:start w:val="1"/>
      <w:numFmt w:val="decimal"/>
      <w:suff w:val="nothing"/>
      <w:lvlText w:val="（%1.%2.%3.%4.%5.%6）"/>
      <w:lvlJc w:val="left"/>
      <w:pPr>
        <w:ind w:left="0" w:leftChars="0" w:firstLine="0" w:firstLineChars="0"/>
      </w:pPr>
      <w:rPr>
        <w:rFonts w:hint="default"/>
      </w:rPr>
    </w:lvl>
    <w:lvl w:ilvl="6" w:tentative="0">
      <w:start w:val="1"/>
      <w:numFmt w:val="decimal"/>
      <w:suff w:val="nothing"/>
      <w:lvlText w:val="（%1.%2.%3.%4.%5.%6.%7）"/>
      <w:lvlJc w:val="left"/>
      <w:pPr>
        <w:ind w:left="0" w:leftChars="0" w:firstLine="0" w:firstLineChars="0"/>
      </w:pPr>
      <w:rPr>
        <w:rFonts w:hint="default"/>
      </w:rPr>
    </w:lvl>
    <w:lvl w:ilvl="7" w:tentative="0">
      <w:start w:val="1"/>
      <w:numFmt w:val="decimal"/>
      <w:suff w:val="nothing"/>
      <w:lvlText w:val="（%1.%2.%3.%4.%5.%6.%7.%8）"/>
      <w:lvlJc w:val="left"/>
      <w:pPr>
        <w:ind w:left="0" w:leftChars="0" w:firstLine="0" w:firstLineChars="0"/>
      </w:pPr>
      <w:rPr>
        <w:rFonts w:hint="default"/>
      </w:rPr>
    </w:lvl>
    <w:lvl w:ilvl="8" w:tentative="0">
      <w:start w:val="1"/>
      <w:numFmt w:val="decimal"/>
      <w:suff w:val="nothing"/>
      <w:lvlText w:val="（%1.%2.%3.%4.%5.%6.%7.%8.%9）"/>
      <w:lvlJc w:val="left"/>
      <w:pPr>
        <w:ind w:left="0" w:leftChars="0" w:firstLine="0" w:firstLineChars="0"/>
      </w:pPr>
      <w:rPr>
        <w:rFonts w:hint="default"/>
      </w:rPr>
    </w:lvl>
  </w:abstractNum>
  <w:abstractNum w:abstractNumId="3">
    <w:nsid w:val="EBE389E3"/>
    <w:multiLevelType w:val="singleLevel"/>
    <w:tmpl w:val="EBE389E3"/>
    <w:lvl w:ilvl="0" w:tentative="0">
      <w:start w:val="1"/>
      <w:numFmt w:val="decimal"/>
      <w:suff w:val="nothing"/>
      <w:lvlText w:val="%1）"/>
      <w:lvlJc w:val="left"/>
    </w:lvl>
  </w:abstractNum>
  <w:abstractNum w:abstractNumId="4">
    <w:nsid w:val="EE1BA42D"/>
    <w:multiLevelType w:val="singleLevel"/>
    <w:tmpl w:val="EE1BA42D"/>
    <w:lvl w:ilvl="0" w:tentative="0">
      <w:start w:val="6"/>
      <w:numFmt w:val="decimal"/>
      <w:suff w:val="nothing"/>
      <w:lvlText w:val="%1、"/>
      <w:lvlJc w:val="left"/>
    </w:lvl>
  </w:abstractNum>
  <w:abstractNum w:abstractNumId="5">
    <w:nsid w:val="FA749B61"/>
    <w:multiLevelType w:val="singleLevel"/>
    <w:tmpl w:val="FA749B61"/>
    <w:lvl w:ilvl="0" w:tentative="0">
      <w:start w:val="1"/>
      <w:numFmt w:val="decimal"/>
      <w:suff w:val="nothing"/>
      <w:lvlText w:val="%1、"/>
      <w:lvlJc w:val="left"/>
    </w:lvl>
  </w:abstractNum>
  <w:abstractNum w:abstractNumId="6">
    <w:nsid w:val="08567E79"/>
    <w:multiLevelType w:val="multilevel"/>
    <w:tmpl w:val="08567E79"/>
    <w:lvl w:ilvl="0" w:tentative="0">
      <w:start w:val="1"/>
      <w:numFmt w:val="decimal"/>
      <w:suff w:val="nothing"/>
      <w:lvlText w:val="（%1）"/>
      <w:lvlJc w:val="left"/>
      <w:pPr>
        <w:ind w:left="851" w:hanging="851"/>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A437D36"/>
    <w:multiLevelType w:val="singleLevel"/>
    <w:tmpl w:val="3A437D36"/>
    <w:lvl w:ilvl="0" w:tentative="0">
      <w:start w:val="1"/>
      <w:numFmt w:val="decimal"/>
      <w:suff w:val="nothing"/>
      <w:lvlText w:val="%1、"/>
      <w:lvlJc w:val="left"/>
    </w:lvl>
  </w:abstractNum>
  <w:abstractNum w:abstractNumId="8">
    <w:nsid w:val="3E781B2E"/>
    <w:multiLevelType w:val="singleLevel"/>
    <w:tmpl w:val="3E781B2E"/>
    <w:lvl w:ilvl="0" w:tentative="0">
      <w:start w:val="7"/>
      <w:numFmt w:val="decimal"/>
      <w:suff w:val="nothing"/>
      <w:lvlText w:val="（%1）"/>
      <w:lvlJc w:val="left"/>
    </w:lvl>
  </w:abstractNum>
  <w:abstractNum w:abstractNumId="9">
    <w:nsid w:val="4E6B6F46"/>
    <w:multiLevelType w:val="singleLevel"/>
    <w:tmpl w:val="4E6B6F46"/>
    <w:lvl w:ilvl="0" w:tentative="0">
      <w:start w:val="1"/>
      <w:numFmt w:val="decimal"/>
      <w:suff w:val="nothing"/>
      <w:lvlText w:val="（%1）"/>
      <w:lvlJc w:val="left"/>
    </w:lvl>
  </w:abstractNum>
  <w:abstractNum w:abstractNumId="10">
    <w:nsid w:val="662F7136"/>
    <w:multiLevelType w:val="multilevel"/>
    <w:tmpl w:val="662F7136"/>
    <w:lvl w:ilvl="0" w:tentative="0">
      <w:start w:val="1"/>
      <w:numFmt w:val="decimal"/>
      <w:suff w:val="nothing"/>
      <w:lvlText w:val="（%1）"/>
      <w:lvlJc w:val="left"/>
      <w:pPr>
        <w:ind w:left="851" w:hanging="851"/>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2"/>
  </w:num>
  <w:num w:numId="4">
    <w:abstractNumId w:val="8"/>
  </w:num>
  <w:num w:numId="5">
    <w:abstractNumId w:val="1"/>
  </w:num>
  <w:num w:numId="6">
    <w:abstractNumId w:val="0"/>
  </w:num>
  <w:num w:numId="7">
    <w:abstractNumId w:val="3"/>
  </w:num>
  <w:num w:numId="8">
    <w:abstractNumId w:val="7"/>
  </w:num>
  <w:num w:numId="9">
    <w:abstractNumId w:val="1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20"/>
  <w:drawingGridVerticalSpacing w:val="16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RlYTVmNjkwOTZiYjAyNjg3YWQ4MWIyODJlYzdhYzAifQ=="/>
  </w:docVars>
  <w:rsids>
    <w:rsidRoot w:val="00442E9F"/>
    <w:rsid w:val="00002FED"/>
    <w:rsid w:val="00006223"/>
    <w:rsid w:val="00017858"/>
    <w:rsid w:val="00020694"/>
    <w:rsid w:val="00037DED"/>
    <w:rsid w:val="000430E9"/>
    <w:rsid w:val="00044059"/>
    <w:rsid w:val="00044942"/>
    <w:rsid w:val="00063ED2"/>
    <w:rsid w:val="00067D1B"/>
    <w:rsid w:val="000730B8"/>
    <w:rsid w:val="00080E1C"/>
    <w:rsid w:val="0008746C"/>
    <w:rsid w:val="000C468B"/>
    <w:rsid w:val="000D4177"/>
    <w:rsid w:val="000D543E"/>
    <w:rsid w:val="000E3910"/>
    <w:rsid w:val="000F3830"/>
    <w:rsid w:val="00102C7A"/>
    <w:rsid w:val="001057F0"/>
    <w:rsid w:val="00120067"/>
    <w:rsid w:val="0012791B"/>
    <w:rsid w:val="0013160D"/>
    <w:rsid w:val="00172029"/>
    <w:rsid w:val="00172149"/>
    <w:rsid w:val="00176AE1"/>
    <w:rsid w:val="0018520C"/>
    <w:rsid w:val="00185F11"/>
    <w:rsid w:val="00195DEE"/>
    <w:rsid w:val="00197595"/>
    <w:rsid w:val="001A6014"/>
    <w:rsid w:val="001B0D61"/>
    <w:rsid w:val="001B0E13"/>
    <w:rsid w:val="001C7055"/>
    <w:rsid w:val="001C72B5"/>
    <w:rsid w:val="0022198B"/>
    <w:rsid w:val="002312CF"/>
    <w:rsid w:val="00233112"/>
    <w:rsid w:val="00242BB4"/>
    <w:rsid w:val="00252818"/>
    <w:rsid w:val="00256BDB"/>
    <w:rsid w:val="00265A63"/>
    <w:rsid w:val="00276B07"/>
    <w:rsid w:val="002A6A40"/>
    <w:rsid w:val="002B1164"/>
    <w:rsid w:val="002C150B"/>
    <w:rsid w:val="002C4A29"/>
    <w:rsid w:val="002F1A50"/>
    <w:rsid w:val="003236DF"/>
    <w:rsid w:val="00346F12"/>
    <w:rsid w:val="0035286C"/>
    <w:rsid w:val="00353998"/>
    <w:rsid w:val="00374333"/>
    <w:rsid w:val="003956E2"/>
    <w:rsid w:val="003B70C4"/>
    <w:rsid w:val="003B7172"/>
    <w:rsid w:val="003C605E"/>
    <w:rsid w:val="003D0B10"/>
    <w:rsid w:val="003D7080"/>
    <w:rsid w:val="003E0CE2"/>
    <w:rsid w:val="003E3120"/>
    <w:rsid w:val="003F7953"/>
    <w:rsid w:val="00402932"/>
    <w:rsid w:val="00404199"/>
    <w:rsid w:val="004126E2"/>
    <w:rsid w:val="004155EA"/>
    <w:rsid w:val="00426D43"/>
    <w:rsid w:val="004329AC"/>
    <w:rsid w:val="00433262"/>
    <w:rsid w:val="00442E9F"/>
    <w:rsid w:val="004741ED"/>
    <w:rsid w:val="004B15A9"/>
    <w:rsid w:val="004C100D"/>
    <w:rsid w:val="004C51CA"/>
    <w:rsid w:val="004D729C"/>
    <w:rsid w:val="004F0FB3"/>
    <w:rsid w:val="004F62A2"/>
    <w:rsid w:val="00502AAA"/>
    <w:rsid w:val="005135F0"/>
    <w:rsid w:val="0051423A"/>
    <w:rsid w:val="005163B7"/>
    <w:rsid w:val="00537B95"/>
    <w:rsid w:val="0055070C"/>
    <w:rsid w:val="00573AF8"/>
    <w:rsid w:val="00582B8A"/>
    <w:rsid w:val="0058345D"/>
    <w:rsid w:val="005B2C8D"/>
    <w:rsid w:val="005B4715"/>
    <w:rsid w:val="005C2BC1"/>
    <w:rsid w:val="005D6DB3"/>
    <w:rsid w:val="006079F5"/>
    <w:rsid w:val="00652BFC"/>
    <w:rsid w:val="00657901"/>
    <w:rsid w:val="006600A1"/>
    <w:rsid w:val="00664DC5"/>
    <w:rsid w:val="00680ADF"/>
    <w:rsid w:val="006A1BBA"/>
    <w:rsid w:val="006A354B"/>
    <w:rsid w:val="006C5BDD"/>
    <w:rsid w:val="00710966"/>
    <w:rsid w:val="007207E4"/>
    <w:rsid w:val="007246A6"/>
    <w:rsid w:val="0072536D"/>
    <w:rsid w:val="00732B55"/>
    <w:rsid w:val="00753522"/>
    <w:rsid w:val="00760EB9"/>
    <w:rsid w:val="00762DE8"/>
    <w:rsid w:val="00771846"/>
    <w:rsid w:val="0078551E"/>
    <w:rsid w:val="0079120B"/>
    <w:rsid w:val="007925D0"/>
    <w:rsid w:val="007B0E71"/>
    <w:rsid w:val="007C6505"/>
    <w:rsid w:val="007D03FD"/>
    <w:rsid w:val="007D2BF1"/>
    <w:rsid w:val="007E4DFF"/>
    <w:rsid w:val="007E7855"/>
    <w:rsid w:val="008454F7"/>
    <w:rsid w:val="00864DB2"/>
    <w:rsid w:val="00877987"/>
    <w:rsid w:val="008A1DF4"/>
    <w:rsid w:val="008B2F60"/>
    <w:rsid w:val="008D0B0B"/>
    <w:rsid w:val="008E22AC"/>
    <w:rsid w:val="008E359F"/>
    <w:rsid w:val="00922A68"/>
    <w:rsid w:val="0093165A"/>
    <w:rsid w:val="009400AD"/>
    <w:rsid w:val="009464A1"/>
    <w:rsid w:val="009540F3"/>
    <w:rsid w:val="00957987"/>
    <w:rsid w:val="009822ED"/>
    <w:rsid w:val="00983EF4"/>
    <w:rsid w:val="00994223"/>
    <w:rsid w:val="009B47F6"/>
    <w:rsid w:val="009D3FFF"/>
    <w:rsid w:val="009F6722"/>
    <w:rsid w:val="00A213D9"/>
    <w:rsid w:val="00A23D72"/>
    <w:rsid w:val="00A32A32"/>
    <w:rsid w:val="00A40B3B"/>
    <w:rsid w:val="00A46633"/>
    <w:rsid w:val="00A52238"/>
    <w:rsid w:val="00A54281"/>
    <w:rsid w:val="00A65B99"/>
    <w:rsid w:val="00A740B4"/>
    <w:rsid w:val="00A75715"/>
    <w:rsid w:val="00A8210F"/>
    <w:rsid w:val="00A86E5D"/>
    <w:rsid w:val="00A90BF1"/>
    <w:rsid w:val="00A90EB4"/>
    <w:rsid w:val="00A93A7D"/>
    <w:rsid w:val="00A9436C"/>
    <w:rsid w:val="00A96C00"/>
    <w:rsid w:val="00AA0B97"/>
    <w:rsid w:val="00AA0C4D"/>
    <w:rsid w:val="00AA714A"/>
    <w:rsid w:val="00AE19ED"/>
    <w:rsid w:val="00AE46BA"/>
    <w:rsid w:val="00B04979"/>
    <w:rsid w:val="00B04E54"/>
    <w:rsid w:val="00B17507"/>
    <w:rsid w:val="00B512F9"/>
    <w:rsid w:val="00B819F6"/>
    <w:rsid w:val="00B84E48"/>
    <w:rsid w:val="00B90405"/>
    <w:rsid w:val="00BA5D8C"/>
    <w:rsid w:val="00BB122A"/>
    <w:rsid w:val="00BB3117"/>
    <w:rsid w:val="00BC0880"/>
    <w:rsid w:val="00BC24E7"/>
    <w:rsid w:val="00BD579B"/>
    <w:rsid w:val="00BD75A8"/>
    <w:rsid w:val="00BE1FF8"/>
    <w:rsid w:val="00BE7452"/>
    <w:rsid w:val="00BF1514"/>
    <w:rsid w:val="00BF5756"/>
    <w:rsid w:val="00C01CB5"/>
    <w:rsid w:val="00C13AC9"/>
    <w:rsid w:val="00C15B9C"/>
    <w:rsid w:val="00C42ED5"/>
    <w:rsid w:val="00C650D8"/>
    <w:rsid w:val="00C87FD3"/>
    <w:rsid w:val="00C933AD"/>
    <w:rsid w:val="00C95DD2"/>
    <w:rsid w:val="00CA1F1B"/>
    <w:rsid w:val="00CB26C7"/>
    <w:rsid w:val="00CB6E52"/>
    <w:rsid w:val="00CE4D79"/>
    <w:rsid w:val="00CF6992"/>
    <w:rsid w:val="00D134DD"/>
    <w:rsid w:val="00D20F29"/>
    <w:rsid w:val="00D7013E"/>
    <w:rsid w:val="00D96A4E"/>
    <w:rsid w:val="00DA0B9A"/>
    <w:rsid w:val="00DA41B6"/>
    <w:rsid w:val="00DB67B6"/>
    <w:rsid w:val="00DD22E4"/>
    <w:rsid w:val="00DD4983"/>
    <w:rsid w:val="00DE1B55"/>
    <w:rsid w:val="00DF017D"/>
    <w:rsid w:val="00DF1618"/>
    <w:rsid w:val="00DF239D"/>
    <w:rsid w:val="00DF55D2"/>
    <w:rsid w:val="00E00964"/>
    <w:rsid w:val="00E01FEF"/>
    <w:rsid w:val="00E10886"/>
    <w:rsid w:val="00E12F28"/>
    <w:rsid w:val="00E200EA"/>
    <w:rsid w:val="00E530B4"/>
    <w:rsid w:val="00E62B07"/>
    <w:rsid w:val="00E9285A"/>
    <w:rsid w:val="00E9350C"/>
    <w:rsid w:val="00E95EFB"/>
    <w:rsid w:val="00EA22ED"/>
    <w:rsid w:val="00EB0E7B"/>
    <w:rsid w:val="00ED2F69"/>
    <w:rsid w:val="00ED380E"/>
    <w:rsid w:val="00ED63D9"/>
    <w:rsid w:val="00ED6949"/>
    <w:rsid w:val="00EE1C7E"/>
    <w:rsid w:val="00EE727A"/>
    <w:rsid w:val="00EF3368"/>
    <w:rsid w:val="00EF3A95"/>
    <w:rsid w:val="00EF5E34"/>
    <w:rsid w:val="00F1304B"/>
    <w:rsid w:val="00F43011"/>
    <w:rsid w:val="00F55EFC"/>
    <w:rsid w:val="00F56F59"/>
    <w:rsid w:val="00F75946"/>
    <w:rsid w:val="00F87255"/>
    <w:rsid w:val="00F916E4"/>
    <w:rsid w:val="00FA369E"/>
    <w:rsid w:val="00FA38F0"/>
    <w:rsid w:val="00FB60A9"/>
    <w:rsid w:val="00FC0858"/>
    <w:rsid w:val="00FF2B65"/>
    <w:rsid w:val="015B6354"/>
    <w:rsid w:val="02237A8B"/>
    <w:rsid w:val="025A65C4"/>
    <w:rsid w:val="02C51D0B"/>
    <w:rsid w:val="03381656"/>
    <w:rsid w:val="039549A9"/>
    <w:rsid w:val="03C40C3E"/>
    <w:rsid w:val="03E62245"/>
    <w:rsid w:val="04552AFB"/>
    <w:rsid w:val="048442D6"/>
    <w:rsid w:val="04922772"/>
    <w:rsid w:val="04A41F89"/>
    <w:rsid w:val="04B90F6D"/>
    <w:rsid w:val="05872E7F"/>
    <w:rsid w:val="058E12AC"/>
    <w:rsid w:val="0616717C"/>
    <w:rsid w:val="0640726D"/>
    <w:rsid w:val="06885A76"/>
    <w:rsid w:val="068D59E4"/>
    <w:rsid w:val="07410909"/>
    <w:rsid w:val="08291497"/>
    <w:rsid w:val="086C5C8C"/>
    <w:rsid w:val="0924111D"/>
    <w:rsid w:val="0A453416"/>
    <w:rsid w:val="0B784B6C"/>
    <w:rsid w:val="0BD66F9C"/>
    <w:rsid w:val="0C326D75"/>
    <w:rsid w:val="0C9D7831"/>
    <w:rsid w:val="0CD60B3A"/>
    <w:rsid w:val="0D0A78C0"/>
    <w:rsid w:val="0D254A0E"/>
    <w:rsid w:val="0E100472"/>
    <w:rsid w:val="0E441F34"/>
    <w:rsid w:val="0E6B0774"/>
    <w:rsid w:val="0F666273"/>
    <w:rsid w:val="0FCD1D47"/>
    <w:rsid w:val="10D12B80"/>
    <w:rsid w:val="1104706D"/>
    <w:rsid w:val="111927C8"/>
    <w:rsid w:val="11C6025A"/>
    <w:rsid w:val="125A3925"/>
    <w:rsid w:val="135D699C"/>
    <w:rsid w:val="135F3B9F"/>
    <w:rsid w:val="137E584E"/>
    <w:rsid w:val="13CC26A4"/>
    <w:rsid w:val="13F65437"/>
    <w:rsid w:val="140A0732"/>
    <w:rsid w:val="14145C54"/>
    <w:rsid w:val="15B77967"/>
    <w:rsid w:val="15CE35AD"/>
    <w:rsid w:val="16120694"/>
    <w:rsid w:val="16AD3796"/>
    <w:rsid w:val="17C2631F"/>
    <w:rsid w:val="17C31E9C"/>
    <w:rsid w:val="17E305F2"/>
    <w:rsid w:val="18114169"/>
    <w:rsid w:val="18926396"/>
    <w:rsid w:val="18B36753"/>
    <w:rsid w:val="19161CDF"/>
    <w:rsid w:val="19B5713D"/>
    <w:rsid w:val="1A3B38EB"/>
    <w:rsid w:val="1B221C8D"/>
    <w:rsid w:val="1BC73D0B"/>
    <w:rsid w:val="1BDD519A"/>
    <w:rsid w:val="1C694603"/>
    <w:rsid w:val="1E0D58FA"/>
    <w:rsid w:val="1EA348DD"/>
    <w:rsid w:val="1FC741C5"/>
    <w:rsid w:val="200F153F"/>
    <w:rsid w:val="206F1804"/>
    <w:rsid w:val="219C2DDE"/>
    <w:rsid w:val="22154C63"/>
    <w:rsid w:val="2256700A"/>
    <w:rsid w:val="23F80A1A"/>
    <w:rsid w:val="241830BB"/>
    <w:rsid w:val="24AC79DB"/>
    <w:rsid w:val="25A45319"/>
    <w:rsid w:val="260E380C"/>
    <w:rsid w:val="26192902"/>
    <w:rsid w:val="261D4293"/>
    <w:rsid w:val="267E3F13"/>
    <w:rsid w:val="26F05838"/>
    <w:rsid w:val="27180046"/>
    <w:rsid w:val="271A276D"/>
    <w:rsid w:val="2741037A"/>
    <w:rsid w:val="27C77E11"/>
    <w:rsid w:val="281D6B49"/>
    <w:rsid w:val="285A5748"/>
    <w:rsid w:val="28883FAF"/>
    <w:rsid w:val="28991DCC"/>
    <w:rsid w:val="28CD2CD7"/>
    <w:rsid w:val="28FF549A"/>
    <w:rsid w:val="296E14AB"/>
    <w:rsid w:val="2A2E53B8"/>
    <w:rsid w:val="2A485E20"/>
    <w:rsid w:val="2A863E0A"/>
    <w:rsid w:val="2ABB7E9D"/>
    <w:rsid w:val="2AD83EBA"/>
    <w:rsid w:val="2B4C1378"/>
    <w:rsid w:val="2C387B4E"/>
    <w:rsid w:val="2C765F73"/>
    <w:rsid w:val="2C7E2D6D"/>
    <w:rsid w:val="2C7E390A"/>
    <w:rsid w:val="2C9A1A2E"/>
    <w:rsid w:val="2D692B90"/>
    <w:rsid w:val="2DC90114"/>
    <w:rsid w:val="2E4D1FE8"/>
    <w:rsid w:val="2E911374"/>
    <w:rsid w:val="2F3235A8"/>
    <w:rsid w:val="2F5E7ADC"/>
    <w:rsid w:val="2F9D1810"/>
    <w:rsid w:val="2FA8545B"/>
    <w:rsid w:val="2FCC2A87"/>
    <w:rsid w:val="3002073D"/>
    <w:rsid w:val="31A6191B"/>
    <w:rsid w:val="321D46FF"/>
    <w:rsid w:val="332310AF"/>
    <w:rsid w:val="334E5EA9"/>
    <w:rsid w:val="33DD1AE5"/>
    <w:rsid w:val="33EC04DA"/>
    <w:rsid w:val="3403796B"/>
    <w:rsid w:val="3470061C"/>
    <w:rsid w:val="3490340F"/>
    <w:rsid w:val="34F73B4A"/>
    <w:rsid w:val="35065D87"/>
    <w:rsid w:val="35EA1F0B"/>
    <w:rsid w:val="36632B03"/>
    <w:rsid w:val="369564DA"/>
    <w:rsid w:val="37931FC5"/>
    <w:rsid w:val="379F6CD3"/>
    <w:rsid w:val="37E329F1"/>
    <w:rsid w:val="3855554A"/>
    <w:rsid w:val="38FD626D"/>
    <w:rsid w:val="391477FF"/>
    <w:rsid w:val="39264B2C"/>
    <w:rsid w:val="39AD1B45"/>
    <w:rsid w:val="39CC696D"/>
    <w:rsid w:val="3A5C11D3"/>
    <w:rsid w:val="3A721B41"/>
    <w:rsid w:val="3AB5728B"/>
    <w:rsid w:val="3B06098C"/>
    <w:rsid w:val="3C563A61"/>
    <w:rsid w:val="3E2919A3"/>
    <w:rsid w:val="3E5E4FD0"/>
    <w:rsid w:val="3E631F95"/>
    <w:rsid w:val="3E8F0D01"/>
    <w:rsid w:val="3F8F6B5C"/>
    <w:rsid w:val="3FDB2141"/>
    <w:rsid w:val="400B75FC"/>
    <w:rsid w:val="41155054"/>
    <w:rsid w:val="41A03D74"/>
    <w:rsid w:val="41B21364"/>
    <w:rsid w:val="41B845A8"/>
    <w:rsid w:val="41CB6252"/>
    <w:rsid w:val="42B83469"/>
    <w:rsid w:val="435E253E"/>
    <w:rsid w:val="44246EDE"/>
    <w:rsid w:val="44262E61"/>
    <w:rsid w:val="4427077C"/>
    <w:rsid w:val="44D966D7"/>
    <w:rsid w:val="452D03BA"/>
    <w:rsid w:val="453B5041"/>
    <w:rsid w:val="45724A6D"/>
    <w:rsid w:val="4588009B"/>
    <w:rsid w:val="458A5EA4"/>
    <w:rsid w:val="45FB0FA6"/>
    <w:rsid w:val="466B5854"/>
    <w:rsid w:val="46CC3416"/>
    <w:rsid w:val="473D79A4"/>
    <w:rsid w:val="47E01724"/>
    <w:rsid w:val="48253F63"/>
    <w:rsid w:val="48651B27"/>
    <w:rsid w:val="48983B9D"/>
    <w:rsid w:val="48FD7CFE"/>
    <w:rsid w:val="49581760"/>
    <w:rsid w:val="4A1464DF"/>
    <w:rsid w:val="4A434638"/>
    <w:rsid w:val="4A7B70ED"/>
    <w:rsid w:val="4B603386"/>
    <w:rsid w:val="4BCE75FD"/>
    <w:rsid w:val="4BF26376"/>
    <w:rsid w:val="4CB457FD"/>
    <w:rsid w:val="4CD04E02"/>
    <w:rsid w:val="4D9E03DF"/>
    <w:rsid w:val="4DD42020"/>
    <w:rsid w:val="4DFE203A"/>
    <w:rsid w:val="4E114681"/>
    <w:rsid w:val="4ED35788"/>
    <w:rsid w:val="4F433DBE"/>
    <w:rsid w:val="4F8737D4"/>
    <w:rsid w:val="4FCE3A01"/>
    <w:rsid w:val="4FD064F7"/>
    <w:rsid w:val="4FD550AA"/>
    <w:rsid w:val="4FD84877"/>
    <w:rsid w:val="5103466D"/>
    <w:rsid w:val="530F0D59"/>
    <w:rsid w:val="53294841"/>
    <w:rsid w:val="539D45B7"/>
    <w:rsid w:val="53D41E60"/>
    <w:rsid w:val="54214FBE"/>
    <w:rsid w:val="54AB3CAA"/>
    <w:rsid w:val="54FF0F88"/>
    <w:rsid w:val="55073F09"/>
    <w:rsid w:val="55345244"/>
    <w:rsid w:val="55893A9F"/>
    <w:rsid w:val="56212E94"/>
    <w:rsid w:val="56AD519D"/>
    <w:rsid w:val="56BC0DDE"/>
    <w:rsid w:val="56E22C3E"/>
    <w:rsid w:val="57214FDA"/>
    <w:rsid w:val="5730747B"/>
    <w:rsid w:val="57FB166A"/>
    <w:rsid w:val="58396A5D"/>
    <w:rsid w:val="58871392"/>
    <w:rsid w:val="58BA3013"/>
    <w:rsid w:val="5A087F7A"/>
    <w:rsid w:val="5B7025B1"/>
    <w:rsid w:val="5B7050CD"/>
    <w:rsid w:val="5BF72159"/>
    <w:rsid w:val="5C2E47D7"/>
    <w:rsid w:val="5C7B1A0A"/>
    <w:rsid w:val="5CCD283E"/>
    <w:rsid w:val="5D665688"/>
    <w:rsid w:val="5E6C4DBF"/>
    <w:rsid w:val="5F071811"/>
    <w:rsid w:val="609B1599"/>
    <w:rsid w:val="616D4E4D"/>
    <w:rsid w:val="61B723F1"/>
    <w:rsid w:val="61FA121B"/>
    <w:rsid w:val="622B7232"/>
    <w:rsid w:val="62364941"/>
    <w:rsid w:val="631309B0"/>
    <w:rsid w:val="632B58DD"/>
    <w:rsid w:val="64171CEB"/>
    <w:rsid w:val="646946C6"/>
    <w:rsid w:val="64B67465"/>
    <w:rsid w:val="65273CE0"/>
    <w:rsid w:val="65613696"/>
    <w:rsid w:val="6658754A"/>
    <w:rsid w:val="666F7A71"/>
    <w:rsid w:val="667E7F5D"/>
    <w:rsid w:val="672FD51A"/>
    <w:rsid w:val="67420A5F"/>
    <w:rsid w:val="67DA707C"/>
    <w:rsid w:val="6829158B"/>
    <w:rsid w:val="68472DEF"/>
    <w:rsid w:val="6887506B"/>
    <w:rsid w:val="68BC6E36"/>
    <w:rsid w:val="68F25C1A"/>
    <w:rsid w:val="69006D41"/>
    <w:rsid w:val="693166C1"/>
    <w:rsid w:val="69980654"/>
    <w:rsid w:val="69C94048"/>
    <w:rsid w:val="6A6D7B5E"/>
    <w:rsid w:val="6A7F2478"/>
    <w:rsid w:val="6B2C33BF"/>
    <w:rsid w:val="6B6F310C"/>
    <w:rsid w:val="6B9A7E08"/>
    <w:rsid w:val="6C3B48FD"/>
    <w:rsid w:val="6C753545"/>
    <w:rsid w:val="6C8F4D20"/>
    <w:rsid w:val="6D026C45"/>
    <w:rsid w:val="6DA54000"/>
    <w:rsid w:val="6DAB3BD1"/>
    <w:rsid w:val="6DF00B69"/>
    <w:rsid w:val="6E7A1168"/>
    <w:rsid w:val="6EB50A48"/>
    <w:rsid w:val="6FD929CD"/>
    <w:rsid w:val="702A0EC1"/>
    <w:rsid w:val="713716BE"/>
    <w:rsid w:val="721736AE"/>
    <w:rsid w:val="72E240CC"/>
    <w:rsid w:val="73C6500C"/>
    <w:rsid w:val="73E13748"/>
    <w:rsid w:val="7419513C"/>
    <w:rsid w:val="75B77D6C"/>
    <w:rsid w:val="767B0948"/>
    <w:rsid w:val="769C7F3D"/>
    <w:rsid w:val="770F73B8"/>
    <w:rsid w:val="774279A2"/>
    <w:rsid w:val="78441562"/>
    <w:rsid w:val="7877673D"/>
    <w:rsid w:val="789C633C"/>
    <w:rsid w:val="79383721"/>
    <w:rsid w:val="79A554C3"/>
    <w:rsid w:val="7A7C1CDD"/>
    <w:rsid w:val="7B237DE0"/>
    <w:rsid w:val="7B9F23CB"/>
    <w:rsid w:val="7BD50A58"/>
    <w:rsid w:val="7BF205C9"/>
    <w:rsid w:val="7C560CD7"/>
    <w:rsid w:val="7D171CB3"/>
    <w:rsid w:val="7D1E6F5B"/>
    <w:rsid w:val="7D42745D"/>
    <w:rsid w:val="7DB774BF"/>
    <w:rsid w:val="7DD00CA8"/>
    <w:rsid w:val="7E2275FD"/>
    <w:rsid w:val="7E31680D"/>
    <w:rsid w:val="7E336331"/>
    <w:rsid w:val="7E6119AF"/>
    <w:rsid w:val="7EA217D5"/>
    <w:rsid w:val="7FC04123"/>
    <w:rsid w:val="7FD20A04"/>
    <w:rsid w:val="EF96C7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21"/>
    <w:qFormat/>
    <w:uiPriority w:val="9"/>
    <w:pPr>
      <w:keepNext/>
      <w:keepLines/>
      <w:ind w:firstLine="0" w:firstLineChars="0"/>
      <w:outlineLvl w:val="0"/>
    </w:pPr>
    <w:rPr>
      <w:b/>
      <w:bCs/>
      <w:kern w:val="44"/>
      <w:sz w:val="32"/>
      <w:szCs w:val="44"/>
    </w:rPr>
  </w:style>
  <w:style w:type="paragraph" w:styleId="3">
    <w:name w:val="heading 2"/>
    <w:basedOn w:val="1"/>
    <w:next w:val="1"/>
    <w:link w:val="22"/>
    <w:unhideWhenUsed/>
    <w:qFormat/>
    <w:uiPriority w:val="9"/>
    <w:pPr>
      <w:keepNext/>
      <w:keepLines/>
      <w:ind w:firstLine="0" w:firstLineChars="0"/>
      <w:outlineLvl w:val="1"/>
    </w:pPr>
    <w:rPr>
      <w:rFonts w:cstheme="majorBidi"/>
      <w:b/>
      <w:bCs/>
      <w:sz w:val="28"/>
      <w:szCs w:val="32"/>
    </w:rPr>
  </w:style>
  <w:style w:type="paragraph" w:styleId="4">
    <w:name w:val="heading 3"/>
    <w:basedOn w:val="1"/>
    <w:next w:val="1"/>
    <w:link w:val="23"/>
    <w:unhideWhenUsed/>
    <w:qFormat/>
    <w:uiPriority w:val="9"/>
    <w:pPr>
      <w:keepNext/>
      <w:keepLines/>
      <w:ind w:firstLine="0" w:firstLineChars="0"/>
      <w:outlineLvl w:val="2"/>
    </w:pPr>
    <w:rPr>
      <w:b/>
      <w:bCs/>
      <w:szCs w:val="32"/>
    </w:rPr>
  </w:style>
  <w:style w:type="paragraph" w:styleId="5">
    <w:name w:val="heading 4"/>
    <w:basedOn w:val="1"/>
    <w:next w:val="1"/>
    <w:link w:val="24"/>
    <w:semiHidden/>
    <w:unhideWhenUsed/>
    <w:qFormat/>
    <w:uiPriority w:val="9"/>
    <w:pPr>
      <w:keepNext/>
      <w:keepLines/>
      <w:ind w:firstLine="0" w:firstLineChars="0"/>
      <w:outlineLvl w:val="3"/>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99"/>
    <w:pPr>
      <w:ind w:firstLine="420"/>
    </w:pPr>
    <w:rPr>
      <w:szCs w:val="20"/>
    </w:rPr>
  </w:style>
  <w:style w:type="paragraph" w:styleId="7">
    <w:name w:val="annotation text"/>
    <w:basedOn w:val="1"/>
    <w:link w:val="26"/>
    <w:unhideWhenUsed/>
    <w:qFormat/>
    <w:uiPriority w:val="99"/>
    <w:pPr>
      <w:widowControl/>
      <w:adjustRightInd w:val="0"/>
      <w:snapToGrid w:val="0"/>
      <w:spacing w:line="240" w:lineRule="auto"/>
      <w:ind w:firstLine="0" w:firstLineChars="0"/>
      <w:jc w:val="left"/>
    </w:pPr>
    <w:rPr>
      <w:rFonts w:cstheme="minorBidi"/>
      <w:kern w:val="0"/>
      <w:sz w:val="21"/>
    </w:rPr>
  </w:style>
  <w:style w:type="paragraph" w:styleId="8">
    <w:name w:val="Body Text"/>
    <w:basedOn w:val="1"/>
    <w:next w:val="1"/>
    <w:qFormat/>
    <w:uiPriority w:val="0"/>
    <w:pPr>
      <w:widowControl/>
      <w:snapToGrid w:val="0"/>
      <w:spacing w:before="60" w:after="160" w:line="259" w:lineRule="auto"/>
      <w:ind w:right="113"/>
    </w:pPr>
    <w:rPr>
      <w:kern w:val="0"/>
      <w:sz w:val="18"/>
      <w:szCs w:val="20"/>
    </w:rPr>
  </w:style>
  <w:style w:type="paragraph" w:styleId="9">
    <w:name w:val="Balloon Text"/>
    <w:basedOn w:val="1"/>
    <w:link w:val="27"/>
    <w:semiHidden/>
    <w:unhideWhenUsed/>
    <w:qFormat/>
    <w:uiPriority w:val="99"/>
    <w:pPr>
      <w:spacing w:line="240" w:lineRule="auto"/>
    </w:pPr>
    <w:rPr>
      <w:sz w:val="18"/>
      <w:szCs w:val="18"/>
    </w:rPr>
  </w:style>
  <w:style w:type="paragraph" w:styleId="10">
    <w:name w:val="footer"/>
    <w:basedOn w:val="1"/>
    <w:link w:val="31"/>
    <w:unhideWhenUsed/>
    <w:qFormat/>
    <w:uiPriority w:val="99"/>
    <w:pPr>
      <w:tabs>
        <w:tab w:val="center" w:pos="4153"/>
        <w:tab w:val="right" w:pos="8306"/>
      </w:tabs>
      <w:snapToGrid w:val="0"/>
      <w:spacing w:line="240" w:lineRule="auto"/>
      <w:jc w:val="left"/>
    </w:pPr>
    <w:rPr>
      <w:sz w:val="18"/>
      <w:szCs w:val="18"/>
    </w:rPr>
  </w:style>
  <w:style w:type="paragraph" w:styleId="11">
    <w:name w:val="header"/>
    <w:basedOn w:val="1"/>
    <w:link w:val="3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List"/>
    <w:basedOn w:val="1"/>
    <w:qFormat/>
    <w:uiPriority w:val="0"/>
    <w:pPr>
      <w:ind w:left="200" w:hanging="200" w:hangingChars="200"/>
      <w:jc w:val="center"/>
    </w:pPr>
  </w:style>
  <w:style w:type="paragraph" w:styleId="13">
    <w:name w:val="Normal (Web)"/>
    <w:basedOn w:val="1"/>
    <w:link w:val="25"/>
    <w:qFormat/>
    <w:uiPriority w:val="0"/>
    <w:pPr>
      <w:widowControl/>
      <w:spacing w:before="100" w:beforeAutospacing="1" w:after="100" w:afterAutospacing="1" w:line="240" w:lineRule="auto"/>
      <w:ind w:firstLine="0" w:firstLineChars="0"/>
      <w:jc w:val="left"/>
    </w:pPr>
    <w:rPr>
      <w:rFonts w:ascii="宋体" w:hAnsi="宋体" w:cstheme="minorBidi"/>
    </w:rPr>
  </w:style>
  <w:style w:type="paragraph" w:styleId="14">
    <w:name w:val="annotation subject"/>
    <w:basedOn w:val="7"/>
    <w:next w:val="7"/>
    <w:link w:val="32"/>
    <w:semiHidden/>
    <w:unhideWhenUsed/>
    <w:qFormat/>
    <w:uiPriority w:val="99"/>
    <w:pPr>
      <w:widowControl w:val="0"/>
      <w:adjustRightInd/>
      <w:snapToGrid/>
      <w:spacing w:line="360" w:lineRule="auto"/>
      <w:ind w:firstLine="200" w:firstLineChars="200"/>
    </w:pPr>
    <w:rPr>
      <w:rFonts w:cs="Times New Roman"/>
      <w:b/>
      <w:bCs/>
      <w:kern w:val="2"/>
      <w:sz w:val="24"/>
    </w:rPr>
  </w:style>
  <w:style w:type="paragraph" w:styleId="15">
    <w:name w:val="Body Text First Indent"/>
    <w:basedOn w:val="1"/>
    <w:qFormat/>
    <w:uiPriority w:val="0"/>
    <w:pPr>
      <w:spacing w:line="240" w:lineRule="auto"/>
      <w:ind w:firstLine="420" w:firstLineChars="0"/>
    </w:pPr>
    <w:rPr>
      <w:rFonts w:ascii="Times New Roman" w:hAnsi="Times New Roman"/>
      <w:sz w:val="24"/>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annotation reference"/>
    <w:basedOn w:val="18"/>
    <w:semiHidden/>
    <w:unhideWhenUsed/>
    <w:qFormat/>
    <w:uiPriority w:val="99"/>
    <w:rPr>
      <w:sz w:val="21"/>
      <w:szCs w:val="21"/>
    </w:rPr>
  </w:style>
  <w:style w:type="character" w:customStyle="1" w:styleId="21">
    <w:name w:val="标题 1 Char"/>
    <w:basedOn w:val="18"/>
    <w:link w:val="2"/>
    <w:qFormat/>
    <w:uiPriority w:val="9"/>
    <w:rPr>
      <w:rFonts w:cs="Times New Roman"/>
      <w:b/>
      <w:bCs/>
      <w:kern w:val="44"/>
      <w:sz w:val="32"/>
      <w:szCs w:val="44"/>
    </w:rPr>
  </w:style>
  <w:style w:type="character" w:customStyle="1" w:styleId="22">
    <w:name w:val="标题 2 Char"/>
    <w:basedOn w:val="18"/>
    <w:link w:val="3"/>
    <w:qFormat/>
    <w:uiPriority w:val="9"/>
    <w:rPr>
      <w:rFonts w:cstheme="majorBidi"/>
      <w:b/>
      <w:bCs/>
      <w:sz w:val="28"/>
      <w:szCs w:val="32"/>
    </w:rPr>
  </w:style>
  <w:style w:type="character" w:customStyle="1" w:styleId="23">
    <w:name w:val="标题 3 Char"/>
    <w:basedOn w:val="18"/>
    <w:link w:val="4"/>
    <w:qFormat/>
    <w:uiPriority w:val="9"/>
    <w:rPr>
      <w:b/>
      <w:bCs/>
      <w:szCs w:val="32"/>
    </w:rPr>
  </w:style>
  <w:style w:type="character" w:customStyle="1" w:styleId="24">
    <w:name w:val="标题 4 Char"/>
    <w:basedOn w:val="18"/>
    <w:link w:val="5"/>
    <w:qFormat/>
    <w:uiPriority w:val="9"/>
    <w:rPr>
      <w:rFonts w:cs="Times New Roman"/>
      <w:b/>
      <w:bCs/>
      <w:sz w:val="28"/>
      <w:szCs w:val="28"/>
    </w:rPr>
  </w:style>
  <w:style w:type="character" w:customStyle="1" w:styleId="25">
    <w:name w:val="普通(网站) Char"/>
    <w:link w:val="13"/>
    <w:qFormat/>
    <w:locked/>
    <w:uiPriority w:val="0"/>
    <w:rPr>
      <w:rFonts w:ascii="宋体" w:hAnsi="宋体"/>
    </w:rPr>
  </w:style>
  <w:style w:type="character" w:customStyle="1" w:styleId="26">
    <w:name w:val="批注文字 Char"/>
    <w:basedOn w:val="18"/>
    <w:link w:val="7"/>
    <w:qFormat/>
    <w:uiPriority w:val="0"/>
    <w:rPr>
      <w:kern w:val="0"/>
      <w:sz w:val="21"/>
    </w:rPr>
  </w:style>
  <w:style w:type="character" w:customStyle="1" w:styleId="27">
    <w:name w:val="批注框文本 Char"/>
    <w:basedOn w:val="18"/>
    <w:link w:val="9"/>
    <w:semiHidden/>
    <w:qFormat/>
    <w:uiPriority w:val="99"/>
    <w:rPr>
      <w:rFonts w:cs="Times New Roman"/>
      <w:sz w:val="18"/>
      <w:szCs w:val="18"/>
    </w:rPr>
  </w:style>
  <w:style w:type="paragraph" w:styleId="28">
    <w:name w:val="No Spacing"/>
    <w:link w:val="29"/>
    <w:qFormat/>
    <w:uiPriority w:val="1"/>
    <w:pPr>
      <w:widowControl w:val="0"/>
      <w:adjustRightInd w:val="0"/>
      <w:snapToGrid w:val="0"/>
      <w:spacing w:line="360" w:lineRule="auto"/>
      <w:jc w:val="center"/>
      <w:textAlignment w:val="baseline"/>
    </w:pPr>
    <w:rPr>
      <w:rFonts w:ascii="Times New Roman" w:hAnsi="Times New Roman" w:eastAsia="宋体" w:cs="Times New Roman"/>
      <w:b/>
      <w:kern w:val="0"/>
      <w:sz w:val="21"/>
      <w:szCs w:val="20"/>
      <w:lang w:val="en-US" w:eastAsia="zh-CN" w:bidi="ar-SA"/>
    </w:rPr>
  </w:style>
  <w:style w:type="character" w:customStyle="1" w:styleId="29">
    <w:name w:val="无间隔 Char"/>
    <w:link w:val="28"/>
    <w:qFormat/>
    <w:locked/>
    <w:uiPriority w:val="1"/>
    <w:rPr>
      <w:rFonts w:cs="Times New Roman"/>
      <w:b/>
      <w:kern w:val="0"/>
      <w:sz w:val="21"/>
      <w:szCs w:val="20"/>
    </w:rPr>
  </w:style>
  <w:style w:type="character" w:customStyle="1" w:styleId="30">
    <w:name w:val="页眉 Char"/>
    <w:basedOn w:val="18"/>
    <w:link w:val="11"/>
    <w:qFormat/>
    <w:uiPriority w:val="99"/>
    <w:rPr>
      <w:rFonts w:cs="Times New Roman"/>
      <w:sz w:val="18"/>
      <w:szCs w:val="18"/>
    </w:rPr>
  </w:style>
  <w:style w:type="character" w:customStyle="1" w:styleId="31">
    <w:name w:val="页脚 Char"/>
    <w:basedOn w:val="18"/>
    <w:link w:val="10"/>
    <w:qFormat/>
    <w:uiPriority w:val="99"/>
    <w:rPr>
      <w:rFonts w:cs="Times New Roman"/>
      <w:sz w:val="18"/>
      <w:szCs w:val="18"/>
    </w:rPr>
  </w:style>
  <w:style w:type="character" w:customStyle="1" w:styleId="32">
    <w:name w:val="批注主题 Char"/>
    <w:basedOn w:val="26"/>
    <w:link w:val="14"/>
    <w:semiHidden/>
    <w:qFormat/>
    <w:uiPriority w:val="99"/>
    <w:rPr>
      <w:rFonts w:cs="Times New Roman"/>
      <w:b/>
      <w:bCs/>
      <w:kern w:val="0"/>
      <w:sz w:val="21"/>
    </w:rPr>
  </w:style>
  <w:style w:type="character" w:styleId="33">
    <w:name w:val="Placeholder Text"/>
    <w:basedOn w:val="18"/>
    <w:semiHidden/>
    <w:qFormat/>
    <w:uiPriority w:val="99"/>
    <w:rPr>
      <w:color w:val="808080"/>
    </w:rPr>
  </w:style>
  <w:style w:type="character" w:customStyle="1" w:styleId="34">
    <w:name w:val="表格 Char"/>
    <w:link w:val="35"/>
    <w:qFormat/>
    <w:locked/>
    <w:uiPriority w:val="0"/>
    <w:rPr>
      <w:rFonts w:ascii="宋体"/>
      <w:sz w:val="21"/>
    </w:rPr>
  </w:style>
  <w:style w:type="paragraph" w:customStyle="1" w:styleId="35">
    <w:name w:val="表格"/>
    <w:basedOn w:val="12"/>
    <w:next w:val="1"/>
    <w:link w:val="34"/>
    <w:qFormat/>
    <w:uiPriority w:val="0"/>
    <w:pPr>
      <w:adjustRightInd w:val="0"/>
      <w:snapToGrid w:val="0"/>
      <w:spacing w:beforeLines="10" w:afterLines="10" w:line="259" w:lineRule="auto"/>
      <w:ind w:firstLine="0" w:firstLineChars="0"/>
      <w:jc w:val="center"/>
    </w:pPr>
    <w:rPr>
      <w:rFonts w:ascii="宋体" w:cstheme="minorBidi"/>
      <w:sz w:val="21"/>
    </w:rPr>
  </w:style>
  <w:style w:type="paragraph" w:customStyle="1" w:styleId="36">
    <w:name w:val="Table Paragraph"/>
    <w:basedOn w:val="1"/>
    <w:semiHidden/>
    <w:qFormat/>
    <w:uiPriority w:val="0"/>
    <w:pPr>
      <w:widowControl/>
      <w:spacing w:line="240" w:lineRule="auto"/>
      <w:ind w:firstLine="0" w:firstLineChars="0"/>
      <w:jc w:val="left"/>
    </w:pPr>
    <w:rPr>
      <w:rFonts w:ascii="Calibri" w:hAnsi="Calibri" w:cs="Calibri"/>
      <w:kern w:val="0"/>
      <w:sz w:val="22"/>
    </w:rPr>
  </w:style>
  <w:style w:type="character" w:customStyle="1" w:styleId="37">
    <w:name w:val="fontstyle01"/>
    <w:qFormat/>
    <w:uiPriority w:val="0"/>
    <w:rPr>
      <w:rFonts w:hint="eastAsia" w:ascii="宋体" w:hAnsi="宋体" w:eastAsia="宋体"/>
      <w:color w:val="000000"/>
      <w:sz w:val="24"/>
      <w:szCs w:val="24"/>
    </w:rPr>
  </w:style>
  <w:style w:type="paragraph" w:customStyle="1" w:styleId="38">
    <w:name w:val="表格内格式"/>
    <w:basedOn w:val="1"/>
    <w:next w:val="1"/>
    <w:qFormat/>
    <w:uiPriority w:val="0"/>
    <w:pPr>
      <w:widowControl/>
      <w:spacing w:line="360" w:lineRule="exact"/>
      <w:jc w:val="center"/>
    </w:pPr>
    <w:rPr>
      <w:kern w:val="0"/>
      <w:szCs w:val="21"/>
    </w:rPr>
  </w:style>
  <w:style w:type="paragraph" w:customStyle="1" w:styleId="39">
    <w:name w:val="p0"/>
    <w:basedOn w:val="1"/>
    <w:qFormat/>
    <w:uiPriority w:val="0"/>
    <w:pPr>
      <w:widowControl/>
    </w:pPr>
    <w:rPr>
      <w:kern w:val="0"/>
      <w:szCs w:val="21"/>
    </w:rPr>
  </w:style>
  <w:style w:type="paragraph" w:customStyle="1" w:styleId="40">
    <w:name w:val="正文1"/>
    <w:basedOn w:val="1"/>
    <w:qFormat/>
    <w:uiPriority w:val="0"/>
    <w:pPr>
      <w:tabs>
        <w:tab w:val="left" w:pos="22680"/>
      </w:tabs>
      <w:spacing w:line="360" w:lineRule="auto"/>
      <w:ind w:firstLine="602" w:firstLineChars="200"/>
      <w:jc w:val="left"/>
    </w:pPr>
    <w:rPr>
      <w:rFonts w:ascii="宋体" w:hAnsi="宋体"/>
      <w:sz w:val="24"/>
      <w:szCs w:val="20"/>
    </w:rPr>
  </w:style>
  <w:style w:type="paragraph" w:customStyle="1" w:styleId="41">
    <w:name w:val="标准正文"/>
    <w:basedOn w:val="1"/>
    <w:qFormat/>
    <w:uiPriority w:val="0"/>
    <w:pPr>
      <w:spacing w:line="360" w:lineRule="auto"/>
      <w:ind w:firstLine="480" w:firstLineChars="200"/>
    </w:pPr>
    <w:rPr>
      <w:rFonts w:hAnsi="宋体"/>
      <w:sz w:val="24"/>
    </w:rPr>
  </w:style>
  <w:style w:type="paragraph" w:customStyle="1" w:styleId="42">
    <w:name w:val="HJ-表格"/>
    <w:basedOn w:val="1"/>
    <w:qFormat/>
    <w:uiPriority w:val="0"/>
    <w:pPr>
      <w:widowControl w:val="0"/>
      <w:adjustRightInd/>
      <w:snapToGrid/>
      <w:spacing w:after="0"/>
      <w:jc w:val="center"/>
    </w:pPr>
    <w:rPr>
      <w:rFonts w:asciiTheme="minorHAnsi" w:hAnsiTheme="minorHAnsi"/>
      <w:b/>
      <w:sz w:val="18"/>
    </w:rPr>
  </w:style>
  <w:style w:type="paragraph" w:customStyle="1" w:styleId="43">
    <w:name w:val="正文（用）"/>
    <w:basedOn w:val="1"/>
    <w:qFormat/>
    <w:uiPriority w:val="0"/>
    <w:pPr>
      <w:widowControl w:val="0"/>
      <w:adjustRightInd/>
      <w:snapToGrid/>
      <w:spacing w:after="0" w:line="360" w:lineRule="auto"/>
      <w:ind w:firstLine="480" w:firstLineChars="200"/>
    </w:pPr>
    <w:rPr>
      <w:rFonts w:ascii="宋体" w:hAnsi="宋体" w:eastAsia="宋体" w:cs="宋体"/>
      <w:kern w:val="2"/>
      <w:sz w:val="24"/>
      <w:szCs w:val="20"/>
    </w:rPr>
  </w:style>
  <w:style w:type="paragraph" w:customStyle="1" w:styleId="44">
    <w:name w:val="表格文字2"/>
    <w:basedOn w:val="1"/>
    <w:qFormat/>
    <w:uiPriority w:val="0"/>
    <w:pPr>
      <w:jc w:val="center"/>
    </w:pPr>
    <w:rPr>
      <w:rFonts w:ascii="宋体" w:hAnsi="宋体" w:eastAsiaTheme="minorEastAsia" w:cstheme="minorBidi"/>
      <w:color w:val="000000"/>
      <w:szCs w:val="21"/>
    </w:rPr>
  </w:style>
  <w:style w:type="paragraph" w:customStyle="1" w:styleId="45">
    <w:name w:val="正文表格"/>
    <w:basedOn w:val="1"/>
    <w:qFormat/>
    <w:uiPriority w:val="0"/>
    <w:pPr>
      <w:jc w:val="center"/>
    </w:pPr>
  </w:style>
  <w:style w:type="paragraph" w:customStyle="1" w:styleId="46">
    <w:name w:val="项目表正文"/>
    <w:basedOn w:val="1"/>
    <w:link w:val="47"/>
    <w:qFormat/>
    <w:uiPriority w:val="0"/>
    <w:pPr>
      <w:spacing w:line="360" w:lineRule="auto"/>
      <w:ind w:firstLine="480" w:firstLineChars="200"/>
    </w:pPr>
    <w:rPr>
      <w:color w:val="000000"/>
      <w:sz w:val="24"/>
    </w:rPr>
  </w:style>
  <w:style w:type="character" w:customStyle="1" w:styleId="47">
    <w:name w:val="项目表正文 Char"/>
    <w:basedOn w:val="18"/>
    <w:link w:val="46"/>
    <w:qFormat/>
    <w:uiPriority w:val="0"/>
    <w:rPr>
      <w:color w:val="000000"/>
      <w:sz w:val="24"/>
    </w:rPr>
  </w:style>
  <w:style w:type="paragraph" w:styleId="48">
    <w:name w:val="List Paragraph"/>
    <w:basedOn w:val="1"/>
    <w:qFormat/>
    <w:uiPriority w:val="34"/>
    <w:pPr>
      <w:ind w:firstLine="420" w:firstLineChars="200"/>
    </w:pPr>
  </w:style>
  <w:style w:type="paragraph" w:customStyle="1" w:styleId="49">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
    <w:name w:val="正文表格内容"/>
    <w:basedOn w:val="45"/>
    <w:qFormat/>
    <w:uiPriority w:val="0"/>
    <w:rPr>
      <w:bCs/>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3F07A1-71CB-4D00-882E-BC81F1615A2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76</Pages>
  <Words>5065</Words>
  <Characters>5298</Characters>
  <Lines>419</Lines>
  <Paragraphs>117</Paragraphs>
  <TotalTime>55</TotalTime>
  <ScaleCrop>false</ScaleCrop>
  <LinksUpToDate>false</LinksUpToDate>
  <CharactersWithSpaces>5374</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2021-04-06T17:40:00Z</dcterms:created>
  <dc:creator>john</dc:creator>
  <cp:lastModifiedBy>快乐无忧</cp:lastModifiedBy>
  <cp:lastPrinted>2021-04-14T16:54:00Z</cp:lastPrinted>
  <dcterms:modified xsi:type="dcterms:W3CDTF">2026-05-07T01:48:17Z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C87842B7AA724FB2833600C109E545ED</vt:lpwstr>
  </property>
  <property fmtid="{D5CDD505-2E9C-101B-9397-08002B2CF9AE}" pid="4" name="KSOTemplateDocerSaveRecord">
    <vt:lpwstr>eyJoZGlkIjoiNjIwNzMwNjkwNGRiOWRiOTdlZmRlYjYxNjE2OTVjODUiLCJ1c2VySWQiOiIzNTk5NzQ1MjcifQ==</vt:lpwstr>
  </property>
</Properties>
</file>