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BCC88">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B0000" w:fill="FFFFFF"/>
        </w:rPr>
      </w:pPr>
    </w:p>
    <w:p w14:paraId="38C228DE">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B0000" w:fill="FFFFFF"/>
        </w:rPr>
      </w:pPr>
    </w:p>
    <w:p w14:paraId="0BA68D9D">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B0000" w:fill="FFFFFF"/>
        </w:rPr>
      </w:pPr>
    </w:p>
    <w:p w14:paraId="0F938605">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B0000" w:fill="FFFFFF"/>
        </w:rPr>
      </w:pPr>
    </w:p>
    <w:p w14:paraId="29893A52">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B0000" w:fill="FFFFFF"/>
        </w:rPr>
      </w:pPr>
    </w:p>
    <w:p w14:paraId="108F20BA">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B0000" w:fill="FFFFFF"/>
        </w:rPr>
      </w:pPr>
    </w:p>
    <w:p w14:paraId="5DE7373E">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B0000" w:fill="FFFFFF"/>
        </w:rPr>
      </w:pPr>
    </w:p>
    <w:p w14:paraId="0A3F1DCB">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B0000" w:fill="FFFFFF"/>
        </w:rPr>
      </w:pPr>
    </w:p>
    <w:p w14:paraId="6B2CA47B">
      <w:pPr>
        <w:widowControl/>
        <w:shd w:val="clear" w:color="050000" w:fill="FFFFFF"/>
        <w:autoSpaceDE w:val="0"/>
        <w:autoSpaceDN w:val="0"/>
        <w:adjustRightInd w:val="0"/>
        <w:snapToGrid w:val="0"/>
        <w:spacing w:line="560" w:lineRule="atLeast"/>
        <w:textAlignment w:val="baseline"/>
        <w:rPr>
          <w:rFonts w:hint="eastAsia" w:ascii="方正小标宋简体" w:hAnsi="方正小标宋简体" w:eastAsia="方正小标宋简体" w:cs="方正小标宋简体"/>
          <w:snapToGrid w:val="0"/>
          <w:kern w:val="0"/>
          <w:sz w:val="44"/>
          <w:szCs w:val="44"/>
          <w:shd w:val="clear" w:color="0B0000" w:fill="FFFFFF"/>
        </w:rPr>
      </w:pPr>
      <w:r>
        <w:rPr>
          <w:rFonts w:hint="eastAsia" w:ascii="方正小标宋简体" w:hAnsi="方正小标宋简体" w:eastAsia="方正小标宋简体" w:cs="方正小标宋简体"/>
          <w:snapToGrid w:val="0"/>
          <w:kern w:val="0"/>
          <w:sz w:val="44"/>
          <w:szCs w:val="44"/>
          <w:shd w:val="clear" w:color="0B0000" w:fill="FFFFFF"/>
        </w:rPr>
        <w:t xml:space="preserve">                   </w:t>
      </w:r>
    </w:p>
    <w:p w14:paraId="4A4DEC28">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C0000" w:fill="FFFFFF"/>
        </w:rPr>
      </w:pPr>
      <w:r>
        <w:rPr>
          <w:rFonts w:hint="eastAsia" w:ascii="方正小标宋简体" w:hAnsi="方正小标宋简体" w:eastAsia="方正小标宋简体" w:cs="方正小标宋简体"/>
          <w:snapToGrid w:val="0"/>
          <w:kern w:val="0"/>
          <w:sz w:val="44"/>
          <w:szCs w:val="44"/>
          <w:shd w:val="clear" w:color="0B0000" w:fill="FFFFFF"/>
        </w:rPr>
        <w:t>常德经济技术开发区枫树岗</w:t>
      </w:r>
    </w:p>
    <w:p w14:paraId="2A69A9E0">
      <w:pPr>
        <w:widowControl/>
        <w:shd w:val="clear" w:color="050000" w:fill="FFFFFF"/>
        <w:autoSpaceDE w:val="0"/>
        <w:autoSpaceDN w:val="0"/>
        <w:adjustRightInd w:val="0"/>
        <w:snapToGrid w:val="0"/>
        <w:spacing w:line="560" w:lineRule="atLeast"/>
        <w:jc w:val="center"/>
        <w:textAlignment w:val="baseline"/>
        <w:rPr>
          <w:rFonts w:hint="eastAsia" w:ascii="方正小标宋简体" w:hAnsi="方正小标宋简体" w:eastAsia="方正小标宋简体" w:cs="方正小标宋简体"/>
          <w:snapToGrid w:val="0"/>
          <w:kern w:val="0"/>
          <w:sz w:val="44"/>
          <w:szCs w:val="44"/>
          <w:shd w:val="clear" w:color="0B0000" w:fill="FFFFFF"/>
        </w:rPr>
      </w:pPr>
      <w:r>
        <w:rPr>
          <w:rFonts w:hint="eastAsia" w:ascii="方正小标宋简体" w:hAnsi="方正小标宋简体" w:eastAsia="方正小标宋简体" w:cs="方正小标宋简体"/>
          <w:snapToGrid w:val="0"/>
          <w:kern w:val="0"/>
          <w:sz w:val="44"/>
          <w:szCs w:val="44"/>
          <w:shd w:val="clear" w:color="0B0000" w:fill="FFFFFF"/>
        </w:rPr>
        <w:t>化工片区安全生产管理制度汇编</w:t>
      </w:r>
    </w:p>
    <w:p w14:paraId="32A6CD11">
      <w:pPr>
        <w:widowControl/>
        <w:shd w:val="clear" w:color="060000" w:fill="FFFFFF"/>
        <w:autoSpaceDE w:val="0"/>
        <w:autoSpaceDN w:val="0"/>
        <w:adjustRightInd w:val="0"/>
        <w:snapToGrid w:val="0"/>
        <w:spacing w:line="560" w:lineRule="atLeast"/>
        <w:jc w:val="center"/>
        <w:textAlignment w:val="baseline"/>
        <w:rPr>
          <w:rFonts w:ascii="Times New Roman" w:hAnsi="Times New Roman" w:eastAsia="仿宋" w:cs="Arial"/>
          <w:b/>
          <w:bCs/>
          <w:snapToGrid w:val="0"/>
          <w:kern w:val="0"/>
          <w:sz w:val="52"/>
          <w:szCs w:val="52"/>
          <w:shd w:val="clear" w:color="0B0000" w:fill="FFFFFF"/>
        </w:rPr>
      </w:pPr>
    </w:p>
    <w:p w14:paraId="4415E516">
      <w:pPr>
        <w:widowControl/>
        <w:shd w:val="clear" w:color="060000" w:fill="FFFFFF"/>
        <w:autoSpaceDE w:val="0"/>
        <w:autoSpaceDN w:val="0"/>
        <w:adjustRightInd w:val="0"/>
        <w:snapToGrid w:val="0"/>
        <w:spacing w:line="560" w:lineRule="atLeast"/>
        <w:jc w:val="center"/>
        <w:textAlignment w:val="baseline"/>
        <w:rPr>
          <w:rFonts w:ascii="Times New Roman" w:hAnsi="Times New Roman" w:eastAsia="仿宋" w:cs="Arial"/>
          <w:b/>
          <w:bCs/>
          <w:snapToGrid w:val="0"/>
          <w:kern w:val="0"/>
          <w:sz w:val="52"/>
          <w:szCs w:val="52"/>
          <w:shd w:val="clear" w:color="0B0000" w:fill="FFFFFF"/>
        </w:rPr>
      </w:pPr>
    </w:p>
    <w:p w14:paraId="170243A7">
      <w:pPr>
        <w:widowControl/>
        <w:shd w:val="clear" w:color="060000" w:fill="FFFFFF"/>
        <w:autoSpaceDE w:val="0"/>
        <w:autoSpaceDN w:val="0"/>
        <w:adjustRightInd w:val="0"/>
        <w:snapToGrid w:val="0"/>
        <w:spacing w:line="560" w:lineRule="atLeast"/>
        <w:jc w:val="center"/>
        <w:textAlignment w:val="baseline"/>
        <w:rPr>
          <w:rFonts w:ascii="Times New Roman" w:hAnsi="Times New Roman" w:eastAsia="宋体" w:cs="Arial"/>
          <w:snapToGrid w:val="0"/>
          <w:kern w:val="0"/>
          <w:sz w:val="32"/>
          <w:szCs w:val="32"/>
          <w:shd w:val="clear" w:color="0B0000" w:fill="FFFFFF"/>
        </w:rPr>
      </w:pPr>
    </w:p>
    <w:p w14:paraId="4CEA1C28">
      <w:pPr>
        <w:widowControl/>
        <w:shd w:val="clear" w:color="060000" w:fill="FFFFFF"/>
        <w:autoSpaceDE w:val="0"/>
        <w:autoSpaceDN w:val="0"/>
        <w:adjustRightInd w:val="0"/>
        <w:snapToGrid w:val="0"/>
        <w:spacing w:line="560" w:lineRule="atLeast"/>
        <w:jc w:val="center"/>
        <w:textAlignment w:val="baseline"/>
        <w:rPr>
          <w:rFonts w:ascii="Times New Roman" w:hAnsi="Times New Roman" w:eastAsia="宋体" w:cs="Arial"/>
          <w:snapToGrid w:val="0"/>
          <w:kern w:val="0"/>
          <w:sz w:val="32"/>
          <w:szCs w:val="32"/>
          <w:shd w:val="clear" w:color="0B0000" w:fill="FFFFFF"/>
        </w:rPr>
      </w:pPr>
    </w:p>
    <w:p w14:paraId="4C47171A">
      <w:pPr>
        <w:widowControl/>
        <w:shd w:val="clear" w:color="060000" w:fill="FFFFFF"/>
        <w:autoSpaceDE w:val="0"/>
        <w:autoSpaceDN w:val="0"/>
        <w:adjustRightInd w:val="0"/>
        <w:snapToGrid w:val="0"/>
        <w:spacing w:line="560" w:lineRule="atLeast"/>
        <w:jc w:val="center"/>
        <w:textAlignment w:val="baseline"/>
        <w:rPr>
          <w:rFonts w:ascii="Times New Roman" w:hAnsi="Times New Roman" w:eastAsia="宋体" w:cs="Arial"/>
          <w:snapToGrid w:val="0"/>
          <w:kern w:val="0"/>
          <w:sz w:val="32"/>
          <w:szCs w:val="32"/>
          <w:shd w:val="clear" w:color="0B0000" w:fill="FFFFFF"/>
        </w:rPr>
      </w:pPr>
    </w:p>
    <w:p w14:paraId="5E4E21DA">
      <w:pPr>
        <w:widowControl/>
        <w:shd w:val="clear" w:color="060000" w:fill="FFFFFF"/>
        <w:autoSpaceDE w:val="0"/>
        <w:autoSpaceDN w:val="0"/>
        <w:adjustRightInd w:val="0"/>
        <w:snapToGrid w:val="0"/>
        <w:spacing w:line="560" w:lineRule="atLeast"/>
        <w:jc w:val="center"/>
        <w:textAlignment w:val="baseline"/>
        <w:rPr>
          <w:rFonts w:ascii="Times New Roman" w:hAnsi="Times New Roman" w:eastAsia="宋体" w:cs="Arial"/>
          <w:snapToGrid w:val="0"/>
          <w:kern w:val="0"/>
          <w:sz w:val="32"/>
          <w:szCs w:val="32"/>
          <w:shd w:val="clear" w:color="0B0000" w:fill="FFFFFF"/>
        </w:rPr>
      </w:pPr>
    </w:p>
    <w:p w14:paraId="76758720">
      <w:pPr>
        <w:widowControl/>
        <w:shd w:val="clear" w:color="060000" w:fill="FFFFFF"/>
        <w:autoSpaceDE w:val="0"/>
        <w:autoSpaceDN w:val="0"/>
        <w:adjustRightInd w:val="0"/>
        <w:snapToGrid w:val="0"/>
        <w:spacing w:line="560" w:lineRule="atLeast"/>
        <w:jc w:val="center"/>
        <w:textAlignment w:val="baseline"/>
        <w:rPr>
          <w:rFonts w:ascii="Times New Roman" w:hAnsi="Times New Roman" w:eastAsia="宋体" w:cs="Arial"/>
          <w:snapToGrid w:val="0"/>
          <w:kern w:val="0"/>
          <w:sz w:val="32"/>
          <w:szCs w:val="32"/>
          <w:shd w:val="clear" w:color="0B0000" w:fill="FFFFFF"/>
        </w:rPr>
      </w:pPr>
    </w:p>
    <w:p w14:paraId="5A7B1FEB">
      <w:pPr>
        <w:spacing w:line="580" w:lineRule="exact"/>
        <w:rPr>
          <w:rFonts w:hint="eastAsia" w:eastAsia="黑体"/>
          <w:szCs w:val="32"/>
        </w:rPr>
        <w:sectPr>
          <w:pgSz w:w="11906" w:h="16838"/>
          <w:pgMar w:top="1440" w:right="1800" w:bottom="1440" w:left="1800" w:header="851" w:footer="992" w:gutter="0"/>
          <w:pgNumType w:start="1"/>
          <w:cols w:space="720" w:num="1"/>
          <w:docGrid w:type="lines" w:linePitch="312" w:charSpace="0"/>
        </w:sectPr>
      </w:pPr>
    </w:p>
    <w:p w14:paraId="40845975">
      <w:pPr>
        <w:widowControl/>
        <w:autoSpaceDE w:val="0"/>
        <w:autoSpaceDN w:val="0"/>
        <w:adjustRightInd w:val="0"/>
        <w:snapToGrid w:val="0"/>
        <w:spacing w:line="240" w:lineRule="auto"/>
        <w:jc w:val="center"/>
        <w:textAlignment w:val="baseline"/>
        <w:rPr>
          <w:rFonts w:hint="eastAsia" w:ascii="黑体" w:hAnsi="黑体" w:eastAsia="黑体" w:cs="Arial"/>
          <w:snapToGrid w:val="0"/>
          <w:kern w:val="0"/>
          <w:sz w:val="44"/>
          <w:szCs w:val="44"/>
          <w:lang w:eastAsia="en-US"/>
        </w:rPr>
      </w:pPr>
      <w:r>
        <w:rPr>
          <w:rFonts w:hint="eastAsia" w:ascii="黑体" w:hAnsi="黑体" w:eastAsia="黑体" w:cs="Arial"/>
          <w:snapToGrid w:val="0"/>
          <w:kern w:val="0"/>
          <w:sz w:val="44"/>
          <w:szCs w:val="44"/>
          <w:lang w:eastAsia="en-US"/>
        </w:rPr>
        <w:t>目</w:t>
      </w:r>
      <w:r>
        <w:rPr>
          <w:rFonts w:hint="eastAsia" w:ascii="黑体" w:hAnsi="黑体" w:eastAsia="黑体" w:cs="Arial"/>
          <w:snapToGrid w:val="0"/>
          <w:kern w:val="0"/>
          <w:sz w:val="44"/>
          <w:szCs w:val="44"/>
        </w:rPr>
        <w:t xml:space="preserve">  </w:t>
      </w:r>
      <w:r>
        <w:rPr>
          <w:rFonts w:hint="eastAsia" w:ascii="黑体" w:hAnsi="黑体" w:eastAsia="黑体" w:cs="Arial"/>
          <w:snapToGrid w:val="0"/>
          <w:kern w:val="0"/>
          <w:sz w:val="44"/>
          <w:szCs w:val="44"/>
          <w:lang w:eastAsia="en-US"/>
        </w:rPr>
        <w:t>录</w:t>
      </w:r>
    </w:p>
    <w:p w14:paraId="3068A43D">
      <w:pPr>
        <w:widowControl/>
        <w:autoSpaceDE w:val="0"/>
        <w:autoSpaceDN w:val="0"/>
        <w:adjustRightInd w:val="0"/>
        <w:snapToGrid w:val="0"/>
        <w:spacing w:line="240" w:lineRule="auto"/>
        <w:jc w:val="center"/>
        <w:textAlignment w:val="baseline"/>
        <w:rPr>
          <w:rFonts w:ascii="Times New Roman" w:hAnsi="Times New Roman" w:eastAsia="黑体" w:cs="Arial"/>
          <w:snapToGrid w:val="0"/>
          <w:kern w:val="0"/>
          <w:sz w:val="44"/>
          <w:szCs w:val="44"/>
          <w:lang w:eastAsia="en-US"/>
        </w:rPr>
      </w:pPr>
    </w:p>
    <w:p w14:paraId="39717D9F">
      <w:pPr>
        <w:tabs>
          <w:tab w:val="right" w:leader="dot" w:pos="8306"/>
        </w:tabs>
        <w:kinsoku w:val="0"/>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color w:val="000000"/>
          <w:kern w:val="0"/>
          <w:sz w:val="32"/>
          <w:szCs w:val="21"/>
          <w:lang w:eastAsia="en-US"/>
        </w:rPr>
      </w:pP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TOC \o "1-2" \h \u </w:instrText>
      </w:r>
      <w:r>
        <w:rPr>
          <w:rFonts w:ascii="Times New Roman" w:hAnsi="Times New Roman" w:eastAsia="仿宋" w:cs="Arial"/>
          <w:snapToGrid w:val="0"/>
          <w:color w:val="000000"/>
          <w:kern w:val="0"/>
          <w:sz w:val="32"/>
          <w:szCs w:val="32"/>
          <w:lang w:eastAsia="en-US"/>
        </w:rPr>
        <w:fldChar w:fldCharType="separate"/>
      </w:r>
      <w:r>
        <w:fldChar w:fldCharType="begin"/>
      </w:r>
      <w:r>
        <w:instrText xml:space="preserve"> HYPERLINK \l "_Toc429586905" </w:instrText>
      </w:r>
      <w:r>
        <w:fldChar w:fldCharType="separate"/>
      </w:r>
      <w:r>
        <w:rPr>
          <w:rFonts w:hint="eastAsia" w:ascii="方正小标宋简体" w:hAnsi="方正小标宋简体" w:eastAsia="方正小标宋简体" w:cs="方正小标宋简体"/>
          <w:snapToGrid w:val="0"/>
          <w:color w:val="000000"/>
          <w:kern w:val="0"/>
          <w:sz w:val="32"/>
          <w:szCs w:val="21"/>
          <w:lang w:eastAsia="en-US"/>
        </w:rPr>
        <w:t>第一部分</w:t>
      </w:r>
      <w:r>
        <w:rPr>
          <w:rFonts w:hint="eastAsia" w:ascii="方正小标宋简体" w:hAnsi="方正小标宋简体" w:eastAsia="方正小标宋简体" w:cs="方正小标宋简体"/>
          <w:snapToGrid w:val="0"/>
          <w:color w:val="000000"/>
          <w:kern w:val="0"/>
          <w:sz w:val="32"/>
          <w:szCs w:val="21"/>
        </w:rPr>
        <w:t xml:space="preserve"> </w:t>
      </w:r>
      <w:r>
        <w:rPr>
          <w:rFonts w:hint="eastAsia" w:ascii="方正小标宋简体" w:hAnsi="方正小标宋简体" w:eastAsia="方正小标宋简体" w:cs="方正小标宋简体"/>
          <w:snapToGrid w:val="0"/>
          <w:color w:val="000000"/>
          <w:kern w:val="0"/>
          <w:sz w:val="32"/>
          <w:szCs w:val="21"/>
          <w:lang w:eastAsia="en-US"/>
        </w:rPr>
        <w:t>通用类管理制度</w:t>
      </w:r>
      <w:r>
        <w:rPr>
          <w:rFonts w:ascii="Times New Roman" w:hAnsi="Times New Roman" w:eastAsia="仿宋" w:cs="Arial"/>
          <w:snapToGrid w:val="0"/>
          <w:color w:val="000000"/>
          <w:kern w:val="0"/>
          <w:sz w:val="32"/>
          <w:szCs w:val="21"/>
          <w:lang w:eastAsia="en-US"/>
        </w:rPr>
        <w:tab/>
      </w:r>
      <w:r>
        <w:rPr>
          <w:rFonts w:ascii="Times New Roman" w:hAnsi="Times New Roman" w:eastAsia="仿宋" w:cs="Arial"/>
          <w:snapToGrid w:val="0"/>
          <w:color w:val="000000"/>
          <w:kern w:val="0"/>
          <w:sz w:val="32"/>
          <w:szCs w:val="21"/>
          <w:lang w:eastAsia="en-US"/>
        </w:rPr>
        <w:fldChar w:fldCharType="begin"/>
      </w:r>
      <w:r>
        <w:rPr>
          <w:rFonts w:ascii="Times New Roman" w:hAnsi="Times New Roman" w:eastAsia="仿宋" w:cs="Arial"/>
          <w:snapToGrid w:val="0"/>
          <w:color w:val="000000"/>
          <w:kern w:val="0"/>
          <w:sz w:val="32"/>
          <w:szCs w:val="21"/>
          <w:lang w:eastAsia="en-US"/>
        </w:rPr>
        <w:instrText xml:space="preserve"> PAGEREF _Toc429586905 \h </w:instrText>
      </w:r>
      <w:r>
        <w:rPr>
          <w:rFonts w:ascii="Times New Roman" w:hAnsi="Times New Roman" w:eastAsia="仿宋" w:cs="Arial"/>
          <w:snapToGrid w:val="0"/>
          <w:color w:val="000000"/>
          <w:kern w:val="0"/>
          <w:sz w:val="32"/>
          <w:szCs w:val="21"/>
          <w:lang w:eastAsia="en-US"/>
        </w:rPr>
        <w:fldChar w:fldCharType="separate"/>
      </w:r>
      <w:r>
        <w:rPr>
          <w:rFonts w:ascii="Times New Roman" w:hAnsi="Times New Roman" w:eastAsia="仿宋" w:cs="Arial"/>
          <w:snapToGrid w:val="0"/>
          <w:color w:val="000000"/>
          <w:kern w:val="0"/>
          <w:sz w:val="32"/>
          <w:szCs w:val="21"/>
          <w:lang w:eastAsia="en-US"/>
        </w:rPr>
        <w:t>1</w:t>
      </w:r>
      <w:r>
        <w:rPr>
          <w:rFonts w:ascii="Times New Roman" w:hAnsi="Times New Roman" w:eastAsia="仿宋" w:cs="Arial"/>
          <w:snapToGrid w:val="0"/>
          <w:color w:val="000000"/>
          <w:kern w:val="0"/>
          <w:sz w:val="32"/>
          <w:szCs w:val="21"/>
          <w:lang w:eastAsia="en-US"/>
        </w:rPr>
        <w:fldChar w:fldCharType="end"/>
      </w:r>
      <w:r>
        <w:rPr>
          <w:rFonts w:ascii="Times New Roman" w:hAnsi="Times New Roman" w:eastAsia="仿宋" w:cs="Arial"/>
          <w:snapToGrid w:val="0"/>
          <w:color w:val="000000"/>
          <w:kern w:val="0"/>
          <w:sz w:val="32"/>
          <w:szCs w:val="21"/>
          <w:lang w:eastAsia="en-US"/>
        </w:rPr>
        <w:fldChar w:fldCharType="end"/>
      </w:r>
    </w:p>
    <w:p w14:paraId="51ECFED9">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ascii="Times New Roman" w:hAnsi="Times New Roman" w:eastAsia="仿宋" w:cs="Arial"/>
          <w:snapToGrid w:val="0"/>
          <w:color w:val="000000"/>
          <w:kern w:val="0"/>
          <w:sz w:val="32"/>
          <w:szCs w:val="21"/>
          <w:lang w:eastAsia="en-US"/>
        </w:rPr>
      </w:pPr>
      <w:r>
        <w:rPr>
          <w:rFonts w:hint="eastAsia" w:ascii="Times New Roman" w:hAnsi="Times New Roman" w:eastAsia="仿宋" w:cs="Arial"/>
          <w:snapToGrid w:val="0"/>
          <w:color w:val="000000"/>
          <w:kern w:val="0"/>
          <w:sz w:val="32"/>
          <w:szCs w:val="32"/>
        </w:rPr>
        <w:t>一、</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_Toc437294245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安全管理制度评审和修订制度</w:t>
      </w:r>
      <w:r>
        <w:rPr>
          <w:rFonts w:ascii="Times New Roman" w:hAnsi="Times New Roman" w:eastAsia="仿宋" w:cs="Arial"/>
          <w:snapToGrid w:val="0"/>
          <w:color w:val="000000"/>
          <w:kern w:val="0"/>
          <w:sz w:val="32"/>
          <w:szCs w:val="21"/>
          <w:lang w:eastAsia="en-US"/>
        </w:rPr>
        <w:tab/>
      </w:r>
      <w:r>
        <w:rPr>
          <w:rFonts w:ascii="Times New Roman" w:hAnsi="Times New Roman" w:eastAsia="仿宋" w:cs="Arial"/>
          <w:snapToGrid w:val="0"/>
          <w:color w:val="000000"/>
          <w:kern w:val="0"/>
          <w:sz w:val="32"/>
          <w:szCs w:val="21"/>
          <w:lang w:eastAsia="en-US"/>
        </w:rPr>
        <w:fldChar w:fldCharType="begin"/>
      </w:r>
      <w:r>
        <w:rPr>
          <w:rFonts w:ascii="Times New Roman" w:hAnsi="Times New Roman" w:eastAsia="仿宋" w:cs="Arial"/>
          <w:snapToGrid w:val="0"/>
          <w:color w:val="000000"/>
          <w:kern w:val="0"/>
          <w:sz w:val="32"/>
          <w:szCs w:val="21"/>
          <w:lang w:eastAsia="en-US"/>
        </w:rPr>
        <w:instrText xml:space="preserve"> PAGEREF _Toc437294245 \h </w:instrText>
      </w:r>
      <w:r>
        <w:rPr>
          <w:rFonts w:ascii="Times New Roman" w:hAnsi="Times New Roman" w:eastAsia="仿宋" w:cs="Arial"/>
          <w:snapToGrid w:val="0"/>
          <w:color w:val="000000"/>
          <w:kern w:val="0"/>
          <w:sz w:val="32"/>
          <w:szCs w:val="21"/>
          <w:lang w:eastAsia="en-US"/>
        </w:rPr>
        <w:fldChar w:fldCharType="separate"/>
      </w:r>
      <w:r>
        <w:rPr>
          <w:rFonts w:ascii="Times New Roman" w:hAnsi="Times New Roman" w:eastAsia="仿宋" w:cs="Arial"/>
          <w:snapToGrid w:val="0"/>
          <w:color w:val="000000"/>
          <w:kern w:val="0"/>
          <w:sz w:val="32"/>
          <w:szCs w:val="21"/>
          <w:lang w:eastAsia="en-US"/>
        </w:rPr>
        <w:t>2</w:t>
      </w:r>
      <w:r>
        <w:rPr>
          <w:rFonts w:ascii="Times New Roman" w:hAnsi="Times New Roman" w:eastAsia="仿宋" w:cs="Arial"/>
          <w:snapToGrid w:val="0"/>
          <w:color w:val="000000"/>
          <w:kern w:val="0"/>
          <w:sz w:val="32"/>
          <w:szCs w:val="21"/>
          <w:lang w:eastAsia="en-US"/>
        </w:rPr>
        <w:fldChar w:fldCharType="end"/>
      </w:r>
      <w:r>
        <w:rPr>
          <w:rFonts w:ascii="Times New Roman" w:hAnsi="Times New Roman" w:eastAsia="仿宋" w:cs="Arial"/>
          <w:snapToGrid w:val="0"/>
          <w:color w:val="000000"/>
          <w:kern w:val="0"/>
          <w:sz w:val="32"/>
          <w:szCs w:val="32"/>
          <w:lang w:eastAsia="en-US"/>
        </w:rPr>
        <w:fldChar w:fldCharType="end"/>
      </w:r>
    </w:p>
    <w:p w14:paraId="0BF9AC9E">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ascii="Times New Roman" w:hAnsi="Times New Roman" w:eastAsia="仿宋" w:cs="Arial"/>
          <w:snapToGrid w:val="0"/>
          <w:color w:val="000000"/>
          <w:kern w:val="0"/>
          <w:sz w:val="32"/>
          <w:szCs w:val="21"/>
          <w:lang w:eastAsia="en-US"/>
        </w:rPr>
      </w:pPr>
      <w:r>
        <w:rPr>
          <w:rFonts w:hint="eastAsia" w:ascii="Times New Roman" w:hAnsi="Times New Roman" w:eastAsia="仿宋" w:cs="Arial"/>
          <w:snapToGrid w:val="0"/>
          <w:color w:val="000000"/>
          <w:kern w:val="0"/>
          <w:sz w:val="32"/>
          <w:szCs w:val="32"/>
        </w:rPr>
        <w:t>二、</w:t>
      </w:r>
      <w:r>
        <w:fldChar w:fldCharType="begin"/>
      </w:r>
      <w:r>
        <w:instrText xml:space="preserve"> HYPERLINK \l "_Toc1169118027" </w:instrText>
      </w:r>
      <w:r>
        <w:fldChar w:fldCharType="separate"/>
      </w:r>
      <w:r>
        <w:rPr>
          <w:rFonts w:ascii="Times New Roman" w:hAnsi="Times New Roman" w:eastAsia="仿宋" w:cs="Arial"/>
          <w:snapToGrid w:val="0"/>
          <w:color w:val="000000"/>
          <w:kern w:val="0"/>
          <w:sz w:val="32"/>
          <w:szCs w:val="21"/>
        </w:rPr>
        <w:t>安全生产服务机构和专家管理制度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4</w:t>
      </w:r>
      <w:r>
        <w:rPr>
          <w:rFonts w:ascii="Times New Roman" w:hAnsi="Times New Roman" w:eastAsia="仿宋" w:cs="Arial"/>
          <w:snapToGrid w:val="0"/>
          <w:color w:val="000000"/>
          <w:kern w:val="0"/>
          <w:sz w:val="32"/>
          <w:szCs w:val="21"/>
          <w:lang w:eastAsia="en-US"/>
        </w:rPr>
        <w:fldChar w:fldCharType="end"/>
      </w:r>
    </w:p>
    <w:p w14:paraId="045FDE74">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ascii="Times New Roman" w:hAnsi="Times New Roman" w:eastAsia="仿宋" w:cs="Arial"/>
          <w:snapToGrid w:val="0"/>
          <w:color w:val="000000"/>
          <w:kern w:val="0"/>
          <w:sz w:val="32"/>
          <w:szCs w:val="21"/>
          <w:lang w:eastAsia="en-US"/>
        </w:rPr>
      </w:pPr>
      <w:r>
        <w:rPr>
          <w:rFonts w:hint="eastAsia" w:ascii="Times New Roman" w:hAnsi="Times New Roman" w:eastAsia="仿宋" w:cs="Arial"/>
          <w:snapToGrid w:val="0"/>
          <w:color w:val="000000"/>
          <w:kern w:val="0"/>
          <w:sz w:val="32"/>
          <w:szCs w:val="32"/>
        </w:rPr>
        <w:t>三、</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_Toc378048006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领导带班制度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8</w:t>
      </w:r>
      <w:r>
        <w:rPr>
          <w:rFonts w:ascii="Times New Roman" w:hAnsi="Times New Roman" w:eastAsia="仿宋" w:cs="Arial"/>
          <w:snapToGrid w:val="0"/>
          <w:color w:val="000000"/>
          <w:kern w:val="0"/>
          <w:sz w:val="32"/>
          <w:szCs w:val="32"/>
          <w:lang w:eastAsia="en-US"/>
        </w:rPr>
        <w:fldChar w:fldCharType="end"/>
      </w:r>
    </w:p>
    <w:p w14:paraId="6CE5AC54">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四、</w:t>
      </w:r>
      <w:r>
        <w:fldChar w:fldCharType="begin"/>
      </w:r>
      <w:r>
        <w:instrText xml:space="preserve"> HYPERLINK \l "_Toc809072199" </w:instrText>
      </w:r>
      <w:r>
        <w:fldChar w:fldCharType="separate"/>
      </w:r>
      <w:r>
        <w:rPr>
          <w:rFonts w:ascii="Times New Roman" w:hAnsi="Times New Roman" w:eastAsia="仿宋" w:cs="Arial"/>
          <w:snapToGrid w:val="0"/>
          <w:color w:val="000000"/>
          <w:kern w:val="0"/>
          <w:sz w:val="32"/>
          <w:szCs w:val="21"/>
        </w:rPr>
        <w:t>安全风险分级管控制度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3</w:t>
      </w:r>
    </w:p>
    <w:p w14:paraId="42110874">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五、</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_Toc806894646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安全生产隐患排查治理制度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2</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7</w:t>
      </w:r>
    </w:p>
    <w:p w14:paraId="227E2063">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六、</w:t>
      </w:r>
      <w:r>
        <w:fldChar w:fldCharType="begin"/>
      </w:r>
      <w:r>
        <w:instrText xml:space="preserve"> HYPERLINK \l "_Toc885745740" </w:instrText>
      </w:r>
      <w:r>
        <w:fldChar w:fldCharType="separate"/>
      </w:r>
      <w:r>
        <w:rPr>
          <w:rFonts w:ascii="Times New Roman" w:hAnsi="Times New Roman" w:eastAsia="仿宋" w:cs="Arial"/>
          <w:snapToGrid w:val="0"/>
          <w:color w:val="000000"/>
          <w:kern w:val="0"/>
          <w:sz w:val="32"/>
          <w:szCs w:val="21"/>
        </w:rPr>
        <w:t>重大危险源安全管理制度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3</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7</w:t>
      </w:r>
    </w:p>
    <w:p w14:paraId="5BAD2C10">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七、</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_Toc1792099504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安全生产台账管理制度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4</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2</w:t>
      </w:r>
    </w:p>
    <w:p w14:paraId="1D804133">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八、</w:t>
      </w:r>
      <w:r>
        <w:fldChar w:fldCharType="begin"/>
      </w:r>
      <w:r>
        <w:instrText xml:space="preserve"> HYPERLINK \l "_Toc531094554" </w:instrText>
      </w:r>
      <w:r>
        <w:fldChar w:fldCharType="separate"/>
      </w:r>
      <w:r>
        <w:rPr>
          <w:rFonts w:ascii="Times New Roman" w:hAnsi="Times New Roman" w:eastAsia="仿宋" w:cs="Arial"/>
          <w:snapToGrid w:val="0"/>
          <w:color w:val="000000"/>
          <w:kern w:val="0"/>
          <w:sz w:val="32"/>
          <w:szCs w:val="21"/>
        </w:rPr>
        <w:t>安全宣传教育培训制度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4</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4</w:t>
      </w:r>
    </w:p>
    <w:p w14:paraId="5C51FDC5">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九、</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_Toc1392707384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生产安全事故及重大事项报告和处理制度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4</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9</w:t>
      </w:r>
    </w:p>
    <w:p w14:paraId="508149E7">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w:t>
      </w:r>
      <w:r>
        <w:fldChar w:fldCharType="begin"/>
      </w:r>
      <w:r>
        <w:instrText xml:space="preserve"> HYPERLINK \l "_Toc55371320" </w:instrText>
      </w:r>
      <w:r>
        <w:fldChar w:fldCharType="separate"/>
      </w:r>
      <w:r>
        <w:rPr>
          <w:rFonts w:hint="eastAsia" w:ascii="仿宋_GB2312" w:hAnsi="仿宋_GB2312" w:eastAsia="仿宋_GB2312" w:cs="仿宋_GB2312"/>
          <w:color w:val="000000"/>
          <w:sz w:val="32"/>
          <w:szCs w:val="44"/>
        </w:rPr>
        <w:t>安全生产考核制度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5</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2</w:t>
      </w:r>
    </w:p>
    <w:p w14:paraId="0AFD0CDF">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十一、</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_Toc1907889898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安全生产奖励制度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6</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4</w:t>
      </w:r>
    </w:p>
    <w:p w14:paraId="28E37458">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十二、</w:t>
      </w:r>
      <w:r>
        <w:fldChar w:fldCharType="begin"/>
      </w:r>
      <w:r>
        <w:instrText xml:space="preserve"> HYPERLINK \l "_Toc1765153842" </w:instrText>
      </w:r>
      <w:r>
        <w:fldChar w:fldCharType="separate"/>
      </w:r>
      <w:r>
        <w:rPr>
          <w:rFonts w:ascii="Times New Roman" w:hAnsi="Times New Roman" w:eastAsia="仿宋" w:cs="Arial"/>
          <w:snapToGrid w:val="0"/>
          <w:color w:val="000000"/>
          <w:kern w:val="0"/>
          <w:sz w:val="32"/>
          <w:szCs w:val="21"/>
        </w:rPr>
        <w:t>布局规划管理制度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6</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9</w:t>
      </w:r>
    </w:p>
    <w:p w14:paraId="38F329B0">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十三、</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_Toc217000616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安全评估管理制度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7</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6</w:t>
      </w:r>
    </w:p>
    <w:p w14:paraId="639316FB">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十四、</w:t>
      </w:r>
      <w:r>
        <w:fldChar w:fldCharType="begin"/>
      </w:r>
      <w:r>
        <w:instrText xml:space="preserve"> HYPERLINK \l "_Toc1316555472" </w:instrText>
      </w:r>
      <w:r>
        <w:fldChar w:fldCharType="separate"/>
      </w:r>
      <w:r>
        <w:rPr>
          <w:rFonts w:ascii="Times New Roman" w:hAnsi="Times New Roman" w:eastAsia="仿宋" w:cs="Arial"/>
          <w:snapToGrid w:val="0"/>
          <w:color w:val="000000"/>
          <w:kern w:val="0"/>
          <w:sz w:val="32"/>
          <w:szCs w:val="21"/>
        </w:rPr>
        <w:t>安全风险智能化管控平台管理制度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8</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1</w:t>
      </w:r>
    </w:p>
    <w:p w14:paraId="1CE5976B">
      <w:pPr>
        <w:tabs>
          <w:tab w:val="right" w:leader="dot" w:pos="8306"/>
        </w:tabs>
        <w:kinsoku w:val="0"/>
        <w:autoSpaceDE w:val="0"/>
        <w:autoSpaceDN w:val="0"/>
        <w:adjustRightInd w:val="0"/>
        <w:snapToGrid w:val="0"/>
        <w:spacing w:line="600" w:lineRule="exact"/>
        <w:ind w:firstLine="420" w:firstLineChars="200"/>
        <w:jc w:val="left"/>
        <w:textAlignment w:val="baseline"/>
        <w:rPr>
          <w:rFonts w:hint="default" w:ascii="Times New Roman" w:hAnsi="Times New Roman" w:eastAsia="仿宋" w:cs="Arial"/>
          <w:snapToGrid w:val="0"/>
          <w:color w:val="000000"/>
          <w:kern w:val="0"/>
          <w:sz w:val="32"/>
          <w:szCs w:val="21"/>
          <w:lang w:val="en-US" w:eastAsia="zh-CN"/>
        </w:rPr>
      </w:pPr>
      <w:r>
        <w:fldChar w:fldCharType="begin"/>
      </w:r>
      <w:r>
        <w:instrText xml:space="preserve"> HYPERLINK \l "_Toc169870365" </w:instrText>
      </w:r>
      <w:r>
        <w:fldChar w:fldCharType="separate"/>
      </w:r>
      <w:r>
        <w:rPr>
          <w:rFonts w:hint="eastAsia" w:ascii="方正小标宋简体" w:hAnsi="方正小标宋简体" w:eastAsia="方正小标宋简体" w:cs="方正小标宋简体"/>
          <w:snapToGrid w:val="0"/>
          <w:color w:val="000000"/>
          <w:kern w:val="0"/>
          <w:sz w:val="32"/>
          <w:szCs w:val="21"/>
          <w:lang w:eastAsia="en-US"/>
        </w:rPr>
        <w:t>第</w:t>
      </w:r>
      <w:r>
        <w:rPr>
          <w:rFonts w:hint="eastAsia" w:ascii="方正小标宋简体" w:hAnsi="方正小标宋简体" w:eastAsia="方正小标宋简体" w:cs="方正小标宋简体"/>
          <w:snapToGrid w:val="0"/>
          <w:color w:val="000000"/>
          <w:kern w:val="0"/>
          <w:sz w:val="32"/>
          <w:szCs w:val="21"/>
        </w:rPr>
        <w:t>二</w:t>
      </w:r>
      <w:r>
        <w:rPr>
          <w:rFonts w:hint="eastAsia" w:ascii="方正小标宋简体" w:hAnsi="方正小标宋简体" w:eastAsia="方正小标宋简体" w:cs="方正小标宋简体"/>
          <w:snapToGrid w:val="0"/>
          <w:color w:val="000000"/>
          <w:kern w:val="0"/>
          <w:sz w:val="32"/>
          <w:szCs w:val="21"/>
          <w:lang w:eastAsia="en-US"/>
        </w:rPr>
        <w:t>部分</w:t>
      </w:r>
      <w:r>
        <w:rPr>
          <w:rFonts w:hint="eastAsia" w:ascii="方正小标宋简体" w:hAnsi="方正小标宋简体" w:eastAsia="方正小标宋简体" w:cs="方正小标宋简体"/>
          <w:snapToGrid w:val="0"/>
          <w:color w:val="000000"/>
          <w:kern w:val="0"/>
          <w:sz w:val="32"/>
          <w:szCs w:val="21"/>
        </w:rPr>
        <w:t xml:space="preserve"> </w:t>
      </w:r>
      <w:r>
        <w:rPr>
          <w:rFonts w:hint="eastAsia" w:ascii="方正小标宋简体" w:hAnsi="方正小标宋简体" w:eastAsia="方正小标宋简体" w:cs="方正小标宋简体"/>
          <w:snapToGrid w:val="0"/>
          <w:color w:val="000000"/>
          <w:kern w:val="0"/>
          <w:sz w:val="32"/>
          <w:szCs w:val="21"/>
          <w:lang w:eastAsia="en-US"/>
        </w:rPr>
        <w:t>人员类管理制度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04</w:t>
      </w:r>
    </w:p>
    <w:p w14:paraId="2EEE9D7E">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十五、</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_Toc1423330570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专业安全监管人员管理制度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05</w:t>
      </w:r>
    </w:p>
    <w:p w14:paraId="131CB867">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十六、</w:t>
      </w:r>
      <w:r>
        <w:fldChar w:fldCharType="begin"/>
      </w:r>
      <w:r>
        <w:instrText xml:space="preserve"> HYPERLINK \l "_Toc266295408" </w:instrText>
      </w:r>
      <w:r>
        <w:fldChar w:fldCharType="separate"/>
      </w:r>
      <w:r>
        <w:rPr>
          <w:rFonts w:ascii="Times New Roman" w:hAnsi="Times New Roman" w:eastAsia="仿宋" w:cs="Arial"/>
          <w:snapToGrid w:val="0"/>
          <w:color w:val="000000"/>
          <w:kern w:val="0"/>
          <w:sz w:val="32"/>
          <w:szCs w:val="21"/>
        </w:rPr>
        <w:t>企业外来人员安全管控制度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07</w:t>
      </w:r>
    </w:p>
    <w:p w14:paraId="4FDB01C9">
      <w:pPr>
        <w:tabs>
          <w:tab w:val="right" w:leader="dot" w:pos="8306"/>
        </w:tabs>
        <w:kinsoku w:val="0"/>
        <w:autoSpaceDE w:val="0"/>
        <w:autoSpaceDN w:val="0"/>
        <w:adjustRightInd w:val="0"/>
        <w:snapToGrid w:val="0"/>
        <w:spacing w:line="600" w:lineRule="exact"/>
        <w:ind w:firstLine="420" w:firstLineChars="200"/>
        <w:jc w:val="left"/>
        <w:textAlignment w:val="baseline"/>
        <w:rPr>
          <w:rFonts w:hint="default" w:ascii="Times New Roman" w:hAnsi="Times New Roman" w:eastAsia="仿宋" w:cs="Arial"/>
          <w:snapToGrid w:val="0"/>
          <w:color w:val="000000"/>
          <w:kern w:val="0"/>
          <w:sz w:val="32"/>
          <w:szCs w:val="21"/>
          <w:lang w:val="en-US" w:eastAsia="zh-CN"/>
        </w:rPr>
      </w:pPr>
      <w:r>
        <w:fldChar w:fldCharType="begin"/>
      </w:r>
      <w:r>
        <w:instrText xml:space="preserve"> HYPERLINK \l "_Toc42096678" </w:instrText>
      </w:r>
      <w:r>
        <w:fldChar w:fldCharType="separate"/>
      </w:r>
      <w:r>
        <w:rPr>
          <w:rFonts w:hint="eastAsia" w:ascii="方正小标宋简体" w:hAnsi="方正小标宋简体" w:eastAsia="方正小标宋简体" w:cs="方正小标宋简体"/>
          <w:snapToGrid w:val="0"/>
          <w:color w:val="000000"/>
          <w:kern w:val="0"/>
          <w:sz w:val="32"/>
          <w:szCs w:val="21"/>
          <w:lang w:eastAsia="en-US"/>
        </w:rPr>
        <w:t>第</w:t>
      </w:r>
      <w:r>
        <w:rPr>
          <w:rFonts w:hint="eastAsia" w:ascii="方正小标宋简体" w:hAnsi="方正小标宋简体" w:eastAsia="方正小标宋简体" w:cs="方正小标宋简体"/>
          <w:snapToGrid w:val="0"/>
          <w:color w:val="000000"/>
          <w:kern w:val="0"/>
          <w:sz w:val="32"/>
          <w:szCs w:val="21"/>
        </w:rPr>
        <w:t>三</w:t>
      </w:r>
      <w:r>
        <w:rPr>
          <w:rFonts w:hint="eastAsia" w:ascii="方正小标宋简体" w:hAnsi="方正小标宋简体" w:eastAsia="方正小标宋简体" w:cs="方正小标宋简体"/>
          <w:snapToGrid w:val="0"/>
          <w:color w:val="000000"/>
          <w:kern w:val="0"/>
          <w:sz w:val="32"/>
          <w:szCs w:val="21"/>
          <w:lang w:eastAsia="en-US"/>
        </w:rPr>
        <w:t>部分</w:t>
      </w:r>
      <w:r>
        <w:rPr>
          <w:rFonts w:hint="eastAsia" w:ascii="方正小标宋简体" w:hAnsi="方正小标宋简体" w:eastAsia="方正小标宋简体" w:cs="方正小标宋简体"/>
          <w:snapToGrid w:val="0"/>
          <w:color w:val="000000"/>
          <w:kern w:val="0"/>
          <w:sz w:val="32"/>
          <w:szCs w:val="21"/>
        </w:rPr>
        <w:t xml:space="preserve"> 园区企业</w:t>
      </w:r>
      <w:r>
        <w:rPr>
          <w:rFonts w:hint="eastAsia" w:ascii="方正小标宋简体" w:hAnsi="方正小标宋简体" w:eastAsia="方正小标宋简体" w:cs="方正小标宋简体"/>
          <w:snapToGrid w:val="0"/>
          <w:color w:val="000000"/>
          <w:kern w:val="0"/>
          <w:sz w:val="32"/>
          <w:szCs w:val="21"/>
          <w:lang w:eastAsia="en-US"/>
        </w:rPr>
        <w:t>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10</w:t>
      </w:r>
    </w:p>
    <w:p w14:paraId="1FE068F8">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十七、</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_Toc1389501128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特殊作业安全管理制度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11</w:t>
      </w:r>
    </w:p>
    <w:p w14:paraId="7F27A99D">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十八、</w:t>
      </w:r>
      <w:r>
        <w:fldChar w:fldCharType="begin"/>
      </w:r>
      <w:r>
        <w:instrText xml:space="preserve"> HYPERLINK \l "_Toc450306708" </w:instrText>
      </w:r>
      <w:r>
        <w:fldChar w:fldCharType="separate"/>
      </w:r>
      <w:r>
        <w:rPr>
          <w:rFonts w:ascii="Times New Roman" w:hAnsi="Times New Roman" w:eastAsia="仿宋" w:cs="Arial"/>
          <w:snapToGrid w:val="0"/>
          <w:color w:val="000000"/>
          <w:kern w:val="0"/>
          <w:sz w:val="32"/>
          <w:szCs w:val="21"/>
        </w:rPr>
        <w:t>安全生产约谈工作制度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17</w:t>
      </w:r>
    </w:p>
    <w:p w14:paraId="2FA2DCBB">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十九、</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_Toc664607006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安全生产黑名单管理制度</w:t>
      </w:r>
      <w:r>
        <w:rPr>
          <w:rFonts w:ascii="Times New Roman" w:hAnsi="Times New Roman" w:eastAsia="仿宋" w:cs="Arial"/>
          <w:snapToGrid w:val="0"/>
          <w:color w:val="000000"/>
          <w:kern w:val="0"/>
          <w:sz w:val="32"/>
          <w:szCs w:val="21"/>
          <w:lang w:eastAsia="en-US"/>
        </w:rPr>
        <w:tab/>
      </w:r>
      <w:r>
        <w:rPr>
          <w:rFonts w:ascii="Times New Roman" w:hAnsi="Times New Roman" w:eastAsia="仿宋" w:cs="Arial"/>
          <w:snapToGrid w:val="0"/>
          <w:color w:val="000000"/>
          <w:kern w:val="0"/>
          <w:sz w:val="32"/>
          <w:szCs w:val="21"/>
          <w:lang w:eastAsia="en-US"/>
        </w:rPr>
        <w:fldChar w:fldCharType="begin"/>
      </w:r>
      <w:r>
        <w:rPr>
          <w:rFonts w:ascii="Times New Roman" w:hAnsi="Times New Roman" w:eastAsia="仿宋" w:cs="Arial"/>
          <w:snapToGrid w:val="0"/>
          <w:color w:val="000000"/>
          <w:kern w:val="0"/>
          <w:sz w:val="32"/>
          <w:szCs w:val="21"/>
          <w:lang w:eastAsia="en-US"/>
        </w:rPr>
        <w:instrText xml:space="preserve"> PAGEREF _Toc664607006 \h </w:instrText>
      </w:r>
      <w:r>
        <w:rPr>
          <w:rFonts w:ascii="Times New Roman" w:hAnsi="Times New Roman" w:eastAsia="仿宋" w:cs="Arial"/>
          <w:snapToGrid w:val="0"/>
          <w:color w:val="000000"/>
          <w:kern w:val="0"/>
          <w:sz w:val="32"/>
          <w:szCs w:val="21"/>
          <w:lang w:eastAsia="en-US"/>
        </w:rPr>
        <w:fldChar w:fldCharType="separate"/>
      </w:r>
      <w:r>
        <w:rPr>
          <w:rFonts w:ascii="Times New Roman" w:hAnsi="Times New Roman" w:eastAsia="仿宋" w:cs="Arial"/>
          <w:snapToGrid w:val="0"/>
          <w:color w:val="000000"/>
          <w:kern w:val="0"/>
          <w:sz w:val="32"/>
          <w:szCs w:val="21"/>
          <w:lang w:eastAsia="en-US"/>
        </w:rPr>
        <w:t>1</w:t>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9</w:t>
      </w:r>
    </w:p>
    <w:p w14:paraId="15FAAC9B">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二十、</w:t>
      </w:r>
      <w:r>
        <w:fldChar w:fldCharType="begin"/>
      </w:r>
      <w:r>
        <w:instrText xml:space="preserve"> HYPERLINK \l "_Toc1895437085" </w:instrText>
      </w:r>
      <w:r>
        <w:fldChar w:fldCharType="separate"/>
      </w:r>
      <w:r>
        <w:rPr>
          <w:rFonts w:ascii="Times New Roman" w:hAnsi="Times New Roman" w:eastAsia="仿宋" w:cs="Arial"/>
          <w:snapToGrid w:val="0"/>
          <w:color w:val="000000"/>
          <w:kern w:val="0"/>
          <w:sz w:val="32"/>
          <w:szCs w:val="21"/>
        </w:rPr>
        <w:t>危险废物管理制度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24</w:t>
      </w:r>
    </w:p>
    <w:p w14:paraId="4CBC7267">
      <w:pPr>
        <w:tabs>
          <w:tab w:val="right" w:leader="dot" w:pos="8306"/>
        </w:tabs>
        <w:kinsoku w:val="0"/>
        <w:autoSpaceDE w:val="0"/>
        <w:autoSpaceDN w:val="0"/>
        <w:adjustRightInd w:val="0"/>
        <w:snapToGrid w:val="0"/>
        <w:spacing w:line="600" w:lineRule="exact"/>
        <w:ind w:firstLine="420" w:firstLineChars="200"/>
        <w:jc w:val="left"/>
        <w:textAlignment w:val="baseline"/>
        <w:rPr>
          <w:rFonts w:hint="default" w:ascii="Times New Roman" w:hAnsi="Times New Roman" w:eastAsia="仿宋" w:cs="Arial"/>
          <w:snapToGrid w:val="0"/>
          <w:color w:val="000000"/>
          <w:kern w:val="0"/>
          <w:sz w:val="32"/>
          <w:szCs w:val="21"/>
          <w:lang w:val="en-US" w:eastAsia="zh-CN"/>
        </w:rPr>
      </w:pPr>
      <w:r>
        <w:fldChar w:fldCharType="begin"/>
      </w:r>
      <w:r>
        <w:instrText xml:space="preserve"> HYPERLINK \l "_Toc267990383" </w:instrText>
      </w:r>
      <w:r>
        <w:fldChar w:fldCharType="separate"/>
      </w:r>
      <w:r>
        <w:rPr>
          <w:rFonts w:hint="eastAsia" w:ascii="方正小标宋简体" w:hAnsi="方正小标宋简体" w:eastAsia="方正小标宋简体" w:cs="方正小标宋简体"/>
          <w:snapToGrid w:val="0"/>
          <w:color w:val="000000"/>
          <w:kern w:val="0"/>
          <w:sz w:val="32"/>
          <w:szCs w:val="21"/>
          <w:lang w:eastAsia="en-US"/>
        </w:rPr>
        <w:t>第</w:t>
      </w:r>
      <w:r>
        <w:rPr>
          <w:rFonts w:hint="eastAsia" w:ascii="方正小标宋简体" w:hAnsi="方正小标宋简体" w:eastAsia="方正小标宋简体" w:cs="方正小标宋简体"/>
          <w:snapToGrid w:val="0"/>
          <w:color w:val="000000"/>
          <w:kern w:val="0"/>
          <w:sz w:val="32"/>
          <w:szCs w:val="21"/>
        </w:rPr>
        <w:t>四</w:t>
      </w:r>
      <w:r>
        <w:rPr>
          <w:rFonts w:hint="eastAsia" w:ascii="方正小标宋简体" w:hAnsi="方正小标宋简体" w:eastAsia="方正小标宋简体" w:cs="方正小标宋简体"/>
          <w:snapToGrid w:val="0"/>
          <w:color w:val="000000"/>
          <w:kern w:val="0"/>
          <w:sz w:val="32"/>
          <w:szCs w:val="21"/>
          <w:lang w:eastAsia="en-US"/>
        </w:rPr>
        <w:t>部分</w:t>
      </w:r>
      <w:r>
        <w:rPr>
          <w:rFonts w:hint="eastAsia" w:ascii="方正小标宋简体" w:hAnsi="方正小标宋简体" w:eastAsia="方正小标宋简体" w:cs="方正小标宋简体"/>
          <w:snapToGrid w:val="0"/>
          <w:color w:val="000000"/>
          <w:kern w:val="0"/>
          <w:sz w:val="32"/>
          <w:szCs w:val="21"/>
        </w:rPr>
        <w:t xml:space="preserve"> 公共区域类</w:t>
      </w:r>
      <w:r>
        <w:rPr>
          <w:rFonts w:hint="eastAsia" w:ascii="方正小标宋简体" w:hAnsi="方正小标宋简体" w:eastAsia="方正小标宋简体" w:cs="方正小标宋简体"/>
          <w:snapToGrid w:val="0"/>
          <w:color w:val="000000"/>
          <w:kern w:val="0"/>
          <w:sz w:val="32"/>
          <w:szCs w:val="21"/>
          <w:lang w:eastAsia="en-US"/>
        </w:rPr>
        <w:t>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29</w:t>
      </w:r>
    </w:p>
    <w:p w14:paraId="747DA6D1">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二十一、</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_Toc1425166278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公共区域管理规定</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30</w:t>
      </w:r>
    </w:p>
    <w:p w14:paraId="1375921F">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二十二、</w:t>
      </w:r>
      <w:r>
        <w:fldChar w:fldCharType="begin"/>
      </w:r>
      <w:r>
        <w:instrText xml:space="preserve"> HYPERLINK \l "_Toc129302301" </w:instrText>
      </w:r>
      <w:r>
        <w:fldChar w:fldCharType="separate"/>
      </w:r>
      <w:r>
        <w:rPr>
          <w:rFonts w:ascii="Times New Roman" w:hAnsi="Times New Roman" w:eastAsia="仿宋" w:cs="Arial"/>
          <w:snapToGrid w:val="0"/>
          <w:color w:val="000000"/>
          <w:kern w:val="0"/>
          <w:sz w:val="32"/>
          <w:szCs w:val="21"/>
        </w:rPr>
        <w:t>化工园区封闭化管理办法</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34</w:t>
      </w:r>
    </w:p>
    <w:p w14:paraId="20735BD9">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eastAsia"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二十三、</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_Toc231863926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公用工程安全管理制度</w:t>
      </w:r>
      <w:r>
        <w:rPr>
          <w:rFonts w:ascii="Times New Roman" w:hAnsi="Times New Roman" w:eastAsia="仿宋" w:cs="Arial"/>
          <w:snapToGrid w:val="0"/>
          <w:color w:val="000000"/>
          <w:kern w:val="0"/>
          <w:sz w:val="32"/>
          <w:szCs w:val="21"/>
          <w:lang w:eastAsia="en-US"/>
        </w:rPr>
        <w:tab/>
      </w:r>
      <w:r>
        <w:rPr>
          <w:rFonts w:ascii="Times New Roman" w:hAnsi="Times New Roman" w:eastAsia="仿宋" w:cs="Arial"/>
          <w:snapToGrid w:val="0"/>
          <w:color w:val="000000"/>
          <w:kern w:val="0"/>
          <w:sz w:val="32"/>
          <w:szCs w:val="21"/>
          <w:lang w:eastAsia="en-US"/>
        </w:rPr>
        <w:fldChar w:fldCharType="begin"/>
      </w:r>
      <w:r>
        <w:rPr>
          <w:rFonts w:ascii="Times New Roman" w:hAnsi="Times New Roman" w:eastAsia="仿宋" w:cs="Arial"/>
          <w:snapToGrid w:val="0"/>
          <w:color w:val="000000"/>
          <w:kern w:val="0"/>
          <w:sz w:val="32"/>
          <w:szCs w:val="21"/>
          <w:lang w:eastAsia="en-US"/>
        </w:rPr>
        <w:instrText xml:space="preserve"> PAGEREF _Toc231863926 \h </w:instrText>
      </w:r>
      <w:r>
        <w:rPr>
          <w:rFonts w:ascii="Times New Roman" w:hAnsi="Times New Roman" w:eastAsia="仿宋" w:cs="Arial"/>
          <w:snapToGrid w:val="0"/>
          <w:color w:val="000000"/>
          <w:kern w:val="0"/>
          <w:sz w:val="32"/>
          <w:szCs w:val="21"/>
          <w:lang w:eastAsia="en-US"/>
        </w:rPr>
        <w:fldChar w:fldCharType="separate"/>
      </w:r>
      <w:r>
        <w:rPr>
          <w:rFonts w:ascii="Times New Roman" w:hAnsi="Times New Roman" w:eastAsia="仿宋" w:cs="Arial"/>
          <w:snapToGrid w:val="0"/>
          <w:color w:val="000000"/>
          <w:kern w:val="0"/>
          <w:sz w:val="32"/>
          <w:szCs w:val="21"/>
          <w:lang w:eastAsia="en-US"/>
        </w:rPr>
        <w:t>1</w:t>
      </w:r>
      <w:r>
        <w:rPr>
          <w:rFonts w:hint="eastAsia" w:ascii="Times New Roman" w:hAnsi="Times New Roman" w:eastAsia="仿宋" w:cs="Arial"/>
          <w:snapToGrid w:val="0"/>
          <w:color w:val="000000"/>
          <w:kern w:val="0"/>
          <w:sz w:val="32"/>
          <w:szCs w:val="21"/>
          <w:lang w:val="en-US" w:eastAsia="zh-CN"/>
        </w:rPr>
        <w:t>5</w:t>
      </w:r>
      <w:r>
        <w:rPr>
          <w:rFonts w:ascii="Times New Roman" w:hAnsi="Times New Roman" w:eastAsia="仿宋" w:cs="Arial"/>
          <w:snapToGrid w:val="0"/>
          <w:color w:val="000000"/>
          <w:kern w:val="0"/>
          <w:sz w:val="32"/>
          <w:szCs w:val="21"/>
          <w:lang w:eastAsia="en-US"/>
        </w:rPr>
        <w:fldChar w:fldCharType="end"/>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0</w:t>
      </w:r>
    </w:p>
    <w:p w14:paraId="04974A3C">
      <w:pPr>
        <w:tabs>
          <w:tab w:val="right" w:leader="dot" w:pos="8306"/>
        </w:tabs>
        <w:kinsoku w:val="0"/>
        <w:autoSpaceDE w:val="0"/>
        <w:autoSpaceDN w:val="0"/>
        <w:adjustRightInd w:val="0"/>
        <w:snapToGrid w:val="0"/>
        <w:spacing w:line="600" w:lineRule="exact"/>
        <w:ind w:firstLine="420" w:firstLineChars="200"/>
        <w:jc w:val="left"/>
        <w:textAlignment w:val="baseline"/>
        <w:rPr>
          <w:rFonts w:hint="default" w:ascii="Times New Roman" w:hAnsi="Times New Roman" w:eastAsia="仿宋" w:cs="Arial"/>
          <w:snapToGrid w:val="0"/>
          <w:color w:val="000000"/>
          <w:kern w:val="0"/>
          <w:sz w:val="32"/>
          <w:szCs w:val="21"/>
          <w:lang w:val="en-US" w:eastAsia="zh-CN"/>
        </w:rPr>
      </w:pPr>
      <w:r>
        <w:fldChar w:fldCharType="begin"/>
      </w:r>
      <w:r>
        <w:instrText xml:space="preserve"> HYPERLINK \l "_Toc107141990" </w:instrText>
      </w:r>
      <w:r>
        <w:fldChar w:fldCharType="separate"/>
      </w:r>
      <w:r>
        <w:rPr>
          <w:rFonts w:hint="eastAsia" w:ascii="方正小标宋简体" w:hAnsi="方正小标宋简体" w:eastAsia="方正小标宋简体" w:cs="方正小标宋简体"/>
          <w:snapToGrid w:val="0"/>
          <w:color w:val="000000"/>
          <w:kern w:val="0"/>
          <w:sz w:val="32"/>
          <w:szCs w:val="21"/>
          <w:lang w:eastAsia="en-US"/>
        </w:rPr>
        <w:t>第</w:t>
      </w:r>
      <w:r>
        <w:rPr>
          <w:rFonts w:hint="eastAsia" w:ascii="方正小标宋简体" w:hAnsi="方正小标宋简体" w:eastAsia="方正小标宋简体" w:cs="方正小标宋简体"/>
          <w:snapToGrid w:val="0"/>
          <w:color w:val="000000"/>
          <w:kern w:val="0"/>
          <w:sz w:val="32"/>
          <w:szCs w:val="21"/>
        </w:rPr>
        <w:t>五</w:t>
      </w:r>
      <w:r>
        <w:rPr>
          <w:rFonts w:hint="eastAsia" w:ascii="方正小标宋简体" w:hAnsi="方正小标宋简体" w:eastAsia="方正小标宋简体" w:cs="方正小标宋简体"/>
          <w:snapToGrid w:val="0"/>
          <w:color w:val="000000"/>
          <w:kern w:val="0"/>
          <w:sz w:val="32"/>
          <w:szCs w:val="21"/>
          <w:lang w:eastAsia="en-US"/>
        </w:rPr>
        <w:t>部分</w:t>
      </w:r>
      <w:r>
        <w:rPr>
          <w:rFonts w:hint="eastAsia" w:ascii="方正小标宋简体" w:hAnsi="方正小标宋简体" w:eastAsia="方正小标宋简体" w:cs="方正小标宋简体"/>
          <w:snapToGrid w:val="0"/>
          <w:color w:val="000000"/>
          <w:kern w:val="0"/>
          <w:sz w:val="32"/>
          <w:szCs w:val="21"/>
        </w:rPr>
        <w:t xml:space="preserve"> 建设项目类安全管理制度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54</w:t>
      </w:r>
    </w:p>
    <w:p w14:paraId="3B078E54">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二十四、</w:t>
      </w:r>
      <w:r>
        <w:fldChar w:fldCharType="begin"/>
      </w:r>
      <w:r>
        <w:instrText xml:space="preserve"> HYPERLINK \l "_Toc1457518641" </w:instrText>
      </w:r>
      <w:r>
        <w:fldChar w:fldCharType="separate"/>
      </w:r>
      <w:r>
        <w:rPr>
          <w:rFonts w:ascii="Times New Roman" w:hAnsi="Times New Roman" w:eastAsia="仿宋" w:cs="Arial"/>
          <w:snapToGrid w:val="0"/>
          <w:color w:val="000000"/>
          <w:kern w:val="0"/>
          <w:sz w:val="32"/>
          <w:szCs w:val="44"/>
          <w:lang w:eastAsia="en-US"/>
        </w:rPr>
        <w:t>入园项目联合审查管理办法</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55</w:t>
      </w:r>
    </w:p>
    <w:p w14:paraId="2BEBFEA3">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二十五、</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_Toc2017251642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企业（项目）退出管理办法</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70</w:t>
      </w:r>
    </w:p>
    <w:p w14:paraId="1794900E">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二十六、</w:t>
      </w:r>
      <w:r>
        <w:fldChar w:fldCharType="begin"/>
      </w:r>
      <w:r>
        <w:instrText xml:space="preserve"> HYPERLINK \l "_Toc2078642178" </w:instrText>
      </w:r>
      <w:r>
        <w:fldChar w:fldCharType="separate"/>
      </w:r>
      <w:r>
        <w:rPr>
          <w:rFonts w:ascii="Times New Roman" w:hAnsi="Times New Roman" w:eastAsia="仿宋" w:cs="Arial"/>
          <w:snapToGrid w:val="0"/>
          <w:color w:val="000000"/>
          <w:kern w:val="0"/>
          <w:sz w:val="32"/>
          <w:szCs w:val="21"/>
        </w:rPr>
        <w:t>危险化学品建设项目安全风险防控制度</w:t>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72</w:t>
      </w:r>
    </w:p>
    <w:p w14:paraId="39671E96">
      <w:pPr>
        <w:tabs>
          <w:tab w:val="right" w:leader="dot" w:pos="8306"/>
        </w:tabs>
        <w:kinsoku w:val="0"/>
        <w:autoSpaceDE w:val="0"/>
        <w:autoSpaceDN w:val="0"/>
        <w:adjustRightInd w:val="0"/>
        <w:snapToGrid w:val="0"/>
        <w:spacing w:line="600" w:lineRule="exact"/>
        <w:ind w:firstLine="420" w:firstLineChars="200"/>
        <w:jc w:val="left"/>
        <w:textAlignment w:val="baseline"/>
        <w:rPr>
          <w:rFonts w:hint="default" w:ascii="Times New Roman" w:hAnsi="Times New Roman" w:eastAsia="仿宋" w:cs="Arial"/>
          <w:snapToGrid w:val="0"/>
          <w:color w:val="000000"/>
          <w:kern w:val="0"/>
          <w:sz w:val="32"/>
          <w:szCs w:val="21"/>
          <w:lang w:val="en-US" w:eastAsia="zh-CN"/>
        </w:rPr>
      </w:pPr>
      <w:r>
        <w:fldChar w:fldCharType="begin"/>
      </w:r>
      <w:r>
        <w:instrText xml:space="preserve"> HYPERLINK \l "_Toc1887105547" </w:instrText>
      </w:r>
      <w:r>
        <w:fldChar w:fldCharType="separate"/>
      </w:r>
      <w:r>
        <w:rPr>
          <w:rFonts w:hint="eastAsia" w:ascii="方正小标宋简体" w:hAnsi="方正小标宋简体" w:eastAsia="方正小标宋简体" w:cs="方正小标宋简体"/>
          <w:snapToGrid w:val="0"/>
          <w:color w:val="000000"/>
          <w:kern w:val="0"/>
          <w:sz w:val="32"/>
          <w:szCs w:val="21"/>
          <w:lang w:eastAsia="en-US"/>
        </w:rPr>
        <w:t>第</w:t>
      </w:r>
      <w:r>
        <w:rPr>
          <w:rFonts w:hint="eastAsia" w:ascii="方正小标宋简体" w:hAnsi="方正小标宋简体" w:eastAsia="方正小标宋简体" w:cs="方正小标宋简体"/>
          <w:snapToGrid w:val="0"/>
          <w:color w:val="000000"/>
          <w:kern w:val="0"/>
          <w:sz w:val="32"/>
          <w:szCs w:val="21"/>
        </w:rPr>
        <w:t>六</w:t>
      </w:r>
      <w:r>
        <w:rPr>
          <w:rFonts w:hint="eastAsia" w:ascii="方正小标宋简体" w:hAnsi="方正小标宋简体" w:eastAsia="方正小标宋简体" w:cs="方正小标宋简体"/>
          <w:snapToGrid w:val="0"/>
          <w:color w:val="000000"/>
          <w:kern w:val="0"/>
          <w:sz w:val="32"/>
          <w:szCs w:val="21"/>
          <w:lang w:eastAsia="en-US"/>
        </w:rPr>
        <w:t>部分</w:t>
      </w:r>
      <w:r>
        <w:rPr>
          <w:rFonts w:hint="eastAsia" w:ascii="方正小标宋简体" w:hAnsi="方正小标宋简体" w:eastAsia="方正小标宋简体" w:cs="方正小标宋简体"/>
          <w:snapToGrid w:val="0"/>
          <w:color w:val="000000"/>
          <w:kern w:val="0"/>
          <w:sz w:val="32"/>
          <w:szCs w:val="21"/>
        </w:rPr>
        <w:t xml:space="preserve"> 第三方管理制度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1</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76</w:t>
      </w:r>
    </w:p>
    <w:p w14:paraId="440D2E7E">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ascii="Times New Roman" w:hAnsi="Times New Roman" w:eastAsia="仿宋" w:cs="Arial"/>
          <w:snapToGrid w:val="0"/>
          <w:color w:val="000000"/>
          <w:kern w:val="0"/>
          <w:sz w:val="32"/>
          <w:szCs w:val="21"/>
          <w:lang w:eastAsia="en-US"/>
        </w:rPr>
      </w:pPr>
      <w:r>
        <w:rPr>
          <w:rFonts w:hint="eastAsia" w:ascii="Times New Roman" w:hAnsi="Times New Roman" w:eastAsia="仿宋" w:cs="Arial"/>
          <w:snapToGrid w:val="0"/>
          <w:color w:val="000000"/>
          <w:kern w:val="0"/>
          <w:sz w:val="32"/>
          <w:szCs w:val="32"/>
        </w:rPr>
        <w:t>二十七、</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_Toc307062239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承包商准入与退出及黑名单管理制度</w:t>
      </w:r>
      <w:r>
        <w:rPr>
          <w:rFonts w:ascii="Times New Roman" w:hAnsi="Times New Roman" w:eastAsia="仿宋" w:cs="Arial"/>
          <w:snapToGrid w:val="0"/>
          <w:color w:val="000000"/>
          <w:kern w:val="0"/>
          <w:sz w:val="32"/>
          <w:szCs w:val="21"/>
          <w:lang w:eastAsia="en-US"/>
        </w:rPr>
        <w:tab/>
      </w:r>
      <w:r>
        <w:rPr>
          <w:rFonts w:ascii="Times New Roman" w:hAnsi="Times New Roman" w:eastAsia="仿宋" w:cs="Arial"/>
          <w:snapToGrid w:val="0"/>
          <w:color w:val="000000"/>
          <w:kern w:val="0"/>
          <w:sz w:val="32"/>
          <w:szCs w:val="21"/>
          <w:lang w:eastAsia="en-US"/>
        </w:rPr>
        <w:fldChar w:fldCharType="begin"/>
      </w:r>
      <w:r>
        <w:rPr>
          <w:rFonts w:ascii="Times New Roman" w:hAnsi="Times New Roman" w:eastAsia="仿宋" w:cs="Arial"/>
          <w:snapToGrid w:val="0"/>
          <w:color w:val="000000"/>
          <w:kern w:val="0"/>
          <w:sz w:val="32"/>
          <w:szCs w:val="21"/>
          <w:lang w:eastAsia="en-US"/>
        </w:rPr>
        <w:instrText xml:space="preserve"> PAGEREF _Toc307062239 \h </w:instrText>
      </w:r>
      <w:r>
        <w:rPr>
          <w:rFonts w:ascii="Times New Roman" w:hAnsi="Times New Roman" w:eastAsia="仿宋" w:cs="Arial"/>
          <w:snapToGrid w:val="0"/>
          <w:color w:val="000000"/>
          <w:kern w:val="0"/>
          <w:sz w:val="32"/>
          <w:szCs w:val="21"/>
          <w:lang w:eastAsia="en-US"/>
        </w:rPr>
        <w:fldChar w:fldCharType="separate"/>
      </w:r>
      <w:r>
        <w:rPr>
          <w:rFonts w:ascii="Times New Roman" w:hAnsi="Times New Roman" w:eastAsia="仿宋" w:cs="Arial"/>
          <w:snapToGrid w:val="0"/>
          <w:color w:val="000000"/>
          <w:kern w:val="0"/>
          <w:sz w:val="32"/>
          <w:szCs w:val="21"/>
          <w:lang w:eastAsia="en-US"/>
        </w:rPr>
        <w:t>1</w:t>
      </w:r>
      <w:r>
        <w:rPr>
          <w:rFonts w:hint="eastAsia" w:ascii="Times New Roman" w:hAnsi="Times New Roman" w:eastAsia="仿宋" w:cs="Arial"/>
          <w:snapToGrid w:val="0"/>
          <w:color w:val="000000"/>
          <w:kern w:val="0"/>
          <w:sz w:val="32"/>
          <w:szCs w:val="21"/>
          <w:lang w:val="en-US" w:eastAsia="zh-CN"/>
        </w:rPr>
        <w:t>7</w:t>
      </w:r>
      <w:r>
        <w:rPr>
          <w:rFonts w:ascii="Times New Roman" w:hAnsi="Times New Roman" w:eastAsia="仿宋" w:cs="Arial"/>
          <w:snapToGrid w:val="0"/>
          <w:color w:val="000000"/>
          <w:kern w:val="0"/>
          <w:sz w:val="32"/>
          <w:szCs w:val="21"/>
          <w:lang w:eastAsia="en-US"/>
        </w:rPr>
        <w:t>7</w:t>
      </w:r>
      <w:r>
        <w:rPr>
          <w:rFonts w:ascii="Times New Roman" w:hAnsi="Times New Roman" w:eastAsia="仿宋" w:cs="Arial"/>
          <w:snapToGrid w:val="0"/>
          <w:color w:val="000000"/>
          <w:kern w:val="0"/>
          <w:sz w:val="32"/>
          <w:szCs w:val="21"/>
          <w:lang w:eastAsia="en-US"/>
        </w:rPr>
        <w:fldChar w:fldCharType="end"/>
      </w:r>
      <w:r>
        <w:rPr>
          <w:rFonts w:ascii="Times New Roman" w:hAnsi="Times New Roman" w:eastAsia="仿宋" w:cs="Arial"/>
          <w:snapToGrid w:val="0"/>
          <w:color w:val="000000"/>
          <w:kern w:val="0"/>
          <w:sz w:val="32"/>
          <w:szCs w:val="32"/>
          <w:lang w:eastAsia="en-US"/>
        </w:rPr>
        <w:fldChar w:fldCharType="end"/>
      </w:r>
    </w:p>
    <w:p w14:paraId="48BD74FC">
      <w:pPr>
        <w:tabs>
          <w:tab w:val="right" w:leader="dot" w:pos="8306"/>
        </w:tabs>
        <w:kinsoku w:val="0"/>
        <w:autoSpaceDE w:val="0"/>
        <w:autoSpaceDN w:val="0"/>
        <w:adjustRightInd w:val="0"/>
        <w:snapToGrid w:val="0"/>
        <w:spacing w:line="600" w:lineRule="exact"/>
        <w:ind w:firstLine="420" w:firstLineChars="200"/>
        <w:jc w:val="left"/>
        <w:textAlignment w:val="baseline"/>
        <w:rPr>
          <w:rFonts w:hint="default" w:ascii="Times New Roman" w:hAnsi="Times New Roman" w:eastAsia="仿宋" w:cs="Arial"/>
          <w:snapToGrid w:val="0"/>
          <w:color w:val="000000"/>
          <w:kern w:val="0"/>
          <w:sz w:val="32"/>
          <w:szCs w:val="21"/>
          <w:lang w:val="en-US" w:eastAsia="zh-CN"/>
        </w:rPr>
      </w:pPr>
      <w:r>
        <w:fldChar w:fldCharType="begin"/>
      </w:r>
      <w:r>
        <w:instrText xml:space="preserve"> HYPERLINK \l "_Toc1100276557" </w:instrText>
      </w:r>
      <w:r>
        <w:fldChar w:fldCharType="separate"/>
      </w:r>
      <w:r>
        <w:rPr>
          <w:rFonts w:hint="eastAsia" w:ascii="方正小标宋简体" w:hAnsi="方正小标宋简体" w:eastAsia="方正小标宋简体" w:cs="方正小标宋简体"/>
          <w:snapToGrid w:val="0"/>
          <w:color w:val="000000"/>
          <w:kern w:val="0"/>
          <w:sz w:val="32"/>
          <w:szCs w:val="21"/>
          <w:lang w:eastAsia="en-US"/>
        </w:rPr>
        <w:t>第</w:t>
      </w:r>
      <w:r>
        <w:rPr>
          <w:rFonts w:hint="eastAsia" w:ascii="方正小标宋简体" w:hAnsi="方正小标宋简体" w:eastAsia="方正小标宋简体" w:cs="方正小标宋简体"/>
          <w:snapToGrid w:val="0"/>
          <w:color w:val="000000"/>
          <w:kern w:val="0"/>
          <w:sz w:val="32"/>
          <w:szCs w:val="21"/>
        </w:rPr>
        <w:t>七</w:t>
      </w:r>
      <w:r>
        <w:rPr>
          <w:rFonts w:hint="eastAsia" w:ascii="方正小标宋简体" w:hAnsi="方正小标宋简体" w:eastAsia="方正小标宋简体" w:cs="方正小标宋简体"/>
          <w:snapToGrid w:val="0"/>
          <w:color w:val="000000"/>
          <w:kern w:val="0"/>
          <w:sz w:val="32"/>
          <w:szCs w:val="21"/>
          <w:lang w:eastAsia="en-US"/>
        </w:rPr>
        <w:t>部分</w:t>
      </w:r>
      <w:r>
        <w:rPr>
          <w:rFonts w:hint="eastAsia" w:ascii="方正小标宋简体" w:hAnsi="方正小标宋简体" w:eastAsia="方正小标宋简体" w:cs="方正小标宋简体"/>
          <w:snapToGrid w:val="0"/>
          <w:color w:val="000000"/>
          <w:kern w:val="0"/>
          <w:sz w:val="32"/>
          <w:szCs w:val="21"/>
        </w:rPr>
        <w:t xml:space="preserve"> 应急管理制度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2</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03</w:t>
      </w:r>
    </w:p>
    <w:p w14:paraId="273DBFE4">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二十八、</w:t>
      </w:r>
      <w:r>
        <w:fldChar w:fldCharType="begin"/>
      </w:r>
      <w:r>
        <w:instrText xml:space="preserve"> HYPERLINK \l "_Toc117669905" </w:instrText>
      </w:r>
      <w:r>
        <w:fldChar w:fldCharType="separate"/>
      </w:r>
      <w:r>
        <w:rPr>
          <w:rFonts w:ascii="Times New Roman" w:hAnsi="Times New Roman" w:eastAsia="仿宋" w:cs="Arial"/>
          <w:snapToGrid w:val="0"/>
          <w:color w:val="000000"/>
          <w:kern w:val="0"/>
          <w:sz w:val="32"/>
          <w:szCs w:val="21"/>
        </w:rPr>
        <w:t>应急管理制度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2</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04</w:t>
      </w:r>
    </w:p>
    <w:p w14:paraId="06F7473A">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二十九、</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lang w:eastAsia="en-US"/>
        </w:rPr>
        <w:instrText xml:space="preserve"> HYPERLINK \l _Toc1116134439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行业联合监管、协同执法、应急救援机制管理制度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2</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10</w:t>
      </w:r>
    </w:p>
    <w:p w14:paraId="201A167B">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三十、</w:t>
      </w:r>
      <w:r>
        <w:rPr>
          <w:spacing w:val="-17"/>
        </w:rPr>
        <w:fldChar w:fldCharType="begin"/>
      </w:r>
      <w:r>
        <w:rPr>
          <w:spacing w:val="-17"/>
        </w:rPr>
        <w:instrText xml:space="preserve"> HYPERLINK \l "_Toc1907171203" </w:instrText>
      </w:r>
      <w:r>
        <w:rPr>
          <w:spacing w:val="-17"/>
        </w:rPr>
        <w:fldChar w:fldCharType="separate"/>
      </w:r>
      <w:r>
        <w:rPr>
          <w:rFonts w:ascii="Times New Roman" w:hAnsi="Times New Roman" w:eastAsia="仿宋" w:cs="Arial"/>
          <w:snapToGrid w:val="0"/>
          <w:color w:val="000000"/>
          <w:spacing w:val="-17"/>
          <w:kern w:val="0"/>
          <w:sz w:val="32"/>
          <w:szCs w:val="21"/>
        </w:rPr>
        <w:t>化工园区企业及公共应急物资储备</w:t>
      </w:r>
      <w:r>
        <w:rPr>
          <w:rFonts w:ascii="Times New Roman" w:hAnsi="Times New Roman" w:eastAsia="仿宋" w:cs="Arial"/>
          <w:snapToGrid w:val="0"/>
          <w:color w:val="000000"/>
          <w:spacing w:val="-17"/>
          <w:kern w:val="0"/>
          <w:sz w:val="32"/>
          <w:szCs w:val="21"/>
          <w:lang w:eastAsia="en-US"/>
        </w:rPr>
        <w:fldChar w:fldCharType="end"/>
      </w:r>
      <w:r>
        <w:rPr>
          <w:rFonts w:ascii="Times New Roman" w:hAnsi="Times New Roman" w:eastAsia="仿宋" w:cs="Arial"/>
          <w:snapToGrid w:val="0"/>
          <w:color w:val="000000"/>
          <w:spacing w:val="-17"/>
          <w:kern w:val="0"/>
          <w:sz w:val="32"/>
          <w:szCs w:val="32"/>
          <w:lang w:eastAsia="en-US"/>
        </w:rPr>
        <w:fldChar w:fldCharType="begin"/>
      </w:r>
      <w:r>
        <w:rPr>
          <w:rFonts w:ascii="Times New Roman" w:hAnsi="Times New Roman" w:eastAsia="仿宋" w:cs="Arial"/>
          <w:snapToGrid w:val="0"/>
          <w:color w:val="000000"/>
          <w:spacing w:val="-17"/>
          <w:kern w:val="0"/>
          <w:sz w:val="32"/>
          <w:szCs w:val="32"/>
          <w:lang w:eastAsia="en-US"/>
        </w:rPr>
        <w:instrText xml:space="preserve"> HYPERLINK \l _Toc1003415645 </w:instrText>
      </w:r>
      <w:r>
        <w:rPr>
          <w:rFonts w:ascii="Times New Roman" w:hAnsi="Times New Roman" w:eastAsia="仿宋" w:cs="Arial"/>
          <w:snapToGrid w:val="0"/>
          <w:color w:val="000000"/>
          <w:spacing w:val="-17"/>
          <w:kern w:val="0"/>
          <w:sz w:val="32"/>
          <w:szCs w:val="32"/>
          <w:lang w:eastAsia="en-US"/>
        </w:rPr>
        <w:fldChar w:fldCharType="separate"/>
      </w:r>
      <w:r>
        <w:rPr>
          <w:rFonts w:ascii="Times New Roman" w:hAnsi="Times New Roman" w:eastAsia="仿宋" w:cs="Arial"/>
          <w:snapToGrid w:val="0"/>
          <w:color w:val="000000"/>
          <w:spacing w:val="-17"/>
          <w:kern w:val="0"/>
          <w:sz w:val="32"/>
          <w:szCs w:val="21"/>
        </w:rPr>
        <w:t>保障制度</w:t>
      </w:r>
      <w:r>
        <w:rPr>
          <w:rFonts w:ascii="Times New Roman" w:hAnsi="Times New Roman" w:eastAsia="仿宋" w:cs="Arial"/>
          <w:snapToGrid w:val="0"/>
          <w:color w:val="000000"/>
          <w:spacing w:val="-17"/>
          <w:kern w:val="0"/>
          <w:sz w:val="32"/>
          <w:szCs w:val="21"/>
          <w:lang w:eastAsia="en-US"/>
        </w:rPr>
        <w:tab/>
      </w:r>
      <w:r>
        <w:rPr>
          <w:rFonts w:hint="eastAsia" w:ascii="Times New Roman" w:hAnsi="Times New Roman" w:eastAsia="仿宋" w:cs="Arial"/>
          <w:snapToGrid w:val="0"/>
          <w:color w:val="000000"/>
          <w:spacing w:val="-17"/>
          <w:kern w:val="0"/>
          <w:sz w:val="32"/>
          <w:szCs w:val="21"/>
          <w:lang w:val="en-US" w:eastAsia="zh-CN"/>
        </w:rPr>
        <w:t>2</w:t>
      </w:r>
      <w:r>
        <w:rPr>
          <w:rFonts w:ascii="Times New Roman" w:hAnsi="Times New Roman" w:eastAsia="仿宋" w:cs="Arial"/>
          <w:snapToGrid w:val="0"/>
          <w:color w:val="000000"/>
          <w:spacing w:val="-17"/>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14</w:t>
      </w:r>
    </w:p>
    <w:p w14:paraId="23DD3225">
      <w:pPr>
        <w:tabs>
          <w:tab w:val="right" w:leader="dot" w:pos="8306"/>
        </w:tabs>
        <w:kinsoku w:val="0"/>
        <w:autoSpaceDE w:val="0"/>
        <w:autoSpaceDN w:val="0"/>
        <w:adjustRightInd w:val="0"/>
        <w:snapToGrid w:val="0"/>
        <w:spacing w:line="600" w:lineRule="exact"/>
        <w:ind w:firstLine="420" w:firstLineChars="200"/>
        <w:jc w:val="left"/>
        <w:textAlignment w:val="baseline"/>
        <w:rPr>
          <w:rFonts w:hint="default" w:ascii="Times New Roman" w:hAnsi="Times New Roman" w:eastAsia="仿宋" w:cs="Arial"/>
          <w:snapToGrid w:val="0"/>
          <w:color w:val="000000"/>
          <w:kern w:val="0"/>
          <w:sz w:val="32"/>
          <w:szCs w:val="21"/>
          <w:lang w:val="en-US" w:eastAsia="zh-CN"/>
        </w:rPr>
      </w:pPr>
      <w:r>
        <w:fldChar w:fldCharType="begin"/>
      </w:r>
      <w:r>
        <w:instrText xml:space="preserve"> HYPERLINK \l "_Toc760750295" </w:instrText>
      </w:r>
      <w:r>
        <w:fldChar w:fldCharType="separate"/>
      </w:r>
      <w:r>
        <w:rPr>
          <w:rFonts w:hint="eastAsia" w:ascii="方正小标宋简体" w:hAnsi="方正小标宋简体" w:eastAsia="方正小标宋简体" w:cs="方正小标宋简体"/>
          <w:snapToGrid w:val="0"/>
          <w:color w:val="000000"/>
          <w:kern w:val="0"/>
          <w:sz w:val="32"/>
          <w:szCs w:val="21"/>
          <w:lang w:eastAsia="en-US"/>
        </w:rPr>
        <w:t>第</w:t>
      </w:r>
      <w:r>
        <w:rPr>
          <w:rFonts w:hint="eastAsia" w:ascii="方正小标宋简体" w:hAnsi="方正小标宋简体" w:eastAsia="方正小标宋简体" w:cs="方正小标宋简体"/>
          <w:snapToGrid w:val="0"/>
          <w:color w:val="000000"/>
          <w:kern w:val="0"/>
          <w:sz w:val="32"/>
          <w:szCs w:val="21"/>
        </w:rPr>
        <w:t>八</w:t>
      </w:r>
      <w:r>
        <w:rPr>
          <w:rFonts w:hint="eastAsia" w:ascii="方正小标宋简体" w:hAnsi="方正小标宋简体" w:eastAsia="方正小标宋简体" w:cs="方正小标宋简体"/>
          <w:snapToGrid w:val="0"/>
          <w:color w:val="000000"/>
          <w:kern w:val="0"/>
          <w:sz w:val="32"/>
          <w:szCs w:val="21"/>
          <w:lang w:eastAsia="en-US"/>
        </w:rPr>
        <w:t>部分</w:t>
      </w:r>
      <w:r>
        <w:rPr>
          <w:rFonts w:hint="eastAsia" w:ascii="方正小标宋简体" w:hAnsi="方正小标宋简体" w:eastAsia="方正小标宋简体" w:cs="方正小标宋简体"/>
          <w:snapToGrid w:val="0"/>
          <w:color w:val="000000"/>
          <w:kern w:val="0"/>
          <w:sz w:val="32"/>
          <w:szCs w:val="21"/>
        </w:rPr>
        <w:t xml:space="preserve"> </w:t>
      </w:r>
      <w:r>
        <w:rPr>
          <w:rFonts w:hint="eastAsia" w:ascii="方正小标宋简体" w:hAnsi="方正小标宋简体" w:eastAsia="方正小标宋简体" w:cs="方正小标宋简体"/>
          <w:snapToGrid w:val="0"/>
          <w:color w:val="000000"/>
          <w:spacing w:val="-20"/>
          <w:kern w:val="0"/>
          <w:sz w:val="32"/>
          <w:szCs w:val="21"/>
        </w:rPr>
        <w:t>消防和自然灾害安全管理制度</w:t>
      </w:r>
      <w:r>
        <w:rPr>
          <w:rFonts w:ascii="Times New Roman" w:hAnsi="Times New Roman" w:eastAsia="仿宋" w:cs="Arial"/>
          <w:snapToGrid w:val="0"/>
          <w:color w:val="000000"/>
          <w:kern w:val="0"/>
          <w:sz w:val="32"/>
          <w:szCs w:val="21"/>
          <w:lang w:eastAsia="en-US"/>
        </w:rPr>
        <w:tab/>
      </w:r>
      <w:r>
        <w:rPr>
          <w:rFonts w:hint="eastAsia" w:ascii="Times New Roman" w:hAnsi="Times New Roman" w:eastAsia="仿宋" w:cs="Arial"/>
          <w:snapToGrid w:val="0"/>
          <w:color w:val="000000"/>
          <w:kern w:val="0"/>
          <w:sz w:val="32"/>
          <w:szCs w:val="21"/>
          <w:lang w:val="en-US" w:eastAsia="zh-CN"/>
        </w:rPr>
        <w:t>2</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19</w:t>
      </w:r>
    </w:p>
    <w:p w14:paraId="77D97786">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三十</w:t>
      </w:r>
      <w:r>
        <w:rPr>
          <w:rFonts w:hint="eastAsia" w:ascii="Times New Roman" w:hAnsi="Times New Roman" w:eastAsia="仿宋" w:cs="Arial"/>
          <w:snapToGrid w:val="0"/>
          <w:color w:val="000000"/>
          <w:kern w:val="0"/>
          <w:sz w:val="32"/>
          <w:szCs w:val="32"/>
          <w:lang w:eastAsia="zh-CN"/>
        </w:rPr>
        <w:t>一</w:t>
      </w:r>
      <w:r>
        <w:rPr>
          <w:rFonts w:hint="eastAsia" w:ascii="Times New Roman" w:hAnsi="Times New Roman" w:eastAsia="仿宋" w:cs="Arial"/>
          <w:snapToGrid w:val="0"/>
          <w:color w:val="000000"/>
          <w:kern w:val="0"/>
          <w:sz w:val="32"/>
          <w:szCs w:val="32"/>
        </w:rPr>
        <w:t>、</w:t>
      </w:r>
      <w:r>
        <w:rPr>
          <w:rFonts w:ascii="Times New Roman" w:hAnsi="Times New Roman" w:eastAsia="仿宋" w:cs="Arial"/>
          <w:snapToGrid w:val="0"/>
          <w:color w:val="000000"/>
          <w:kern w:val="0"/>
          <w:sz w:val="32"/>
          <w:szCs w:val="32"/>
          <w:lang w:eastAsia="en-US"/>
        </w:rPr>
        <w:fldChar w:fldCharType="begin"/>
      </w:r>
      <w:r>
        <w:rPr>
          <w:rFonts w:ascii="Times New Roman" w:hAnsi="Times New Roman" w:eastAsia="仿宋" w:cs="Arial"/>
          <w:snapToGrid w:val="0"/>
          <w:color w:val="000000"/>
          <w:kern w:val="0"/>
          <w:sz w:val="32"/>
          <w:szCs w:val="32"/>
        </w:rPr>
        <w:instrText xml:space="preserve"> HYPERLINK \l _Toc290782110 </w:instrText>
      </w:r>
      <w:r>
        <w:rPr>
          <w:rFonts w:ascii="Times New Roman" w:hAnsi="Times New Roman" w:eastAsia="仿宋" w:cs="Arial"/>
          <w:snapToGrid w:val="0"/>
          <w:color w:val="000000"/>
          <w:kern w:val="0"/>
          <w:sz w:val="32"/>
          <w:szCs w:val="32"/>
          <w:lang w:eastAsia="en-US"/>
        </w:rPr>
        <w:fldChar w:fldCharType="separate"/>
      </w:r>
      <w:r>
        <w:rPr>
          <w:rFonts w:ascii="Times New Roman" w:hAnsi="Times New Roman" w:eastAsia="仿宋" w:cs="Arial"/>
          <w:snapToGrid w:val="0"/>
          <w:color w:val="000000"/>
          <w:kern w:val="0"/>
          <w:sz w:val="32"/>
          <w:szCs w:val="21"/>
        </w:rPr>
        <w:t>消防安全管理制度</w:t>
      </w:r>
      <w:r>
        <w:rPr>
          <w:rFonts w:ascii="Times New Roman" w:hAnsi="Times New Roman" w:eastAsia="仿宋" w:cs="Arial"/>
          <w:snapToGrid w:val="0"/>
          <w:color w:val="000000"/>
          <w:kern w:val="0"/>
          <w:sz w:val="32"/>
          <w:szCs w:val="21"/>
        </w:rPr>
        <w:tab/>
      </w:r>
      <w:r>
        <w:rPr>
          <w:rFonts w:hint="eastAsia" w:ascii="Times New Roman" w:hAnsi="Times New Roman" w:eastAsia="仿宋" w:cs="Arial"/>
          <w:snapToGrid w:val="0"/>
          <w:color w:val="000000"/>
          <w:kern w:val="0"/>
          <w:sz w:val="32"/>
          <w:szCs w:val="21"/>
          <w:lang w:val="en-US" w:eastAsia="zh-CN"/>
        </w:rPr>
        <w:t>2</w:t>
      </w:r>
      <w:r>
        <w:rPr>
          <w:rFonts w:ascii="Times New Roman" w:hAnsi="Times New Roman" w:eastAsia="仿宋" w:cs="Arial"/>
          <w:snapToGrid w:val="0"/>
          <w:color w:val="000000"/>
          <w:kern w:val="0"/>
          <w:sz w:val="32"/>
          <w:szCs w:val="32"/>
          <w:lang w:eastAsia="en-US"/>
        </w:rPr>
        <w:fldChar w:fldCharType="end"/>
      </w:r>
      <w:r>
        <w:rPr>
          <w:rFonts w:hint="eastAsia" w:ascii="Times New Roman" w:hAnsi="Times New Roman" w:eastAsia="仿宋" w:cs="Arial"/>
          <w:snapToGrid w:val="0"/>
          <w:color w:val="000000"/>
          <w:kern w:val="0"/>
          <w:sz w:val="32"/>
          <w:szCs w:val="32"/>
          <w:lang w:val="en-US" w:eastAsia="zh-CN"/>
        </w:rPr>
        <w:t>20</w:t>
      </w:r>
      <w:bookmarkStart w:id="86" w:name="_GoBack"/>
      <w:bookmarkEnd w:id="86"/>
    </w:p>
    <w:p w14:paraId="6CCB57D2">
      <w:pPr>
        <w:tabs>
          <w:tab w:val="right" w:leader="dot" w:pos="8306"/>
        </w:tabs>
        <w:kinsoku w:val="0"/>
        <w:autoSpaceDE w:val="0"/>
        <w:autoSpaceDN w:val="0"/>
        <w:adjustRightInd w:val="0"/>
        <w:snapToGrid w:val="0"/>
        <w:spacing w:line="600" w:lineRule="exact"/>
        <w:ind w:left="420" w:leftChars="200" w:firstLine="640" w:firstLineChars="200"/>
        <w:jc w:val="left"/>
        <w:textAlignment w:val="baseline"/>
        <w:rPr>
          <w:rFonts w:hint="default" w:ascii="Times New Roman" w:hAnsi="Times New Roman" w:eastAsia="仿宋" w:cs="Arial"/>
          <w:snapToGrid w:val="0"/>
          <w:color w:val="000000"/>
          <w:kern w:val="0"/>
          <w:sz w:val="32"/>
          <w:szCs w:val="21"/>
          <w:lang w:val="en-US" w:eastAsia="zh-CN"/>
        </w:rPr>
      </w:pPr>
      <w:r>
        <w:rPr>
          <w:rFonts w:hint="eastAsia" w:ascii="Times New Roman" w:hAnsi="Times New Roman" w:eastAsia="仿宋" w:cs="Arial"/>
          <w:snapToGrid w:val="0"/>
          <w:color w:val="000000"/>
          <w:kern w:val="0"/>
          <w:sz w:val="32"/>
          <w:szCs w:val="32"/>
        </w:rPr>
        <w:t>三十</w:t>
      </w:r>
      <w:r>
        <w:rPr>
          <w:rFonts w:hint="eastAsia" w:ascii="Times New Roman" w:hAnsi="Times New Roman" w:eastAsia="仿宋" w:cs="Arial"/>
          <w:snapToGrid w:val="0"/>
          <w:color w:val="000000"/>
          <w:kern w:val="0"/>
          <w:sz w:val="32"/>
          <w:szCs w:val="32"/>
          <w:lang w:eastAsia="zh-CN"/>
        </w:rPr>
        <w:t>二</w:t>
      </w:r>
      <w:r>
        <w:rPr>
          <w:rFonts w:hint="eastAsia" w:ascii="Times New Roman" w:hAnsi="Times New Roman" w:eastAsia="仿宋" w:cs="Arial"/>
          <w:snapToGrid w:val="0"/>
          <w:color w:val="000000"/>
          <w:kern w:val="0"/>
          <w:sz w:val="32"/>
          <w:szCs w:val="32"/>
        </w:rPr>
        <w:t>、</w:t>
      </w:r>
      <w:r>
        <w:fldChar w:fldCharType="begin"/>
      </w:r>
      <w:r>
        <w:instrText xml:space="preserve"> HYPERLINK \l "_Toc248639381" </w:instrText>
      </w:r>
      <w:r>
        <w:fldChar w:fldCharType="separate"/>
      </w:r>
      <w:r>
        <w:rPr>
          <w:rFonts w:ascii="Times New Roman" w:hAnsi="Times New Roman" w:eastAsia="仿宋" w:cs="Arial"/>
          <w:snapToGrid w:val="0"/>
          <w:color w:val="000000"/>
          <w:spacing w:val="-17"/>
          <w:kern w:val="0"/>
          <w:sz w:val="32"/>
          <w:szCs w:val="21"/>
        </w:rPr>
        <w:t>自然灾害监测预警和防范应对管理制度</w:t>
      </w:r>
      <w:r>
        <w:rPr>
          <w:rFonts w:ascii="Times New Roman" w:hAnsi="Times New Roman" w:eastAsia="仿宋" w:cs="Arial"/>
          <w:snapToGrid w:val="0"/>
          <w:color w:val="000000"/>
          <w:kern w:val="0"/>
          <w:sz w:val="32"/>
          <w:szCs w:val="21"/>
        </w:rPr>
        <w:tab/>
      </w:r>
      <w:r>
        <w:rPr>
          <w:rFonts w:hint="eastAsia" w:ascii="Times New Roman" w:hAnsi="Times New Roman" w:eastAsia="仿宋" w:cs="Arial"/>
          <w:snapToGrid w:val="0"/>
          <w:color w:val="000000"/>
          <w:kern w:val="0"/>
          <w:sz w:val="32"/>
          <w:szCs w:val="21"/>
          <w:lang w:val="en-US" w:eastAsia="zh-CN"/>
        </w:rPr>
        <w:t>2</w:t>
      </w:r>
      <w:r>
        <w:rPr>
          <w:rFonts w:ascii="Times New Roman" w:hAnsi="Times New Roman" w:eastAsia="仿宋" w:cs="Arial"/>
          <w:snapToGrid w:val="0"/>
          <w:color w:val="000000"/>
          <w:kern w:val="0"/>
          <w:sz w:val="32"/>
          <w:szCs w:val="21"/>
          <w:lang w:eastAsia="en-US"/>
        </w:rPr>
        <w:fldChar w:fldCharType="end"/>
      </w:r>
      <w:r>
        <w:rPr>
          <w:rFonts w:hint="eastAsia" w:ascii="Times New Roman" w:hAnsi="Times New Roman" w:eastAsia="仿宋" w:cs="Arial"/>
          <w:snapToGrid w:val="0"/>
          <w:color w:val="000000"/>
          <w:kern w:val="0"/>
          <w:sz w:val="32"/>
          <w:szCs w:val="21"/>
          <w:lang w:val="en-US" w:eastAsia="zh-CN"/>
        </w:rPr>
        <w:t>24</w:t>
      </w:r>
    </w:p>
    <w:p w14:paraId="4FF51524">
      <w:pPr>
        <w:tabs>
          <w:tab w:val="right" w:leader="dot" w:pos="8306"/>
        </w:tabs>
        <w:ind w:left="640"/>
        <w:rPr>
          <w:rFonts w:ascii="Times New Roman" w:hAnsi="Times New Roman"/>
        </w:rPr>
        <w:sectPr>
          <w:pgSz w:w="11906" w:h="16838"/>
          <w:pgMar w:top="1440" w:right="1800" w:bottom="1440" w:left="1800" w:header="851" w:footer="992" w:gutter="0"/>
          <w:cols w:space="720" w:num="1"/>
          <w:docGrid w:type="lines" w:linePitch="312" w:charSpace="0"/>
        </w:sectPr>
      </w:pPr>
      <w:r>
        <w:rPr>
          <w:rFonts w:ascii="Times New Roman" w:hAnsi="Times New Roman" w:eastAsia="宋体" w:cs="黑体"/>
          <w:b/>
          <w:sz w:val="32"/>
          <w:szCs w:val="32"/>
        </w:rPr>
        <w:fldChar w:fldCharType="end"/>
      </w:r>
    </w:p>
    <w:p w14:paraId="0838D7AE">
      <w:pPr>
        <w:widowControl/>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kern w:val="0"/>
          <w:sz w:val="32"/>
          <w:szCs w:val="21"/>
        </w:rPr>
      </w:pPr>
      <w:bookmarkStart w:id="0" w:name="OLE_LINK50"/>
    </w:p>
    <w:p w14:paraId="07B6DA46">
      <w:pPr>
        <w:widowControl/>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kern w:val="0"/>
          <w:sz w:val="32"/>
          <w:szCs w:val="21"/>
        </w:rPr>
      </w:pPr>
    </w:p>
    <w:p w14:paraId="0CE05B6B">
      <w:pPr>
        <w:widowControl/>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kern w:val="0"/>
          <w:sz w:val="32"/>
          <w:szCs w:val="21"/>
        </w:rPr>
      </w:pPr>
    </w:p>
    <w:p w14:paraId="161FBCE3">
      <w:pPr>
        <w:widowControl/>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kern w:val="0"/>
          <w:sz w:val="32"/>
          <w:szCs w:val="21"/>
        </w:rPr>
      </w:pPr>
    </w:p>
    <w:p w14:paraId="5A9E1FF6">
      <w:pPr>
        <w:widowControl/>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kern w:val="0"/>
          <w:sz w:val="32"/>
          <w:szCs w:val="21"/>
        </w:rPr>
      </w:pPr>
    </w:p>
    <w:p w14:paraId="7F3D15DA">
      <w:pPr>
        <w:widowControl/>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kern w:val="0"/>
          <w:sz w:val="32"/>
          <w:szCs w:val="21"/>
        </w:rPr>
      </w:pPr>
    </w:p>
    <w:p w14:paraId="657C4534">
      <w:pPr>
        <w:widowControl/>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kern w:val="0"/>
          <w:sz w:val="32"/>
          <w:szCs w:val="21"/>
        </w:rPr>
      </w:pPr>
    </w:p>
    <w:p w14:paraId="6B77C337">
      <w:pPr>
        <w:widowControl/>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kern w:val="0"/>
          <w:sz w:val="32"/>
          <w:szCs w:val="21"/>
        </w:rPr>
      </w:pPr>
    </w:p>
    <w:p w14:paraId="6C890153">
      <w:pPr>
        <w:widowControl/>
        <w:autoSpaceDE w:val="0"/>
        <w:autoSpaceDN w:val="0"/>
        <w:adjustRightInd w:val="0"/>
        <w:snapToGrid w:val="0"/>
        <w:spacing w:line="600" w:lineRule="exact"/>
        <w:ind w:firstLine="640" w:firstLineChars="200"/>
        <w:jc w:val="left"/>
        <w:textAlignment w:val="baseline"/>
        <w:rPr>
          <w:rFonts w:ascii="Times New Roman" w:hAnsi="Times New Roman" w:eastAsia="仿宋" w:cs="Arial"/>
          <w:snapToGrid w:val="0"/>
          <w:kern w:val="0"/>
          <w:sz w:val="32"/>
          <w:szCs w:val="21"/>
        </w:rPr>
      </w:pPr>
    </w:p>
    <w:bookmarkEnd w:id="0"/>
    <w:p w14:paraId="5F04C02A">
      <w:pPr>
        <w:keepNext/>
        <w:keepLines/>
        <w:autoSpaceDE w:val="0"/>
        <w:autoSpaceDN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b/>
          <w:snapToGrid w:val="0"/>
          <w:kern w:val="44"/>
          <w:sz w:val="48"/>
          <w:szCs w:val="21"/>
        </w:rPr>
      </w:pPr>
      <w:bookmarkStart w:id="1" w:name="_Toc1246734910"/>
      <w:bookmarkStart w:id="2" w:name="_Toc429586905"/>
      <w:bookmarkStart w:id="3" w:name="_Toc22443"/>
      <w:bookmarkStart w:id="4" w:name="_Toc1790808391"/>
      <w:bookmarkStart w:id="5" w:name="_Toc4807"/>
      <w:r>
        <w:rPr>
          <w:rFonts w:hint="eastAsia" w:ascii="方正小标宋简体" w:hAnsi="方正小标宋简体" w:eastAsia="方正小标宋简体" w:cs="方正小标宋简体"/>
          <w:b/>
          <w:snapToGrid w:val="0"/>
          <w:kern w:val="44"/>
          <w:sz w:val="48"/>
          <w:szCs w:val="21"/>
        </w:rPr>
        <w:t>第一部分 通用类管理制度</w:t>
      </w:r>
      <w:bookmarkEnd w:id="1"/>
      <w:bookmarkEnd w:id="2"/>
      <w:bookmarkEnd w:id="3"/>
      <w:bookmarkEnd w:id="4"/>
      <w:bookmarkEnd w:id="5"/>
    </w:p>
    <w:p w14:paraId="544D0491">
      <w:pPr>
        <w:ind w:firstLine="640"/>
        <w:rPr>
          <w:rFonts w:hint="eastAsia" w:ascii="方正小标宋简体" w:hAnsi="方正小标宋简体" w:eastAsia="方正小标宋简体" w:cs="方正小标宋简体"/>
        </w:rPr>
        <w:sectPr>
          <w:footerReference r:id="rId5" w:type="default"/>
          <w:pgSz w:w="11906" w:h="16838"/>
          <w:pgMar w:top="1440" w:right="1800" w:bottom="1440" w:left="1800" w:header="851" w:footer="992" w:gutter="0"/>
          <w:pgNumType w:start="1"/>
          <w:cols w:space="720" w:num="1"/>
          <w:docGrid w:type="lines" w:linePitch="312" w:charSpace="0"/>
        </w:sectPr>
      </w:pPr>
    </w:p>
    <w:p w14:paraId="29B50B70">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6" w:name="_Toc947390918"/>
      <w:bookmarkStart w:id="7" w:name="_Toc437294245"/>
      <w:bookmarkStart w:id="8" w:name="_Toc650025879"/>
      <w:bookmarkStart w:id="9" w:name="_Toc32424"/>
      <w:r>
        <w:rPr>
          <w:rFonts w:ascii="Times New Roman" w:hAnsi="Times New Roman" w:eastAsia="方正小标宋简体" w:cs="Arial"/>
          <w:snapToGrid w:val="0"/>
          <w:kern w:val="0"/>
          <w:sz w:val="44"/>
          <w:szCs w:val="21"/>
        </w:rPr>
        <w:t>安全管理制度评审和修订制度</w:t>
      </w:r>
      <w:bookmarkEnd w:id="6"/>
      <w:bookmarkEnd w:id="7"/>
      <w:bookmarkEnd w:id="8"/>
      <w:bookmarkEnd w:id="9"/>
    </w:p>
    <w:p w14:paraId="21849C95">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777D23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w:t>
      </w:r>
      <w:r>
        <w:rPr>
          <w:rFonts w:ascii="Times New Roman" w:hAnsi="Times New Roman" w:eastAsia="仿宋_GB2312" w:cs="Arial"/>
          <w:snapToGrid w:val="0"/>
          <w:kern w:val="0"/>
          <w:sz w:val="32"/>
          <w:szCs w:val="21"/>
        </w:rPr>
        <w:t>为加强安全管理制度体系建设，规范制定、修订程序，确保其有效性和适用性，制定本制度。</w:t>
      </w:r>
    </w:p>
    <w:p w14:paraId="4AC9BE1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w:t>
      </w:r>
      <w:r>
        <w:rPr>
          <w:rFonts w:ascii="Times New Roman" w:hAnsi="Times New Roman" w:eastAsia="仿宋_GB2312" w:cs="Arial"/>
          <w:snapToGrid w:val="0"/>
          <w:kern w:val="0"/>
          <w:sz w:val="32"/>
          <w:szCs w:val="21"/>
        </w:rPr>
        <w:t>本制度适用于常德经济技术开发区枫树岗化工片区（以下简称“化工园区”）安全管理制度的评审与修订。</w:t>
      </w:r>
    </w:p>
    <w:p w14:paraId="388E2DE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产业发展局（安全监管局）是评审的牵头</w:t>
      </w:r>
      <w:r>
        <w:rPr>
          <w:rFonts w:hint="eastAsia" w:ascii="Times New Roman" w:hAnsi="Times New Roman" w:eastAsia="仿宋" w:cs="Arial"/>
          <w:snapToGrid w:val="0"/>
          <w:kern w:val="0"/>
          <w:sz w:val="32"/>
          <w:szCs w:val="21"/>
        </w:rPr>
        <w:t>部门</w:t>
      </w:r>
      <w:r>
        <w:rPr>
          <w:rFonts w:ascii="Times New Roman" w:hAnsi="Times New Roman" w:eastAsia="仿宋" w:cs="Arial"/>
          <w:snapToGrid w:val="0"/>
          <w:kern w:val="0"/>
          <w:sz w:val="32"/>
          <w:szCs w:val="21"/>
        </w:rPr>
        <w:t>，负责组织相关部门的相关同志组成评审组，对安全管理制度适用性进行评审。</w:t>
      </w:r>
    </w:p>
    <w:p w14:paraId="4184D86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国家安全生产法律法规和各级党委、政府有关政策规定发布</w:t>
      </w:r>
      <w:r>
        <w:rPr>
          <w:rFonts w:hint="eastAsia" w:ascii="Times New Roman" w:hAnsi="Times New Roman" w:eastAsia="仿宋" w:cs="Arial"/>
          <w:snapToGrid w:val="0"/>
          <w:kern w:val="0"/>
          <w:sz w:val="32"/>
          <w:szCs w:val="21"/>
        </w:rPr>
        <w:t>后</w:t>
      </w:r>
      <w:r>
        <w:rPr>
          <w:rFonts w:ascii="Times New Roman" w:hAnsi="Times New Roman" w:eastAsia="仿宋" w:cs="Arial"/>
          <w:snapToGrid w:val="0"/>
          <w:kern w:val="0"/>
          <w:sz w:val="32"/>
          <w:szCs w:val="21"/>
        </w:rPr>
        <w:t>，原有制度与现行规定冲突的，或管委会有关机构职能、安全生产现状等发生重大变化的，应及时制修订相关管理制度，或对原制度进行补充说明。</w:t>
      </w:r>
    </w:p>
    <w:p w14:paraId="206FCD0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产业发展局（安全监管局）应每年牵头组织进行一次制度适用性评审工作，并留存评审过程资料，提交评审报告。</w:t>
      </w:r>
    </w:p>
    <w:p w14:paraId="7C1A446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经评审，需要修订单个制度，或制度汇编不需要大范围变更的，应印发补充说明。</w:t>
      </w:r>
    </w:p>
    <w:p w14:paraId="16C058E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经评审，需要大范围变更制度汇编的，应对制度汇编进行规范修订，公开征求意见，经办公室和法律顾问合规性审查，由主要负责同志组织讨论并审批后，以正式文件印发实施。</w:t>
      </w:r>
    </w:p>
    <w:p w14:paraId="6C2046A6">
      <w:pPr>
        <w:ind w:firstLine="640"/>
        <w:sectPr>
          <w:footerReference r:id="rId6" w:type="default"/>
          <w:pgSz w:w="11906" w:h="16838"/>
          <w:pgMar w:top="1440" w:right="1800" w:bottom="1440" w:left="1800" w:header="851" w:footer="992" w:gutter="0"/>
          <w:cols w:space="720" w:num="1"/>
          <w:docGrid w:type="lines" w:linePitch="312" w:charSpace="0"/>
        </w:sectPr>
      </w:pPr>
    </w:p>
    <w:p w14:paraId="2D43443E">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10" w:name="_Toc1169118027"/>
      <w:r>
        <w:rPr>
          <w:rFonts w:ascii="Times New Roman" w:hAnsi="Times New Roman" w:eastAsia="方正小标宋简体" w:cs="Arial"/>
          <w:snapToGrid w:val="0"/>
          <w:kern w:val="0"/>
          <w:sz w:val="44"/>
          <w:szCs w:val="21"/>
        </w:rPr>
        <w:t>安全生产服务机构和专家管理制度</w:t>
      </w:r>
      <w:bookmarkEnd w:id="10"/>
    </w:p>
    <w:p w14:paraId="089DD4C5">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29F83FAB">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33AF3C2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为加强常德经济技术开发区枫树岗化工片区（以下简称“化工园区”）安全生产第三方服务管理，提升安全生产服务水平，有效发挥专业力量作用，制定本制度。</w:t>
      </w:r>
    </w:p>
    <w:p w14:paraId="64A313A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本制度所称安全生产服务机构是指以产业发展局（安全监管局）名义聘请，为化工园区安全生产监督管理工作提供技术支撑的第三方机构。</w:t>
      </w:r>
    </w:p>
    <w:p w14:paraId="5F36FBE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本制度所称安全生产专家是指以产业发展局（安全监管局）名义聘请，有偿为化工园区安全生产监督管理工作提供专家咨询服务的人员。</w:t>
      </w:r>
    </w:p>
    <w:p w14:paraId="5B6B039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产业发展局（安全监管局）负责安全生产服务机构（以下简称服务机构）和专家的日常管理、综合协调、服务情况评估等工作。</w:t>
      </w:r>
    </w:p>
    <w:p w14:paraId="3375B1EA">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服务机构管理</w:t>
      </w:r>
    </w:p>
    <w:p w14:paraId="453733B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w:t>
      </w:r>
      <w:bookmarkStart w:id="11" w:name="OLE_LINK3"/>
      <w:r>
        <w:rPr>
          <w:rFonts w:ascii="Times New Roman" w:hAnsi="Times New Roman" w:eastAsia="仿宋" w:cs="Arial"/>
          <w:snapToGrid w:val="0"/>
          <w:kern w:val="0"/>
          <w:sz w:val="32"/>
          <w:szCs w:val="21"/>
        </w:rPr>
        <w:t>服务机构</w:t>
      </w:r>
      <w:bookmarkEnd w:id="11"/>
      <w:r>
        <w:rPr>
          <w:rFonts w:ascii="Times New Roman" w:hAnsi="Times New Roman" w:eastAsia="仿宋" w:cs="Arial"/>
          <w:snapToGrid w:val="0"/>
          <w:kern w:val="0"/>
          <w:sz w:val="32"/>
          <w:szCs w:val="21"/>
        </w:rPr>
        <w:t>选聘由产业发展局（安全监管局）提出基本要求，按照常德经济技术开发区管理委员会相关规定，选定中标单位，签订服务协议。</w:t>
      </w:r>
    </w:p>
    <w:p w14:paraId="71C8389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服务期止后，由产业发展局（安全监管局）提请管委会专题会议研究同意后，按照政府采购程序公开选聘。</w:t>
      </w:r>
    </w:p>
    <w:p w14:paraId="2930DB4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服务机构服务范围为管委会内设机构及化工园区有关企业。特殊情况下需延伸服务范围的，产业发展局（安全监管局）应报分管领导同志同意后，与服务机构负责人商定。</w:t>
      </w:r>
    </w:p>
    <w:p w14:paraId="52589FD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服务机构应按照协议履行职责，包括但不限于以下内容：</w:t>
      </w:r>
    </w:p>
    <w:p w14:paraId="2CF8B04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1、积极主动实施管委会相关管理机构提出的关于化工园区服务事项，依法依规开展相关服务。</w:t>
      </w:r>
    </w:p>
    <w:p w14:paraId="5B9078D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2、在产业发展局（安全监管局）安全监管人员的带领下，为安全生产日常检查、特殊作业巡查、专项检查、企业复工复产核查提供指导服务。</w:t>
      </w:r>
    </w:p>
    <w:p w14:paraId="5078245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3、开展管委会安全监管人员及化工园区企业主要负责人、安全管理人员、关键岗位人员安全教育培训。</w:t>
      </w:r>
    </w:p>
    <w:p w14:paraId="2C17412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4、为拟引进化工园区的危险化学品建设项目提供决策咨询服务。</w:t>
      </w:r>
    </w:p>
    <w:p w14:paraId="132C22D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5、协助产业发展局（安全监管局）开展化工园区安全应急工作，制定、修订生产安全事故应急救援预案，指导开展应急演练。</w:t>
      </w:r>
    </w:p>
    <w:p w14:paraId="1F4103C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6、协助产业发展局（安全监管局）制定化工园区安全生产监管重要文件、措施等。</w:t>
      </w:r>
    </w:p>
    <w:p w14:paraId="1C3B685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7、在指导服务过程中认真完整做好记录，形成书面意见或建议。</w:t>
      </w:r>
    </w:p>
    <w:p w14:paraId="2E1F03D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产业发展局（安全监管局）应明确专人负责与服务机构对接，管委会其他部门提出服务需求的，应及时协调人员，明确服务事项内容和时间。</w:t>
      </w:r>
    </w:p>
    <w:p w14:paraId="76E3ED7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产业发展局（安全监管局）应在服务期止时对服务机构履职情况进行评估，反馈存在的问题，提出提升意见。对未达到协议要求，且未按要求改正的，提请管委会专题会议研究解聘。</w:t>
      </w:r>
    </w:p>
    <w:p w14:paraId="211A6A5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专家管理</w:t>
      </w:r>
    </w:p>
    <w:p w14:paraId="0D6F542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服务期限一年及以上的专家，由产业发展局（安全监管局）提请管委会专题会议研究同意后，按照政府采购程序公开选聘。</w:t>
      </w:r>
    </w:p>
    <w:p w14:paraId="02FCBC0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因短期、临时安全生产工作需要，需聘请专家提供服务的，从省、市行业主管部门安全生产专家库中抽取。</w:t>
      </w:r>
    </w:p>
    <w:p w14:paraId="34C7350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专家应按照协议和具体事项需求，履行咨询服务职责，包括但不限于以下内容：</w:t>
      </w:r>
    </w:p>
    <w:p w14:paraId="594A6CD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1、为危险化学品全生命周期管理提供专家咨询服务。</w:t>
      </w:r>
    </w:p>
    <w:p w14:paraId="173E6B6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2、为管委会投资实施的建设项目提供安全咨询服务。</w:t>
      </w:r>
    </w:p>
    <w:p w14:paraId="50AABBC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3、为管委会制定安全生产重要文件提供法律法规和政策规定咨询服务。</w:t>
      </w:r>
    </w:p>
    <w:p w14:paraId="40F1F8E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4、对化工园区运行过程中涉及企业间重大安全生产问题提供咨询建议。</w:t>
      </w:r>
    </w:p>
    <w:p w14:paraId="1DE6F10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5、为化工园区公共区域和公用配套管理等安全问题提供咨询建议。</w:t>
      </w:r>
    </w:p>
    <w:p w14:paraId="3FB8EF4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安全生产日常检查、特殊作业巡查、专项检查、企业复工复产核查、安全生产培训等工作中，需要专业力量指导或专业授课人员的，优先使用聘请的服务机构资源，不再另聘专家；服务机构到期或服务期限内服务次数已满的，优先协调市行业主管部门专业执法人员；确需临聘专家的，应从专家库中抽取或协调本地资源。</w:t>
      </w:r>
    </w:p>
    <w:p w14:paraId="34C08C4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服务期限一年及以上的专家，产业发展局（安全监管局）应在服务一年期止时对专家服务情况进行评估，形成评估报告。对未达到协议要求，且未按要求改正的，或者服务期限内存在违法行为的、被调出专家库的，提请管委会专题会议研究解聘。</w:t>
      </w:r>
    </w:p>
    <w:p w14:paraId="59D2419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22AB709">
      <w:pPr>
        <w:ind w:firstLine="640"/>
        <w:sectPr>
          <w:pgSz w:w="11906" w:h="16838"/>
          <w:pgMar w:top="1440" w:right="1800" w:bottom="1440" w:left="1800" w:header="851" w:footer="992" w:gutter="0"/>
          <w:cols w:space="720" w:num="1"/>
          <w:docGrid w:type="lines" w:linePitch="312" w:charSpace="0"/>
        </w:sectPr>
      </w:pPr>
    </w:p>
    <w:p w14:paraId="6BBCC02A">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12" w:name="_Toc378048006"/>
      <w:r>
        <w:rPr>
          <w:rFonts w:ascii="Times New Roman" w:hAnsi="Times New Roman" w:eastAsia="方正小标宋简体" w:cs="Arial"/>
          <w:snapToGrid w:val="0"/>
          <w:kern w:val="0"/>
          <w:sz w:val="44"/>
          <w:szCs w:val="21"/>
        </w:rPr>
        <w:t>领导带班制度</w:t>
      </w:r>
      <w:bookmarkEnd w:id="12"/>
    </w:p>
    <w:p w14:paraId="4324FAAD">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CB19C94">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44D0E2E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为进一步规范化工园区应急值班值守工作，确保突发事件及时有效响应，强化突发事件应急处置能力，依据湖南省应急管理厅值班值守工作相关要求和园区应急管理工作实际，制定本制度。</w:t>
      </w:r>
    </w:p>
    <w:p w14:paraId="1C9CE18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本制度适用于常德经济技术开发区枫树岗化工片区（以下简称“化工园区”）领导带班值班工作。</w:t>
      </w:r>
    </w:p>
    <w:p w14:paraId="4984C15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带班领导由产业发展局（安全监管局）主要领导、分管领导及相关副科级以上干部组成，值班人员由园区工作人员组成。</w:t>
      </w:r>
    </w:p>
    <w:p w14:paraId="04F9595C">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带班值班职责</w:t>
      </w:r>
    </w:p>
    <w:p w14:paraId="6CE5C77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贯彻执行国家、省、市应急管理工作的方针、政策、部署，处置各类突发公共事件，组织落实有关应急值守工作的规定和部署。</w:t>
      </w:r>
    </w:p>
    <w:p w14:paraId="4622A83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负责化工园区值班工作，及时、准确地做好本单位安全生产类、自然灾害类等突发事件和有关情况的信息接收传递。解决安全、环保方面的疑难问题，防范可能发生的一切不良因素。办理区工委管委和市应急管理局等部门的紧急电传、电话等；接收、处理有关企业报送的突发事件情况报告、请示、信息等，编报值班信息。</w:t>
      </w:r>
    </w:p>
    <w:p w14:paraId="3A9BA9B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负责报告值班信息和有关情况，做好领导批示的转办、督办、反馈工作。督促落实上级和领导交办的紧急重要事项，保证值班值守工作正常有序开展。</w:t>
      </w:r>
    </w:p>
    <w:p w14:paraId="00CB58C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负责收集汇总值班信息，及时掌握和报告本地本单位突发事件重大情况和重要动态，协助领导和有关部门进行处置，及时反馈处置情况，确保与区工委管委和市应急管理局等有关部门联络畅通。</w:t>
      </w:r>
    </w:p>
    <w:p w14:paraId="1419AF13">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lang w:eastAsia="en-US"/>
        </w:rPr>
        <w:t>第</w:t>
      </w:r>
      <w:r>
        <w:rPr>
          <w:rFonts w:ascii="Times New Roman" w:hAnsi="Times New Roman" w:eastAsia="黑体" w:cs="Arial"/>
          <w:snapToGrid w:val="0"/>
          <w:kern w:val="0"/>
          <w:sz w:val="32"/>
          <w:szCs w:val="21"/>
        </w:rPr>
        <w:t>三</w:t>
      </w:r>
      <w:r>
        <w:rPr>
          <w:rFonts w:ascii="Times New Roman" w:hAnsi="Times New Roman" w:eastAsia="黑体" w:cs="Arial"/>
          <w:snapToGrid w:val="0"/>
          <w:kern w:val="0"/>
          <w:sz w:val="32"/>
          <w:szCs w:val="21"/>
          <w:lang w:eastAsia="en-US"/>
        </w:rPr>
        <w:t xml:space="preserve">章  </w:t>
      </w:r>
      <w:r>
        <w:rPr>
          <w:rFonts w:ascii="Times New Roman" w:hAnsi="Times New Roman" w:eastAsia="黑体" w:cs="Arial"/>
          <w:snapToGrid w:val="0"/>
          <w:kern w:val="0"/>
          <w:sz w:val="32"/>
          <w:szCs w:val="21"/>
        </w:rPr>
        <w:t>值班值守工作要求</w:t>
      </w:r>
    </w:p>
    <w:p w14:paraId="385E2B2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产业发展局（安全监管局）负责安排值班工作，科学、合理编排值班表，每月至少编排一次。遇有突发事件，值班人员应立即向带班领导汇报，并按领导批示和相关程序要求，及时进行处置、报送信息。</w:t>
      </w:r>
    </w:p>
    <w:p w14:paraId="0FA9F51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应急值班值守分白班、晚班两个班次。每班由2名工作人员在应急指挥中心值班值守。</w:t>
      </w:r>
    </w:p>
    <w:p w14:paraId="062CFA0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工作日白班，带班领导和应急值班人员正常开展岗位工作，如遇紧急情况立即组织开展应急处置。</w:t>
      </w:r>
    </w:p>
    <w:p w14:paraId="0681BE7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应急值班值守时间：白班由8:00至18:00，晚班由18:00至次日8:00，交接班时间为8:00 和18:00。</w:t>
      </w:r>
    </w:p>
    <w:p w14:paraId="3A7554E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 xml:space="preserve">第十一条  </w:t>
      </w:r>
      <w:r>
        <w:rPr>
          <w:rFonts w:ascii="Times New Roman" w:hAnsi="Times New Roman" w:eastAsia="仿宋" w:cs="Arial"/>
          <w:snapToGrid w:val="0"/>
          <w:kern w:val="0"/>
          <w:sz w:val="32"/>
          <w:szCs w:val="21"/>
        </w:rPr>
        <w:t>应急值班值守人员应坚守岗位、尽职尽责，不得脱岗缺岗、迟到早退，值班期间保持通讯畅通。应急值班值守人员上岗前24小时和值班期间禁止饮酒。</w:t>
      </w:r>
    </w:p>
    <w:p w14:paraId="4246915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国家法定节假日、重要活动、重大节庆期间以及汛期等特殊时段的值班值守工作，还应严格遵守区工委管委和市应急管理局等部门关于节假日等期间值班工作的其他具体要求。</w:t>
      </w:r>
    </w:p>
    <w:p w14:paraId="28434ACB">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领导值班带班要求。带班领导对带班期间的值班工作负全责，及时处理带班期间发生的各类紧急公务和突发事件。</w:t>
      </w:r>
    </w:p>
    <w:p w14:paraId="38991574">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值班记录要求。值班人员应将发生的事项和处理情况做详细记载，记录应要素齐全、详略得当。较大、重大和特别重大突发事件处置，应按时间顺序详细记录处置过程。</w:t>
      </w:r>
    </w:p>
    <w:p w14:paraId="63D8D676">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公务来电接听要求。值班人员应认真接听值班期间的每一个来电，文明应答，必要时应</w:t>
      </w:r>
      <w:r>
        <w:rPr>
          <w:rFonts w:hint="eastAsia" w:ascii="Times New Roman" w:hAnsi="Times New Roman" w:eastAsia="仿宋" w:cs="Arial"/>
          <w:snapToGrid w:val="0"/>
          <w:kern w:val="0"/>
          <w:sz w:val="32"/>
          <w:szCs w:val="21"/>
        </w:rPr>
        <w:t>予以</w:t>
      </w:r>
      <w:r>
        <w:rPr>
          <w:rFonts w:ascii="Times New Roman" w:hAnsi="Times New Roman" w:eastAsia="仿宋" w:cs="Arial"/>
          <w:snapToGrid w:val="0"/>
          <w:kern w:val="0"/>
          <w:sz w:val="32"/>
          <w:szCs w:val="21"/>
        </w:rPr>
        <w:t>核对和整理，填写电话记录，按照规定程序报告处理；重要来电应要求对方尽量采取书面形式报送或补报。</w:t>
      </w:r>
    </w:p>
    <w:p w14:paraId="10A8461C">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 w:cs="Arial"/>
          <w:b/>
          <w:bCs/>
          <w:snapToGrid w:val="0"/>
          <w:kern w:val="0"/>
          <w:sz w:val="32"/>
          <w:szCs w:val="21"/>
        </w:rPr>
        <w:t>第十六条</w:t>
      </w:r>
      <w:r>
        <w:rPr>
          <w:rFonts w:ascii="Times New Roman" w:hAnsi="Times New Roman" w:eastAsia="仿宋" w:cs="Arial"/>
          <w:snapToGrid w:val="0"/>
          <w:kern w:val="0"/>
          <w:sz w:val="32"/>
          <w:szCs w:val="21"/>
        </w:rPr>
        <w:t xml:space="preserve">  报告、处理要求。值班人员对重要信息处置应遵循有情必报、逐级上报、高效顺畅的原则，及时、准确、全面地向带班领导报告，并在规定时间内按程序处理。</w:t>
      </w:r>
    </w:p>
    <w:p w14:paraId="22966076">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 w:cs="Arial"/>
          <w:b/>
          <w:bCs/>
          <w:snapToGrid w:val="0"/>
          <w:kern w:val="0"/>
          <w:sz w:val="32"/>
          <w:szCs w:val="21"/>
        </w:rPr>
        <w:t>第十七条</w:t>
      </w:r>
      <w:r>
        <w:rPr>
          <w:rFonts w:ascii="Times New Roman" w:hAnsi="Times New Roman" w:eastAsia="仿宋" w:cs="Arial"/>
          <w:snapToGrid w:val="0"/>
          <w:kern w:val="0"/>
          <w:sz w:val="32"/>
          <w:szCs w:val="21"/>
        </w:rPr>
        <w:t xml:space="preserve">  值班人员要严格遵守保密制度规定，不得向无关人员透露涉密信息。使用电话、传真和计算机网络传递有关信息，要区分明件和密件，严禁明密混用。</w:t>
      </w:r>
    </w:p>
    <w:p w14:paraId="7DFF62DC">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处置程序与报告内容</w:t>
      </w:r>
    </w:p>
    <w:p w14:paraId="49808383">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第十八条  处置程序</w:t>
      </w:r>
    </w:p>
    <w:p w14:paraId="6242208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值班人员接到报送的突发事件信息后，应立即报告请示带班领导，首报信息要在事发1小时内通过电话报告、2个小时内以书面形式报告，不得拖延。事件紧急、性质严重的，可边上报、边了解情况，并将后续情况迅速上报。书面报告原则上应请示有关领导审阅签字并盖章后上报，特殊情况时可先上报后补签。</w:t>
      </w:r>
    </w:p>
    <w:p w14:paraId="1DE63F5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2、突发事件信息报告应同时报送区工委管委和市应急管理局等部门。</w:t>
      </w:r>
    </w:p>
    <w:p w14:paraId="2517FEB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3、突发事件信息报告工作要贯穿预测预警、应急处置、善后恢复等各个环节，应做到及时、准确、客观、全面，坚决杜绝迟报、漏报、瞒报和误报。</w:t>
      </w:r>
    </w:p>
    <w:p w14:paraId="24926DDF">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 w:cs="Arial"/>
          <w:b/>
          <w:bCs/>
          <w:snapToGrid w:val="0"/>
          <w:kern w:val="0"/>
          <w:sz w:val="32"/>
          <w:szCs w:val="21"/>
        </w:rPr>
        <w:t>第十九条</w:t>
      </w:r>
      <w:r>
        <w:rPr>
          <w:rFonts w:ascii="Times New Roman" w:hAnsi="Times New Roman" w:eastAsia="仿宋" w:cs="Arial"/>
          <w:snapToGrid w:val="0"/>
          <w:kern w:val="0"/>
          <w:sz w:val="32"/>
          <w:szCs w:val="21"/>
        </w:rPr>
        <w:t xml:space="preserve">  </w:t>
      </w:r>
      <w:r>
        <w:rPr>
          <w:rFonts w:ascii="Times New Roman" w:hAnsi="Times New Roman" w:eastAsia="仿宋" w:cs="Arial"/>
          <w:b/>
          <w:bCs/>
          <w:snapToGrid w:val="0"/>
          <w:kern w:val="0"/>
          <w:sz w:val="32"/>
          <w:szCs w:val="21"/>
        </w:rPr>
        <w:t>报告内容</w:t>
      </w:r>
    </w:p>
    <w:p w14:paraId="208DC5E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报告内容主要包括：事件发生责任主体、时间、地点、信息来源、事件性质、影响范围、发展趋势、人员伤亡、物资损失、事件起因和已采取的处置措施以及可能造成的进一步危害等要素。对于要素不全或某些要素难以核准的信息，要边报告边核实。对于一时难以预判后果的信息，要先报告，后跟踪核实续报。</w:t>
      </w:r>
    </w:p>
    <w:p w14:paraId="79ECEF4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2、特别重大、重大、较大和一般生产安全事故或自然灾害事件的分级标准，按照国家分级标准执行。有关法律法规对安全生产类、自然灾害类等突发事件信息报告程序、时限、要求另有规定的，按其规定办理。</w:t>
      </w:r>
    </w:p>
    <w:p w14:paraId="11A3520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3、突发事件处理过程中，值班人员应主动与事发单位保持联系，及时传达领导和相关部门的处理意见，落实督办、领导批示和交办事项，及时跟踪事态进展，随时续报反馈相关信息。</w:t>
      </w:r>
    </w:p>
    <w:p w14:paraId="418EA00C">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第五章  责任追究</w:t>
      </w:r>
    </w:p>
    <w:p w14:paraId="179ECD7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第二十条</w:t>
      </w:r>
      <w:r>
        <w:rPr>
          <w:rFonts w:ascii="Times New Roman" w:hAnsi="Times New Roman" w:eastAsia="仿宋" w:cs="Arial"/>
          <w:snapToGrid w:val="0"/>
          <w:kern w:val="0"/>
          <w:sz w:val="32"/>
          <w:szCs w:val="21"/>
        </w:rPr>
        <w:t xml:space="preserve">  应急值班值守工作中违反制度规定，存在下列情况的，根据情节轻重，按有关规定对相关责任人给予通报批评。</w:t>
      </w:r>
    </w:p>
    <w:p w14:paraId="423D37A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1、不按时到岗、中途离岗、脱岗及因公离开不报告的；</w:t>
      </w:r>
    </w:p>
    <w:p w14:paraId="418CF15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2、不按规定时限、内容及程序报送突发事件信息和报告值班情况的；</w:t>
      </w:r>
    </w:p>
    <w:p w14:paraId="5712564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3、上岗前24小时及值班期间饮酒的；</w:t>
      </w:r>
    </w:p>
    <w:p w14:paraId="75843E2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4、发生泄密事件的。</w:t>
      </w:r>
    </w:p>
    <w:p w14:paraId="6D504024">
      <w:pPr>
        <w:ind w:firstLine="640"/>
        <w:sectPr>
          <w:pgSz w:w="11906" w:h="16838"/>
          <w:pgMar w:top="1440" w:right="1800" w:bottom="1440" w:left="1800" w:header="851" w:footer="992" w:gutter="0"/>
          <w:cols w:space="720" w:num="1"/>
          <w:docGrid w:type="lines" w:linePitch="312" w:charSpace="0"/>
        </w:sectPr>
      </w:pPr>
    </w:p>
    <w:p w14:paraId="3AB9A249">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13" w:name="_Toc809072199"/>
      <w:r>
        <w:rPr>
          <w:rFonts w:ascii="Times New Roman" w:hAnsi="Times New Roman" w:eastAsia="方正小标宋简体" w:cs="Arial"/>
          <w:snapToGrid w:val="0"/>
          <w:kern w:val="0"/>
          <w:sz w:val="44"/>
          <w:szCs w:val="21"/>
        </w:rPr>
        <w:t>安全风险分级管控制度</w:t>
      </w:r>
      <w:bookmarkEnd w:id="13"/>
    </w:p>
    <w:p w14:paraId="7E939213">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E57CEA5">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099F97F1">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通过实施本制度，辨识出常德经济技术开发区枫树岗化工片区（以下简称“化工园区”）内各企业作业活动过程中的危险、有害因素，评估和确定其风险等级，并制定和实施管控措施。重点关注和落实较大风险及以上的薄弱环节和关键岗位的各项安全防控工作</w:t>
      </w:r>
      <w:r>
        <w:rPr>
          <w:rFonts w:hint="eastAsia" w:ascii="Times New Roman" w:hAnsi="Times New Roman" w:eastAsia="仿宋" w:cs="Arial"/>
          <w:snapToGrid w:val="0"/>
          <w:kern w:val="0"/>
          <w:sz w:val="32"/>
          <w:szCs w:val="21"/>
        </w:rPr>
        <w:t>，</w:t>
      </w:r>
      <w:r>
        <w:rPr>
          <w:rFonts w:ascii="Times New Roman" w:hAnsi="Times New Roman" w:eastAsia="仿宋" w:cs="Arial"/>
          <w:snapToGrid w:val="0"/>
          <w:kern w:val="0"/>
          <w:sz w:val="32"/>
          <w:szCs w:val="21"/>
        </w:rPr>
        <w:t>全面推进企业安全生产责任体系和安全防控体系建设，不断提升企业安全管理水平和自主管理能力。</w:t>
      </w:r>
    </w:p>
    <w:p w14:paraId="4A949FBD">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本制度适用于化工园区内所有作业活动、设备设施和职业危害因素的风险管理。化工园区外的工业企业可参照执行。</w:t>
      </w:r>
    </w:p>
    <w:p w14:paraId="42C0EF6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等级划分</w:t>
      </w:r>
    </w:p>
    <w:p w14:paraId="7EADF34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化工园区企业整体安全风险等级分为四级：重大风险/1级风险（用红色表示）、较大风险/2级风险（用橙色表示）、一般风险/3级风险（用黄色表示）、低风险/4级风险（用蓝色表示）。</w:t>
      </w:r>
    </w:p>
    <w:p w14:paraId="725BAE7B">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分级评定</w:t>
      </w:r>
    </w:p>
    <w:p w14:paraId="424198E6">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分级评定</w:t>
      </w:r>
    </w:p>
    <w:p w14:paraId="69937EE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1、企业自评。化工园区企业按照工贸企业安全风险评估诊断分级表（附件1）和化工企业安全风险评估诊断分级表（附件2）进行安全风险评估分级。</w:t>
      </w:r>
    </w:p>
    <w:p w14:paraId="5A784B7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评分标准：总分在90分以上（含90分）的为蓝色；75分（含75分）至90分的为黄色；60分（含60分）至75分的为橙色；60分以下的为红色。</w:t>
      </w:r>
    </w:p>
    <w:p w14:paraId="53F4157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2、园区定级。产业发展局（安全监管局）根据企业上报的安全风险评估分级情况，组织开展复核工作，结合企业安全生产状况进行评估与调整，最终确定企业整体安全风险等级并进行公布。</w:t>
      </w:r>
    </w:p>
    <w:p w14:paraId="55E8F62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3、其他情况。</w:t>
      </w:r>
    </w:p>
    <w:p w14:paraId="6539557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（1）企业受到1次及以上安全生产行政处罚的，至少提高一个等级。</w:t>
      </w:r>
    </w:p>
    <w:p w14:paraId="6391BC9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（2）有以下情形的直接判定为红色级别企业：</w:t>
      </w:r>
    </w:p>
    <w:p w14:paraId="68FD6D7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A.一年内发生过死亡、重伤、重大财产损失事故，或发生重大社会影响事故的；</w:t>
      </w:r>
    </w:p>
    <w:p w14:paraId="5D5E0C7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B.被列为重大隐患挂牌督办且未完成整改的。</w:t>
      </w:r>
    </w:p>
    <w:p w14:paraId="7C10B93F">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分级管控</w:t>
      </w:r>
    </w:p>
    <w:p w14:paraId="289F907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产业发展局（安全监管局）对化工园区内所有企业定期开展安全检查。红色级别企业每月检查不少于1次，橙色级别企业每季度检查不少于1次；黄色级别企业每半年检查不少于1次；蓝色级别企业每年检查不少于1次。</w:t>
      </w:r>
    </w:p>
    <w:p w14:paraId="0C74D78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企业安全风险等级为重大风险或较大风险的，要制定安全风险控制方案，降低企业安全风险等级，消除事故隐患，加强对较大以上风险企业的有效管控。对重大风险或较大风险企业风险等级无法降级的，要严格按照控制方案明确风险管控措施，对风险落实有效管控，避免发生安全生产事故。</w:t>
      </w:r>
    </w:p>
    <w:p w14:paraId="797E254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企业安全风险等级为重大风险或较大风险，未按要求降低企业风险等级，且未对较大以上风险落实有效管控的，由产业发展局（安全监管局）函告常德经济技术开发区管理委员会及市直相关部门，共同约谈相关责任单位主要负责人，提醒、告诫、督促相关责任单位落实风险管控措施，同时通过降低企业安全生产诚信等级、公共平台隐患曝光、列入重点执法检查对象、依法处罚等手段督促企业落实企业安全生产主体责任。对因风险管控不到位发生安全生产事故的，依法进行处罚。</w:t>
      </w:r>
    </w:p>
    <w:p w14:paraId="7768BB3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持续改进。产业发展局（安全监管局）每年至少开展一次企业安全风险分级管控更新工作，确保新入驻企业或试运行企业处于管控状态。根据以下情况变化对化工园区风险管控的影响，及时针对变化范围开展风险分析，更新园区内企业风险分级信息。</w:t>
      </w:r>
    </w:p>
    <w:p w14:paraId="07E3A75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1、法规、制度等增减、修订变化所引起风险程度的改变；</w:t>
      </w:r>
    </w:p>
    <w:p w14:paraId="4396A30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2、发生事故后，安全风险产生较大影响的；</w:t>
      </w:r>
    </w:p>
    <w:p w14:paraId="04F8D36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3、管理机构发生重大调整时，要对安全风险分级管控情况进行及时更新完善。</w:t>
      </w:r>
    </w:p>
    <w:p w14:paraId="58D3E9EB">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第五章  数字化建设</w:t>
      </w:r>
    </w:p>
    <w:p w14:paraId="54C1B6B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生产经营单位应加强安全生产风险管控和安全生产事故隐患排查治理信息化建设，利用信息技术提升安全生产能力。</w:t>
      </w:r>
    </w:p>
    <w:p w14:paraId="268C266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危险化学品生产经营单位应按照《危险化学品企业双重预防机制数字化建设工作指南》要求开展双重预防机制数字化建设与应用，确保优良运行，提高安全隐患排查治理效能。</w:t>
      </w:r>
    </w:p>
    <w:p w14:paraId="69A9608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双重预防机制数字化系统应接入常德经开区化工园区安全风险智能化管控平台，应用工作应符合《安全风险智能化管控平台运行管理制度》第三章规定。</w:t>
      </w:r>
    </w:p>
    <w:p w14:paraId="21E82C14">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第六章  附  表</w:t>
      </w:r>
    </w:p>
    <w:p w14:paraId="62EFAE5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附表1：</w:t>
      </w:r>
      <w:r>
        <w:rPr>
          <w:rFonts w:ascii="Times New Roman" w:hAnsi="Times New Roman" w:eastAsia="仿宋" w:cs="Arial"/>
          <w:snapToGrid w:val="0"/>
          <w:kern w:val="0"/>
          <w:sz w:val="32"/>
          <w:szCs w:val="21"/>
        </w:rPr>
        <w:t>工贸企业安全风险评估诊断分级表</w:t>
      </w:r>
    </w:p>
    <w:p w14:paraId="2001215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附表2：</w:t>
      </w:r>
      <w:r>
        <w:rPr>
          <w:rFonts w:ascii="Times New Roman" w:hAnsi="Times New Roman" w:eastAsia="仿宋" w:cs="Arial"/>
          <w:snapToGrid w:val="0"/>
          <w:kern w:val="0"/>
          <w:sz w:val="32"/>
          <w:szCs w:val="21"/>
        </w:rPr>
        <w:t>化工企业安全生产风险评估诊断分级表</w:t>
      </w:r>
    </w:p>
    <w:p w14:paraId="6668F499">
      <w:pPr>
        <w:ind w:firstLine="640"/>
        <w:sectPr>
          <w:pgSz w:w="11906" w:h="16838"/>
          <w:pgMar w:top="1440" w:right="1800" w:bottom="1440" w:left="1800" w:header="851" w:footer="992" w:gutter="0"/>
          <w:cols w:space="720" w:num="1"/>
          <w:docGrid w:type="lines" w:linePitch="312" w:charSpace="0"/>
        </w:sectPr>
      </w:pPr>
    </w:p>
    <w:p w14:paraId="637C844C">
      <w:pPr>
        <w:widowControl/>
        <w:snapToGrid w:val="0"/>
        <w:spacing w:line="600" w:lineRule="exact"/>
        <w:textAlignment w:val="baseline"/>
        <w:rPr>
          <w:rFonts w:ascii="Times New Roman" w:hAnsi="Times New Roman" w:eastAsia="方正小标宋简体" w:cs="Arial"/>
          <w:snapToGrid w:val="0"/>
          <w:kern w:val="0"/>
          <w:sz w:val="32"/>
          <w:szCs w:val="32"/>
        </w:rPr>
      </w:pPr>
      <w:bookmarkStart w:id="14" w:name="_Toc2117474590"/>
      <w:r>
        <w:rPr>
          <w:rFonts w:ascii="Times New Roman" w:hAnsi="Times New Roman" w:eastAsia="方正小标宋简体" w:cs="Arial"/>
          <w:snapToGrid w:val="0"/>
          <w:kern w:val="0"/>
          <w:sz w:val="32"/>
          <w:szCs w:val="32"/>
        </w:rPr>
        <w:t>附件</w:t>
      </w:r>
      <w:bookmarkEnd w:id="14"/>
      <w:r>
        <w:rPr>
          <w:rFonts w:ascii="Times New Roman" w:hAnsi="Times New Roman" w:eastAsia="方正小标宋简体" w:cs="Arial"/>
          <w:snapToGrid w:val="0"/>
          <w:kern w:val="0"/>
          <w:sz w:val="32"/>
          <w:szCs w:val="32"/>
        </w:rPr>
        <w:t>1</w:t>
      </w:r>
    </w:p>
    <w:p w14:paraId="3AEC34F8">
      <w:pPr>
        <w:widowControl/>
        <w:snapToGrid w:val="0"/>
        <w:spacing w:line="600" w:lineRule="exact"/>
        <w:jc w:val="center"/>
        <w:textAlignment w:val="baseline"/>
        <w:rPr>
          <w:rFonts w:ascii="Times New Roman" w:hAnsi="Times New Roman" w:eastAsia="方正小标宋简体" w:cs="Arial"/>
          <w:snapToGrid w:val="0"/>
          <w:kern w:val="0"/>
          <w:sz w:val="44"/>
          <w:szCs w:val="44"/>
        </w:rPr>
      </w:pPr>
      <w:r>
        <w:rPr>
          <w:rFonts w:ascii="Times New Roman" w:hAnsi="Times New Roman" w:eastAsia="方正小标宋简体" w:cs="Arial"/>
          <w:snapToGrid w:val="0"/>
          <w:kern w:val="0"/>
          <w:sz w:val="44"/>
          <w:szCs w:val="44"/>
        </w:rPr>
        <w:t>工贸企业安全风险评估诊断分级表</w:t>
      </w:r>
    </w:p>
    <w:tbl>
      <w:tblPr>
        <w:tblStyle w:val="2"/>
        <w:tblpPr w:leftFromText="180" w:rightFromText="180" w:vertAnchor="text" w:horzAnchor="page" w:tblpX="1433" w:tblpY="551"/>
        <w:tblOverlap w:val="never"/>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0"/>
        <w:gridCol w:w="2356"/>
        <w:gridCol w:w="869"/>
        <w:gridCol w:w="8928"/>
        <w:gridCol w:w="998"/>
      </w:tblGrid>
      <w:tr w14:paraId="5D581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blHeader/>
        </w:trPr>
        <w:tc>
          <w:tcPr>
            <w:tcW w:w="1480" w:type="dxa"/>
            <w:vAlign w:val="center"/>
          </w:tcPr>
          <w:p w14:paraId="12B8F460">
            <w:pPr>
              <w:spacing w:line="360" w:lineRule="exact"/>
              <w:jc w:val="center"/>
              <w:rPr>
                <w:rFonts w:ascii="Times New Roman" w:hAnsi="Times New Roman" w:eastAsia="黑体" w:cs="Arial"/>
                <w:sz w:val="22"/>
                <w:szCs w:val="28"/>
              </w:rPr>
            </w:pPr>
            <w:r>
              <w:rPr>
                <w:rFonts w:ascii="Times New Roman" w:hAnsi="Times New Roman" w:eastAsia="黑体" w:cs="Arial"/>
                <w:spacing w:val="-5"/>
                <w:sz w:val="22"/>
                <w:szCs w:val="28"/>
              </w:rPr>
              <w:t>序号</w:t>
            </w:r>
          </w:p>
        </w:tc>
        <w:tc>
          <w:tcPr>
            <w:tcW w:w="2356" w:type="dxa"/>
            <w:vAlign w:val="center"/>
          </w:tcPr>
          <w:p w14:paraId="5C83B807">
            <w:pPr>
              <w:spacing w:line="280" w:lineRule="exact"/>
              <w:jc w:val="center"/>
              <w:rPr>
                <w:rFonts w:ascii="Times New Roman" w:hAnsi="Times New Roman" w:eastAsia="黑体" w:cs="Arial"/>
                <w:sz w:val="22"/>
                <w:szCs w:val="28"/>
              </w:rPr>
            </w:pPr>
            <w:r>
              <w:rPr>
                <w:rFonts w:ascii="Times New Roman" w:hAnsi="Times New Roman" w:eastAsia="黑体" w:cs="Arial"/>
                <w:spacing w:val="-3"/>
                <w:sz w:val="22"/>
                <w:szCs w:val="28"/>
              </w:rPr>
              <w:t>安全评估项目</w:t>
            </w:r>
          </w:p>
        </w:tc>
        <w:tc>
          <w:tcPr>
            <w:tcW w:w="869" w:type="dxa"/>
            <w:vAlign w:val="center"/>
          </w:tcPr>
          <w:p w14:paraId="4437C460">
            <w:pPr>
              <w:spacing w:line="280" w:lineRule="exact"/>
              <w:ind w:right="110"/>
              <w:jc w:val="center"/>
              <w:rPr>
                <w:rFonts w:ascii="Times New Roman" w:hAnsi="Times New Roman" w:eastAsia="黑体" w:cs="Arial"/>
                <w:spacing w:val="-85"/>
                <w:sz w:val="22"/>
                <w:szCs w:val="28"/>
              </w:rPr>
            </w:pPr>
            <w:r>
              <w:rPr>
                <w:rFonts w:ascii="Times New Roman" w:hAnsi="Times New Roman" w:eastAsia="黑体" w:cs="Arial"/>
                <w:spacing w:val="-5"/>
                <w:sz w:val="22"/>
                <w:szCs w:val="28"/>
              </w:rPr>
              <w:t>评估</w:t>
            </w:r>
          </w:p>
          <w:p w14:paraId="2A757CEE">
            <w:pPr>
              <w:spacing w:line="280" w:lineRule="exact"/>
              <w:ind w:right="110"/>
              <w:jc w:val="center"/>
              <w:rPr>
                <w:rFonts w:ascii="Times New Roman" w:hAnsi="Times New Roman" w:eastAsia="黑体" w:cs="Arial"/>
                <w:sz w:val="22"/>
                <w:szCs w:val="28"/>
              </w:rPr>
            </w:pPr>
            <w:r>
              <w:rPr>
                <w:rFonts w:ascii="Times New Roman" w:hAnsi="Times New Roman" w:eastAsia="黑体" w:cs="Arial"/>
                <w:spacing w:val="-7"/>
                <w:sz w:val="22"/>
                <w:szCs w:val="28"/>
              </w:rPr>
              <w:t>分值</w:t>
            </w:r>
          </w:p>
        </w:tc>
        <w:tc>
          <w:tcPr>
            <w:tcW w:w="8928" w:type="dxa"/>
            <w:vAlign w:val="center"/>
          </w:tcPr>
          <w:p w14:paraId="78467912">
            <w:pPr>
              <w:spacing w:line="280" w:lineRule="exact"/>
              <w:jc w:val="center"/>
              <w:rPr>
                <w:rFonts w:ascii="Times New Roman" w:hAnsi="Times New Roman" w:eastAsia="黑体" w:cs="Arial"/>
                <w:sz w:val="22"/>
                <w:szCs w:val="28"/>
              </w:rPr>
            </w:pPr>
            <w:r>
              <w:rPr>
                <w:rFonts w:ascii="Times New Roman" w:hAnsi="Times New Roman" w:eastAsia="黑体" w:cs="Arial"/>
                <w:spacing w:val="-3"/>
                <w:sz w:val="22"/>
                <w:szCs w:val="28"/>
              </w:rPr>
              <w:t>评分标准</w:t>
            </w:r>
          </w:p>
        </w:tc>
        <w:tc>
          <w:tcPr>
            <w:tcW w:w="998" w:type="dxa"/>
            <w:vAlign w:val="center"/>
          </w:tcPr>
          <w:p w14:paraId="429F93BC">
            <w:pPr>
              <w:spacing w:line="280" w:lineRule="exact"/>
              <w:ind w:right="107"/>
              <w:jc w:val="center"/>
              <w:rPr>
                <w:rFonts w:ascii="Times New Roman" w:hAnsi="Times New Roman" w:eastAsia="黑体" w:cs="Arial"/>
                <w:spacing w:val="-85"/>
                <w:sz w:val="22"/>
                <w:szCs w:val="28"/>
              </w:rPr>
            </w:pPr>
            <w:r>
              <w:rPr>
                <w:rFonts w:ascii="Times New Roman" w:hAnsi="Times New Roman" w:eastAsia="黑体" w:cs="Arial"/>
                <w:spacing w:val="-5"/>
                <w:sz w:val="22"/>
                <w:szCs w:val="28"/>
              </w:rPr>
              <w:t>评估</w:t>
            </w:r>
          </w:p>
          <w:p w14:paraId="7EF37839">
            <w:pPr>
              <w:spacing w:line="280" w:lineRule="exact"/>
              <w:ind w:right="107"/>
              <w:jc w:val="center"/>
              <w:rPr>
                <w:rFonts w:ascii="Times New Roman" w:hAnsi="Times New Roman" w:eastAsia="黑体" w:cs="Arial"/>
                <w:sz w:val="22"/>
                <w:szCs w:val="28"/>
              </w:rPr>
            </w:pPr>
            <w:r>
              <w:rPr>
                <w:rFonts w:ascii="Times New Roman" w:hAnsi="Times New Roman" w:eastAsia="黑体" w:cs="Arial"/>
                <w:spacing w:val="-6"/>
                <w:sz w:val="22"/>
                <w:szCs w:val="28"/>
              </w:rPr>
              <w:t>得分</w:t>
            </w:r>
          </w:p>
        </w:tc>
      </w:tr>
      <w:tr w14:paraId="6562D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3633" w:type="dxa"/>
            <w:gridSpan w:val="4"/>
            <w:vAlign w:val="center"/>
          </w:tcPr>
          <w:p w14:paraId="175A4C53">
            <w:pPr>
              <w:spacing w:line="360" w:lineRule="exact"/>
              <w:ind w:left="105" w:leftChars="50"/>
              <w:rPr>
                <w:rFonts w:ascii="Times New Roman" w:hAnsi="Times New Roman" w:eastAsia="仿宋_GB2312" w:cs="Arial"/>
                <w:sz w:val="24"/>
              </w:rPr>
            </w:pPr>
            <w:r>
              <w:rPr>
                <w:rFonts w:ascii="Times New Roman" w:hAnsi="Times New Roman" w:eastAsia="仿宋_GB2312" w:cs="Arial"/>
                <w:b/>
                <w:bCs/>
                <w:sz w:val="24"/>
              </w:rPr>
              <w:t>1、企业固有危险程度30%</w:t>
            </w:r>
          </w:p>
        </w:tc>
        <w:tc>
          <w:tcPr>
            <w:tcW w:w="998" w:type="dxa"/>
            <w:vAlign w:val="center"/>
          </w:tcPr>
          <w:p w14:paraId="7E2ED308">
            <w:pPr>
              <w:spacing w:line="360" w:lineRule="exact"/>
              <w:rPr>
                <w:rFonts w:ascii="Times New Roman" w:hAnsi="Times New Roman" w:eastAsia="宋体" w:cs="Arial"/>
              </w:rPr>
            </w:pPr>
          </w:p>
        </w:tc>
      </w:tr>
      <w:tr w14:paraId="73B08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1B5F010B">
            <w:pPr>
              <w:spacing w:line="360" w:lineRule="exact"/>
              <w:ind w:firstLine="241" w:firstLineChars="100"/>
              <w:rPr>
                <w:rFonts w:ascii="Times New Roman" w:hAnsi="Times New Roman" w:eastAsia="仿宋_GB2312" w:cs="Arial"/>
                <w:b/>
                <w:bCs/>
                <w:sz w:val="24"/>
              </w:rPr>
            </w:pPr>
            <w:r>
              <w:rPr>
                <w:rFonts w:ascii="Times New Roman" w:hAnsi="Times New Roman" w:eastAsia="仿宋_GB2312" w:cs="Arial"/>
                <w:b/>
                <w:bCs/>
                <w:sz w:val="24"/>
              </w:rPr>
              <w:t>1.1</w:t>
            </w:r>
          </w:p>
        </w:tc>
        <w:tc>
          <w:tcPr>
            <w:tcW w:w="2356" w:type="dxa"/>
            <w:vAlign w:val="center"/>
          </w:tcPr>
          <w:p w14:paraId="26B7C622">
            <w:pPr>
              <w:spacing w:line="280" w:lineRule="exact"/>
              <w:ind w:left="105" w:leftChars="50"/>
              <w:rPr>
                <w:rFonts w:ascii="Times New Roman" w:hAnsi="Times New Roman" w:eastAsia="仿宋_GB2312" w:cs="Arial"/>
                <w:b/>
                <w:bCs/>
                <w:spacing w:val="-2"/>
                <w:sz w:val="24"/>
              </w:rPr>
            </w:pPr>
            <w:r>
              <w:rPr>
                <w:rFonts w:ascii="Times New Roman" w:hAnsi="Times New Roman" w:eastAsia="仿宋_GB2312" w:cs="Arial"/>
                <w:b/>
                <w:bCs/>
                <w:spacing w:val="-2"/>
                <w:sz w:val="24"/>
              </w:rPr>
              <w:t>危险物质数量</w:t>
            </w:r>
          </w:p>
        </w:tc>
        <w:tc>
          <w:tcPr>
            <w:tcW w:w="869" w:type="dxa"/>
            <w:vAlign w:val="center"/>
          </w:tcPr>
          <w:p w14:paraId="7338D699">
            <w:pPr>
              <w:spacing w:line="360" w:lineRule="exact"/>
              <w:jc w:val="center"/>
              <w:rPr>
                <w:rFonts w:ascii="Times New Roman" w:hAnsi="Times New Roman" w:eastAsia="仿宋_GB2312" w:cs="Arial"/>
                <w:b/>
                <w:bCs/>
                <w:sz w:val="24"/>
              </w:rPr>
            </w:pPr>
            <w:r>
              <w:rPr>
                <w:rFonts w:ascii="Times New Roman" w:hAnsi="Times New Roman" w:eastAsia="仿宋_GB2312" w:cs="Arial"/>
                <w:b/>
                <w:bCs/>
                <w:sz w:val="24"/>
              </w:rPr>
              <w:t>5</w:t>
            </w:r>
          </w:p>
        </w:tc>
        <w:tc>
          <w:tcPr>
            <w:tcW w:w="8928" w:type="dxa"/>
            <w:vAlign w:val="center"/>
          </w:tcPr>
          <w:p w14:paraId="668D9A06">
            <w:pPr>
              <w:spacing w:line="360" w:lineRule="exact"/>
              <w:ind w:left="105" w:leftChars="50" w:right="105" w:rightChars="50"/>
              <w:rPr>
                <w:rFonts w:ascii="Times New Roman" w:hAnsi="Times New Roman" w:eastAsia="仿宋_GB2312" w:cs="Arial"/>
                <w:sz w:val="24"/>
              </w:rPr>
            </w:pPr>
          </w:p>
        </w:tc>
        <w:tc>
          <w:tcPr>
            <w:tcW w:w="998" w:type="dxa"/>
            <w:vAlign w:val="center"/>
          </w:tcPr>
          <w:p w14:paraId="615ACE7D">
            <w:pPr>
              <w:spacing w:line="360" w:lineRule="exact"/>
              <w:rPr>
                <w:rFonts w:ascii="Times New Roman" w:hAnsi="Times New Roman" w:eastAsia="宋体" w:cs="Arial"/>
              </w:rPr>
            </w:pPr>
          </w:p>
        </w:tc>
      </w:tr>
      <w:tr w14:paraId="14B5D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56B83240">
            <w:pPr>
              <w:spacing w:line="360" w:lineRule="exact"/>
              <w:ind w:firstLine="480" w:firstLineChars="200"/>
              <w:rPr>
                <w:rFonts w:ascii="Times New Roman" w:hAnsi="Times New Roman" w:eastAsia="仿宋_GB2312" w:cs="Arial"/>
                <w:sz w:val="24"/>
              </w:rPr>
            </w:pPr>
            <w:r>
              <w:rPr>
                <w:rFonts w:ascii="Times New Roman" w:hAnsi="Times New Roman" w:eastAsia="仿宋_GB2312" w:cs="Arial"/>
                <w:sz w:val="24"/>
              </w:rPr>
              <w:t>1.1.1</w:t>
            </w:r>
          </w:p>
        </w:tc>
        <w:tc>
          <w:tcPr>
            <w:tcW w:w="2356" w:type="dxa"/>
            <w:vAlign w:val="center"/>
          </w:tcPr>
          <w:p w14:paraId="736CAAD2">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是否构成重大危险源</w:t>
            </w:r>
          </w:p>
        </w:tc>
        <w:tc>
          <w:tcPr>
            <w:tcW w:w="869" w:type="dxa"/>
            <w:vAlign w:val="center"/>
          </w:tcPr>
          <w:p w14:paraId="2AE237DF">
            <w:pPr>
              <w:spacing w:line="360" w:lineRule="exact"/>
              <w:jc w:val="center"/>
              <w:rPr>
                <w:rFonts w:ascii="Times New Roman" w:hAnsi="Times New Roman" w:eastAsia="仿宋_GB2312" w:cs="Arial"/>
                <w:sz w:val="24"/>
              </w:rPr>
            </w:pPr>
            <w:r>
              <w:rPr>
                <w:rFonts w:ascii="Times New Roman" w:hAnsi="Times New Roman" w:eastAsia="仿宋_GB2312" w:cs="Arial"/>
                <w:sz w:val="24"/>
              </w:rPr>
              <w:t>5</w:t>
            </w:r>
          </w:p>
        </w:tc>
        <w:tc>
          <w:tcPr>
            <w:tcW w:w="8928" w:type="dxa"/>
            <w:vAlign w:val="center"/>
          </w:tcPr>
          <w:p w14:paraId="438629F9">
            <w:pPr>
              <w:spacing w:line="36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构成重大危险源，扣5分。</w:t>
            </w:r>
          </w:p>
        </w:tc>
        <w:tc>
          <w:tcPr>
            <w:tcW w:w="998" w:type="dxa"/>
            <w:vAlign w:val="center"/>
          </w:tcPr>
          <w:p w14:paraId="0D0505A2">
            <w:pPr>
              <w:spacing w:line="360" w:lineRule="exact"/>
              <w:rPr>
                <w:rFonts w:ascii="Times New Roman" w:hAnsi="Times New Roman" w:eastAsia="宋体" w:cs="Arial"/>
              </w:rPr>
            </w:pPr>
          </w:p>
        </w:tc>
      </w:tr>
      <w:tr w14:paraId="7A2CB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1F514FA7">
            <w:pPr>
              <w:spacing w:line="360" w:lineRule="exact"/>
              <w:ind w:firstLine="241" w:firstLineChars="100"/>
              <w:rPr>
                <w:rFonts w:ascii="Times New Roman" w:hAnsi="Times New Roman" w:eastAsia="仿宋_GB2312" w:cs="Arial"/>
                <w:b/>
                <w:bCs/>
                <w:sz w:val="24"/>
              </w:rPr>
            </w:pPr>
            <w:r>
              <w:rPr>
                <w:rFonts w:ascii="Times New Roman" w:hAnsi="Times New Roman" w:eastAsia="仿宋_GB2312" w:cs="Arial"/>
                <w:b/>
                <w:bCs/>
                <w:sz w:val="24"/>
              </w:rPr>
              <w:t>1.2</w:t>
            </w:r>
          </w:p>
        </w:tc>
        <w:tc>
          <w:tcPr>
            <w:tcW w:w="2356" w:type="dxa"/>
            <w:vAlign w:val="center"/>
          </w:tcPr>
          <w:p w14:paraId="0D697DEE">
            <w:pPr>
              <w:spacing w:line="280" w:lineRule="exact"/>
              <w:ind w:left="105" w:leftChars="50"/>
              <w:rPr>
                <w:rFonts w:ascii="Times New Roman" w:hAnsi="Times New Roman" w:eastAsia="仿宋_GB2312" w:cs="Arial"/>
                <w:b/>
                <w:bCs/>
                <w:spacing w:val="-2"/>
                <w:sz w:val="24"/>
              </w:rPr>
            </w:pPr>
            <w:r>
              <w:rPr>
                <w:rFonts w:ascii="Times New Roman" w:hAnsi="Times New Roman" w:eastAsia="仿宋_GB2312" w:cs="Arial"/>
                <w:b/>
                <w:bCs/>
                <w:spacing w:val="-2"/>
                <w:sz w:val="24"/>
              </w:rPr>
              <w:t>物质危险特性</w:t>
            </w:r>
          </w:p>
        </w:tc>
        <w:tc>
          <w:tcPr>
            <w:tcW w:w="869" w:type="dxa"/>
            <w:vAlign w:val="center"/>
          </w:tcPr>
          <w:p w14:paraId="2310D925">
            <w:pPr>
              <w:spacing w:line="360" w:lineRule="exact"/>
              <w:jc w:val="center"/>
              <w:rPr>
                <w:rFonts w:ascii="Times New Roman" w:hAnsi="Times New Roman" w:eastAsia="仿宋_GB2312" w:cs="Arial"/>
                <w:b/>
                <w:bCs/>
                <w:sz w:val="24"/>
              </w:rPr>
            </w:pPr>
            <w:r>
              <w:rPr>
                <w:rFonts w:ascii="Times New Roman" w:hAnsi="Times New Roman" w:eastAsia="仿宋_GB2312" w:cs="Arial"/>
                <w:b/>
                <w:bCs/>
                <w:sz w:val="24"/>
              </w:rPr>
              <w:t>12</w:t>
            </w:r>
          </w:p>
        </w:tc>
        <w:tc>
          <w:tcPr>
            <w:tcW w:w="8928" w:type="dxa"/>
            <w:vAlign w:val="center"/>
          </w:tcPr>
          <w:p w14:paraId="5867376F">
            <w:pPr>
              <w:spacing w:line="360" w:lineRule="exact"/>
              <w:ind w:left="105" w:leftChars="50" w:right="105" w:rightChars="50"/>
              <w:rPr>
                <w:rFonts w:ascii="Times New Roman" w:hAnsi="Times New Roman" w:eastAsia="仿宋_GB2312" w:cs="Arial"/>
                <w:sz w:val="24"/>
              </w:rPr>
            </w:pPr>
          </w:p>
        </w:tc>
        <w:tc>
          <w:tcPr>
            <w:tcW w:w="998" w:type="dxa"/>
            <w:vAlign w:val="center"/>
          </w:tcPr>
          <w:p w14:paraId="0AC672BF">
            <w:pPr>
              <w:spacing w:line="360" w:lineRule="exact"/>
              <w:rPr>
                <w:rFonts w:ascii="Times New Roman" w:hAnsi="Times New Roman" w:eastAsia="宋体" w:cs="Arial"/>
              </w:rPr>
            </w:pPr>
          </w:p>
        </w:tc>
      </w:tr>
      <w:tr w14:paraId="0AA2B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6" w:hRule="atLeast"/>
        </w:trPr>
        <w:tc>
          <w:tcPr>
            <w:tcW w:w="1480" w:type="dxa"/>
            <w:vAlign w:val="center"/>
          </w:tcPr>
          <w:p w14:paraId="21BDB74E">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1.2.1</w:t>
            </w:r>
          </w:p>
        </w:tc>
        <w:tc>
          <w:tcPr>
            <w:tcW w:w="2356" w:type="dxa"/>
            <w:vAlign w:val="center"/>
          </w:tcPr>
          <w:p w14:paraId="062DE39C">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爆炸危险性</w:t>
            </w:r>
          </w:p>
        </w:tc>
        <w:tc>
          <w:tcPr>
            <w:tcW w:w="869" w:type="dxa"/>
            <w:vAlign w:val="center"/>
          </w:tcPr>
          <w:p w14:paraId="29819AF6">
            <w:pPr>
              <w:spacing w:line="360" w:lineRule="exact"/>
              <w:jc w:val="center"/>
              <w:rPr>
                <w:rFonts w:ascii="Times New Roman" w:hAnsi="Times New Roman" w:eastAsia="仿宋_GB2312" w:cs="Arial"/>
                <w:sz w:val="24"/>
              </w:rPr>
            </w:pPr>
            <w:r>
              <w:rPr>
                <w:rFonts w:ascii="Times New Roman" w:hAnsi="Times New Roman" w:eastAsia="仿宋_GB2312" w:cs="Arial"/>
                <w:sz w:val="24"/>
              </w:rPr>
              <w:t>4</w:t>
            </w:r>
          </w:p>
        </w:tc>
        <w:tc>
          <w:tcPr>
            <w:tcW w:w="8928" w:type="dxa"/>
            <w:vAlign w:val="center"/>
          </w:tcPr>
          <w:p w14:paraId="6C228730">
            <w:pPr>
              <w:spacing w:line="30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高度粉尘爆炸场所扣4分，较高度粉尘爆炸场所扣2分；涉及爆炸性气体、爆炸性蒸气的扣4分。</w:t>
            </w:r>
          </w:p>
        </w:tc>
        <w:tc>
          <w:tcPr>
            <w:tcW w:w="998" w:type="dxa"/>
            <w:vAlign w:val="center"/>
          </w:tcPr>
          <w:p w14:paraId="03A922A5">
            <w:pPr>
              <w:spacing w:line="360" w:lineRule="exact"/>
              <w:rPr>
                <w:rFonts w:ascii="Times New Roman" w:hAnsi="Times New Roman" w:eastAsia="宋体" w:cs="Arial"/>
              </w:rPr>
            </w:pPr>
          </w:p>
        </w:tc>
      </w:tr>
      <w:tr w14:paraId="384C3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2064B595">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1.2.2</w:t>
            </w:r>
          </w:p>
        </w:tc>
        <w:tc>
          <w:tcPr>
            <w:tcW w:w="2356" w:type="dxa"/>
            <w:vAlign w:val="center"/>
          </w:tcPr>
          <w:p w14:paraId="5296D471">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火灾危险性</w:t>
            </w:r>
          </w:p>
        </w:tc>
        <w:tc>
          <w:tcPr>
            <w:tcW w:w="869" w:type="dxa"/>
            <w:vAlign w:val="center"/>
          </w:tcPr>
          <w:p w14:paraId="7F60DF8B">
            <w:pPr>
              <w:spacing w:line="360" w:lineRule="exact"/>
              <w:jc w:val="center"/>
              <w:rPr>
                <w:rFonts w:ascii="Times New Roman" w:hAnsi="Times New Roman" w:eastAsia="仿宋_GB2312" w:cs="Arial"/>
                <w:sz w:val="24"/>
              </w:rPr>
            </w:pPr>
            <w:r>
              <w:rPr>
                <w:rFonts w:ascii="Times New Roman" w:hAnsi="Times New Roman" w:eastAsia="仿宋_GB2312" w:cs="Arial"/>
                <w:sz w:val="24"/>
              </w:rPr>
              <w:t>4</w:t>
            </w:r>
          </w:p>
        </w:tc>
        <w:tc>
          <w:tcPr>
            <w:tcW w:w="8928" w:type="dxa"/>
            <w:vAlign w:val="center"/>
          </w:tcPr>
          <w:p w14:paraId="426CD84C">
            <w:pPr>
              <w:spacing w:line="36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甲类火险场所扣4分，乙类扣2分，其他不扣分。</w:t>
            </w:r>
          </w:p>
        </w:tc>
        <w:tc>
          <w:tcPr>
            <w:tcW w:w="998" w:type="dxa"/>
            <w:vAlign w:val="center"/>
          </w:tcPr>
          <w:p w14:paraId="64B2BEBD">
            <w:pPr>
              <w:spacing w:line="360" w:lineRule="exact"/>
              <w:rPr>
                <w:rFonts w:ascii="Times New Roman" w:hAnsi="Times New Roman" w:eastAsia="宋体" w:cs="Arial"/>
              </w:rPr>
            </w:pPr>
          </w:p>
        </w:tc>
      </w:tr>
      <w:tr w14:paraId="30F5B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6003359B">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1.2.3</w:t>
            </w:r>
          </w:p>
        </w:tc>
        <w:tc>
          <w:tcPr>
            <w:tcW w:w="2356" w:type="dxa"/>
            <w:vAlign w:val="center"/>
          </w:tcPr>
          <w:p w14:paraId="762C77FC">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毒害性</w:t>
            </w:r>
          </w:p>
        </w:tc>
        <w:tc>
          <w:tcPr>
            <w:tcW w:w="869" w:type="dxa"/>
            <w:vAlign w:val="center"/>
          </w:tcPr>
          <w:p w14:paraId="23040858">
            <w:pPr>
              <w:spacing w:line="360" w:lineRule="exact"/>
              <w:jc w:val="center"/>
              <w:rPr>
                <w:rFonts w:ascii="Times New Roman" w:hAnsi="Times New Roman" w:eastAsia="仿宋_GB2312" w:cs="Arial"/>
                <w:sz w:val="24"/>
              </w:rPr>
            </w:pPr>
            <w:r>
              <w:rPr>
                <w:rFonts w:ascii="Times New Roman" w:hAnsi="Times New Roman" w:eastAsia="仿宋_GB2312" w:cs="Arial"/>
                <w:sz w:val="24"/>
              </w:rPr>
              <w:t>4</w:t>
            </w:r>
          </w:p>
        </w:tc>
        <w:tc>
          <w:tcPr>
            <w:tcW w:w="8928" w:type="dxa"/>
            <w:vAlign w:val="center"/>
          </w:tcPr>
          <w:p w14:paraId="6CC0CCF1">
            <w:pPr>
              <w:spacing w:line="36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涉及剧毒化学品，扣3分，涉及高毒化学品，扣2分。</w:t>
            </w:r>
          </w:p>
        </w:tc>
        <w:tc>
          <w:tcPr>
            <w:tcW w:w="998" w:type="dxa"/>
            <w:vAlign w:val="center"/>
          </w:tcPr>
          <w:p w14:paraId="3B832380">
            <w:pPr>
              <w:spacing w:line="360" w:lineRule="exact"/>
              <w:rPr>
                <w:rFonts w:ascii="Times New Roman" w:hAnsi="Times New Roman" w:eastAsia="宋体" w:cs="Arial"/>
              </w:rPr>
            </w:pPr>
          </w:p>
        </w:tc>
      </w:tr>
      <w:tr w14:paraId="65005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5DD4489F">
            <w:pPr>
              <w:spacing w:line="360" w:lineRule="exact"/>
              <w:ind w:firstLine="241" w:firstLineChars="100"/>
              <w:rPr>
                <w:rFonts w:ascii="Times New Roman" w:hAnsi="Times New Roman" w:eastAsia="仿宋_GB2312" w:cs="Arial"/>
                <w:b/>
                <w:bCs/>
                <w:sz w:val="24"/>
              </w:rPr>
            </w:pPr>
            <w:r>
              <w:rPr>
                <w:rFonts w:ascii="Times New Roman" w:hAnsi="Times New Roman" w:eastAsia="仿宋_GB2312" w:cs="Arial"/>
                <w:b/>
                <w:bCs/>
                <w:sz w:val="24"/>
              </w:rPr>
              <w:t>1.3</w:t>
            </w:r>
          </w:p>
        </w:tc>
        <w:tc>
          <w:tcPr>
            <w:tcW w:w="2356" w:type="dxa"/>
            <w:vAlign w:val="center"/>
          </w:tcPr>
          <w:p w14:paraId="33F2EBEE">
            <w:pPr>
              <w:spacing w:line="280" w:lineRule="exact"/>
              <w:ind w:left="105" w:leftChars="50"/>
              <w:rPr>
                <w:rFonts w:ascii="Times New Roman" w:hAnsi="Times New Roman" w:eastAsia="仿宋_GB2312" w:cs="Arial"/>
                <w:b/>
                <w:bCs/>
                <w:spacing w:val="-2"/>
                <w:sz w:val="24"/>
              </w:rPr>
            </w:pPr>
            <w:r>
              <w:rPr>
                <w:rFonts w:ascii="Times New Roman" w:hAnsi="Times New Roman" w:eastAsia="仿宋_GB2312" w:cs="Arial"/>
                <w:b/>
                <w:bCs/>
                <w:spacing w:val="-2"/>
                <w:sz w:val="24"/>
              </w:rPr>
              <w:t>工艺危险性</w:t>
            </w:r>
          </w:p>
        </w:tc>
        <w:tc>
          <w:tcPr>
            <w:tcW w:w="869" w:type="dxa"/>
            <w:vAlign w:val="center"/>
          </w:tcPr>
          <w:p w14:paraId="0951E015">
            <w:pPr>
              <w:spacing w:line="360" w:lineRule="exact"/>
              <w:jc w:val="center"/>
              <w:rPr>
                <w:rFonts w:ascii="Times New Roman" w:hAnsi="Times New Roman" w:eastAsia="仿宋_GB2312" w:cs="Arial"/>
                <w:b/>
                <w:bCs/>
                <w:sz w:val="24"/>
              </w:rPr>
            </w:pPr>
            <w:r>
              <w:rPr>
                <w:rFonts w:ascii="Times New Roman" w:hAnsi="Times New Roman" w:eastAsia="仿宋_GB2312" w:cs="Arial"/>
                <w:b/>
                <w:bCs/>
                <w:sz w:val="24"/>
              </w:rPr>
              <w:t>13</w:t>
            </w:r>
          </w:p>
        </w:tc>
        <w:tc>
          <w:tcPr>
            <w:tcW w:w="8928" w:type="dxa"/>
            <w:vAlign w:val="center"/>
          </w:tcPr>
          <w:p w14:paraId="250E3835">
            <w:pPr>
              <w:spacing w:line="360" w:lineRule="exact"/>
              <w:ind w:left="105" w:leftChars="50" w:right="105" w:rightChars="50"/>
              <w:rPr>
                <w:rFonts w:ascii="Times New Roman" w:hAnsi="Times New Roman" w:eastAsia="仿宋_GB2312" w:cs="Arial"/>
                <w:sz w:val="24"/>
              </w:rPr>
            </w:pPr>
          </w:p>
        </w:tc>
        <w:tc>
          <w:tcPr>
            <w:tcW w:w="998" w:type="dxa"/>
            <w:vAlign w:val="center"/>
          </w:tcPr>
          <w:p w14:paraId="2D8F1409">
            <w:pPr>
              <w:spacing w:line="360" w:lineRule="exact"/>
              <w:rPr>
                <w:rFonts w:ascii="Times New Roman" w:hAnsi="Times New Roman" w:eastAsia="宋体" w:cs="Arial"/>
              </w:rPr>
            </w:pPr>
          </w:p>
        </w:tc>
      </w:tr>
      <w:tr w14:paraId="3AA62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42" w:hRule="atLeast"/>
        </w:trPr>
        <w:tc>
          <w:tcPr>
            <w:tcW w:w="1480" w:type="dxa"/>
            <w:vAlign w:val="center"/>
          </w:tcPr>
          <w:p w14:paraId="59BEAEB1">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1.3.1</w:t>
            </w:r>
          </w:p>
        </w:tc>
        <w:tc>
          <w:tcPr>
            <w:tcW w:w="2356" w:type="dxa"/>
            <w:vAlign w:val="center"/>
          </w:tcPr>
          <w:p w14:paraId="0340B251">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危险装置</w:t>
            </w:r>
          </w:p>
        </w:tc>
        <w:tc>
          <w:tcPr>
            <w:tcW w:w="869" w:type="dxa"/>
            <w:vAlign w:val="center"/>
          </w:tcPr>
          <w:p w14:paraId="6405841F">
            <w:pPr>
              <w:spacing w:line="280" w:lineRule="exact"/>
              <w:jc w:val="center"/>
              <w:rPr>
                <w:rFonts w:ascii="Times New Roman" w:hAnsi="Times New Roman" w:eastAsia="仿宋_GB2312" w:cs="Arial"/>
                <w:sz w:val="24"/>
              </w:rPr>
            </w:pPr>
            <w:r>
              <w:rPr>
                <w:rFonts w:ascii="Times New Roman" w:hAnsi="Times New Roman" w:eastAsia="仿宋_GB2312" w:cs="Arial"/>
                <w:sz w:val="24"/>
              </w:rPr>
              <w:t>3</w:t>
            </w:r>
          </w:p>
        </w:tc>
        <w:tc>
          <w:tcPr>
            <w:tcW w:w="8928" w:type="dxa"/>
            <w:vAlign w:val="center"/>
          </w:tcPr>
          <w:p w14:paraId="42AA8A08">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涉及易燃易爆气体罐区、易燃易爆液体罐区、液化气体罐区、压力超过10MPa装置、温度超过300℃装置，每涉及一项扣1分，直至扣完此项分值。</w:t>
            </w:r>
          </w:p>
        </w:tc>
        <w:tc>
          <w:tcPr>
            <w:tcW w:w="998" w:type="dxa"/>
            <w:vAlign w:val="center"/>
          </w:tcPr>
          <w:p w14:paraId="237E2D8C">
            <w:pPr>
              <w:spacing w:line="280" w:lineRule="exact"/>
              <w:rPr>
                <w:rFonts w:ascii="Times New Roman" w:hAnsi="Times New Roman" w:eastAsia="宋体" w:cs="Arial"/>
              </w:rPr>
            </w:pPr>
          </w:p>
        </w:tc>
      </w:tr>
      <w:tr w14:paraId="793C2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843" w:hRule="atLeast"/>
        </w:trPr>
        <w:tc>
          <w:tcPr>
            <w:tcW w:w="1480" w:type="dxa"/>
            <w:vAlign w:val="center"/>
          </w:tcPr>
          <w:p w14:paraId="1384A597">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1.3.2</w:t>
            </w:r>
          </w:p>
        </w:tc>
        <w:tc>
          <w:tcPr>
            <w:tcW w:w="2356" w:type="dxa"/>
            <w:vAlign w:val="center"/>
          </w:tcPr>
          <w:p w14:paraId="62D15A16">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危险工艺及危险作业</w:t>
            </w:r>
          </w:p>
        </w:tc>
        <w:tc>
          <w:tcPr>
            <w:tcW w:w="869" w:type="dxa"/>
            <w:vAlign w:val="center"/>
          </w:tcPr>
          <w:p w14:paraId="1479DBBB">
            <w:pPr>
              <w:spacing w:line="280" w:lineRule="exact"/>
              <w:jc w:val="center"/>
              <w:rPr>
                <w:rFonts w:ascii="Times New Roman" w:hAnsi="Times New Roman" w:eastAsia="仿宋_GB2312" w:cs="Arial"/>
                <w:sz w:val="24"/>
              </w:rPr>
            </w:pPr>
            <w:r>
              <w:rPr>
                <w:rFonts w:ascii="Times New Roman" w:hAnsi="Times New Roman" w:eastAsia="仿宋_GB2312" w:cs="Arial"/>
                <w:sz w:val="24"/>
              </w:rPr>
              <w:t>10</w:t>
            </w:r>
          </w:p>
        </w:tc>
        <w:tc>
          <w:tcPr>
            <w:tcW w:w="8928" w:type="dxa"/>
            <w:vAlign w:val="center"/>
          </w:tcPr>
          <w:p w14:paraId="21EF5154">
            <w:pPr>
              <w:spacing w:line="26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涉及受限空间作业、爆炸粉尘作业（除尘系统，粉尘磨制，结晶干燥，奶粉生产，纤维干燥）、氨制冷作业、玉米浸泡作业、发酵作业、加氢作业、乙醇精馏或蒸馏作业、涂饰作业、木片水洗作业、喷漆涂装作业、漂白作业、天然气及使用作业、煤气发生炉作业、池窑作业、抛光作业、制浆作业、油炸作业、焊接作业、白酒勾兑作业、特种设备作业、污水处理及危险化学品作业，每涉及一项扣1分，直至扣完此项分值。</w:t>
            </w:r>
          </w:p>
        </w:tc>
        <w:tc>
          <w:tcPr>
            <w:tcW w:w="998" w:type="dxa"/>
            <w:vAlign w:val="center"/>
          </w:tcPr>
          <w:p w14:paraId="750FC66C">
            <w:pPr>
              <w:spacing w:line="280" w:lineRule="exact"/>
              <w:rPr>
                <w:rFonts w:ascii="Times New Roman" w:hAnsi="Times New Roman" w:eastAsia="宋体" w:cs="Arial"/>
              </w:rPr>
            </w:pPr>
          </w:p>
        </w:tc>
      </w:tr>
      <w:tr w14:paraId="08F91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3633" w:type="dxa"/>
            <w:gridSpan w:val="4"/>
            <w:vAlign w:val="center"/>
          </w:tcPr>
          <w:p w14:paraId="136FF5C8">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b/>
                <w:bCs/>
                <w:sz w:val="24"/>
              </w:rPr>
              <w:t>2、整体布局及设备设施条件30%</w:t>
            </w:r>
          </w:p>
        </w:tc>
        <w:tc>
          <w:tcPr>
            <w:tcW w:w="998" w:type="dxa"/>
            <w:vAlign w:val="center"/>
          </w:tcPr>
          <w:p w14:paraId="4934C868">
            <w:pPr>
              <w:spacing w:line="280" w:lineRule="exact"/>
              <w:rPr>
                <w:rFonts w:ascii="Times New Roman" w:hAnsi="Times New Roman" w:eastAsia="宋体" w:cs="Arial"/>
              </w:rPr>
            </w:pPr>
          </w:p>
        </w:tc>
      </w:tr>
      <w:tr w14:paraId="59F9B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567F26C5">
            <w:pPr>
              <w:spacing w:line="280" w:lineRule="exact"/>
              <w:ind w:firstLine="241" w:firstLineChars="100"/>
              <w:rPr>
                <w:rFonts w:ascii="Times New Roman" w:hAnsi="Times New Roman" w:eastAsia="仿宋_GB2312" w:cs="Arial"/>
                <w:b/>
                <w:bCs/>
                <w:sz w:val="24"/>
              </w:rPr>
            </w:pPr>
            <w:r>
              <w:rPr>
                <w:rFonts w:ascii="Times New Roman" w:hAnsi="Times New Roman" w:eastAsia="仿宋_GB2312" w:cs="Arial"/>
                <w:b/>
                <w:bCs/>
                <w:sz w:val="24"/>
              </w:rPr>
              <w:t>2.1</w:t>
            </w:r>
          </w:p>
        </w:tc>
        <w:tc>
          <w:tcPr>
            <w:tcW w:w="2356" w:type="dxa"/>
            <w:vAlign w:val="center"/>
          </w:tcPr>
          <w:p w14:paraId="66FF3712">
            <w:pPr>
              <w:spacing w:line="280" w:lineRule="exact"/>
              <w:ind w:left="105" w:leftChars="50"/>
              <w:rPr>
                <w:rFonts w:ascii="Times New Roman" w:hAnsi="Times New Roman" w:eastAsia="仿宋_GB2312" w:cs="Arial"/>
                <w:b/>
                <w:bCs/>
                <w:spacing w:val="-2"/>
                <w:sz w:val="24"/>
              </w:rPr>
            </w:pPr>
            <w:r>
              <w:rPr>
                <w:rFonts w:ascii="Times New Roman" w:hAnsi="Times New Roman" w:eastAsia="仿宋_GB2312" w:cs="Arial"/>
                <w:b/>
                <w:bCs/>
                <w:spacing w:val="-2"/>
                <w:sz w:val="24"/>
              </w:rPr>
              <w:t>安全距离符合性</w:t>
            </w:r>
          </w:p>
        </w:tc>
        <w:tc>
          <w:tcPr>
            <w:tcW w:w="869" w:type="dxa"/>
            <w:vAlign w:val="center"/>
          </w:tcPr>
          <w:p w14:paraId="67F08FC5">
            <w:pPr>
              <w:spacing w:line="280" w:lineRule="exact"/>
              <w:jc w:val="center"/>
              <w:rPr>
                <w:rFonts w:ascii="Times New Roman" w:hAnsi="Times New Roman" w:eastAsia="仿宋_GB2312" w:cs="Arial"/>
                <w:b/>
                <w:bCs/>
                <w:sz w:val="24"/>
              </w:rPr>
            </w:pPr>
            <w:r>
              <w:rPr>
                <w:rFonts w:ascii="Times New Roman" w:hAnsi="Times New Roman" w:eastAsia="仿宋_GB2312" w:cs="Arial"/>
                <w:b/>
                <w:bCs/>
                <w:sz w:val="24"/>
              </w:rPr>
              <w:t>7</w:t>
            </w:r>
          </w:p>
        </w:tc>
        <w:tc>
          <w:tcPr>
            <w:tcW w:w="8928" w:type="dxa"/>
            <w:vAlign w:val="center"/>
          </w:tcPr>
          <w:p w14:paraId="12C8576E">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安全距离不符合相关标准规定的，扣7分。</w:t>
            </w:r>
          </w:p>
        </w:tc>
        <w:tc>
          <w:tcPr>
            <w:tcW w:w="998" w:type="dxa"/>
            <w:vAlign w:val="center"/>
          </w:tcPr>
          <w:p w14:paraId="2ACEC8CA">
            <w:pPr>
              <w:spacing w:line="280" w:lineRule="exact"/>
              <w:rPr>
                <w:rFonts w:ascii="Times New Roman" w:hAnsi="Times New Roman" w:eastAsia="宋体" w:cs="Arial"/>
              </w:rPr>
            </w:pPr>
          </w:p>
        </w:tc>
      </w:tr>
      <w:tr w14:paraId="62067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5D291537">
            <w:pPr>
              <w:spacing w:line="280" w:lineRule="exact"/>
              <w:ind w:firstLine="241" w:firstLineChars="100"/>
              <w:rPr>
                <w:rFonts w:ascii="Times New Roman" w:hAnsi="Times New Roman" w:eastAsia="仿宋_GB2312" w:cs="Arial"/>
                <w:b/>
                <w:bCs/>
                <w:sz w:val="24"/>
              </w:rPr>
            </w:pPr>
            <w:r>
              <w:rPr>
                <w:rFonts w:ascii="Times New Roman" w:hAnsi="Times New Roman" w:eastAsia="仿宋_GB2312" w:cs="Arial"/>
                <w:b/>
                <w:bCs/>
                <w:sz w:val="24"/>
              </w:rPr>
              <w:t>2.2</w:t>
            </w:r>
          </w:p>
        </w:tc>
        <w:tc>
          <w:tcPr>
            <w:tcW w:w="2356" w:type="dxa"/>
            <w:vAlign w:val="center"/>
          </w:tcPr>
          <w:p w14:paraId="0C1FCB55">
            <w:pPr>
              <w:spacing w:line="280" w:lineRule="exact"/>
              <w:ind w:left="105" w:leftChars="50"/>
              <w:rPr>
                <w:rFonts w:ascii="Times New Roman" w:hAnsi="Times New Roman" w:eastAsia="仿宋_GB2312" w:cs="Arial"/>
                <w:b/>
                <w:bCs/>
                <w:spacing w:val="-2"/>
                <w:sz w:val="24"/>
              </w:rPr>
            </w:pPr>
            <w:r>
              <w:rPr>
                <w:rFonts w:ascii="Times New Roman" w:hAnsi="Times New Roman" w:eastAsia="仿宋_GB2312" w:cs="Arial"/>
                <w:b/>
                <w:bCs/>
                <w:spacing w:val="-2"/>
                <w:sz w:val="24"/>
              </w:rPr>
              <w:t>建筑物条件</w:t>
            </w:r>
          </w:p>
        </w:tc>
        <w:tc>
          <w:tcPr>
            <w:tcW w:w="869" w:type="dxa"/>
            <w:vAlign w:val="center"/>
          </w:tcPr>
          <w:p w14:paraId="3AC82205">
            <w:pPr>
              <w:spacing w:line="280" w:lineRule="exact"/>
              <w:jc w:val="center"/>
              <w:rPr>
                <w:rFonts w:ascii="Times New Roman" w:hAnsi="Times New Roman" w:eastAsia="仿宋_GB2312" w:cs="Arial"/>
                <w:b/>
                <w:bCs/>
                <w:sz w:val="24"/>
              </w:rPr>
            </w:pPr>
            <w:r>
              <w:rPr>
                <w:rFonts w:ascii="Times New Roman" w:hAnsi="Times New Roman" w:eastAsia="仿宋_GB2312" w:cs="Arial"/>
                <w:b/>
                <w:bCs/>
                <w:sz w:val="24"/>
              </w:rPr>
              <w:t>8</w:t>
            </w:r>
          </w:p>
        </w:tc>
        <w:tc>
          <w:tcPr>
            <w:tcW w:w="8928" w:type="dxa"/>
            <w:vAlign w:val="center"/>
          </w:tcPr>
          <w:p w14:paraId="2ACDDEC1">
            <w:pPr>
              <w:spacing w:line="280" w:lineRule="exact"/>
              <w:ind w:left="105" w:leftChars="50" w:right="105" w:rightChars="50"/>
              <w:rPr>
                <w:rFonts w:ascii="Times New Roman" w:hAnsi="Times New Roman" w:eastAsia="仿宋_GB2312" w:cs="Arial"/>
                <w:sz w:val="24"/>
              </w:rPr>
            </w:pPr>
          </w:p>
        </w:tc>
        <w:tc>
          <w:tcPr>
            <w:tcW w:w="998" w:type="dxa"/>
            <w:vAlign w:val="center"/>
          </w:tcPr>
          <w:p w14:paraId="36E749C9">
            <w:pPr>
              <w:spacing w:line="280" w:lineRule="exact"/>
              <w:rPr>
                <w:rFonts w:ascii="Times New Roman" w:hAnsi="Times New Roman" w:eastAsia="宋体" w:cs="Arial"/>
              </w:rPr>
            </w:pPr>
          </w:p>
        </w:tc>
      </w:tr>
      <w:tr w14:paraId="1F504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2DDAD550">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2.2.1</w:t>
            </w:r>
          </w:p>
        </w:tc>
        <w:tc>
          <w:tcPr>
            <w:tcW w:w="2356" w:type="dxa"/>
            <w:vAlign w:val="center"/>
          </w:tcPr>
          <w:p w14:paraId="3F361AE8">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建筑物消防验收情况</w:t>
            </w:r>
          </w:p>
        </w:tc>
        <w:tc>
          <w:tcPr>
            <w:tcW w:w="869" w:type="dxa"/>
            <w:vAlign w:val="center"/>
          </w:tcPr>
          <w:p w14:paraId="19B2FCA4">
            <w:pPr>
              <w:spacing w:line="280" w:lineRule="exact"/>
              <w:jc w:val="center"/>
              <w:rPr>
                <w:rFonts w:ascii="Times New Roman" w:hAnsi="Times New Roman" w:eastAsia="仿宋_GB2312" w:cs="Arial"/>
                <w:sz w:val="24"/>
              </w:rPr>
            </w:pPr>
            <w:r>
              <w:rPr>
                <w:rFonts w:ascii="Times New Roman" w:hAnsi="Times New Roman" w:eastAsia="仿宋_GB2312" w:cs="Arial"/>
                <w:sz w:val="24"/>
              </w:rPr>
              <w:t>4</w:t>
            </w:r>
          </w:p>
        </w:tc>
        <w:tc>
          <w:tcPr>
            <w:tcW w:w="8928" w:type="dxa"/>
            <w:vAlign w:val="center"/>
          </w:tcPr>
          <w:p w14:paraId="0292E890">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未通过消防验收扣4分。</w:t>
            </w:r>
          </w:p>
        </w:tc>
        <w:tc>
          <w:tcPr>
            <w:tcW w:w="998" w:type="dxa"/>
            <w:vAlign w:val="center"/>
          </w:tcPr>
          <w:p w14:paraId="58F08CA4">
            <w:pPr>
              <w:spacing w:line="280" w:lineRule="exact"/>
              <w:rPr>
                <w:rFonts w:ascii="Times New Roman" w:hAnsi="Times New Roman" w:eastAsia="宋体" w:cs="Arial"/>
              </w:rPr>
            </w:pPr>
          </w:p>
        </w:tc>
      </w:tr>
      <w:tr w14:paraId="231E0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9" w:hRule="exact"/>
        </w:trPr>
        <w:tc>
          <w:tcPr>
            <w:tcW w:w="1480" w:type="dxa"/>
            <w:vAlign w:val="center"/>
          </w:tcPr>
          <w:p w14:paraId="67064C12">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2.2.2</w:t>
            </w:r>
          </w:p>
        </w:tc>
        <w:tc>
          <w:tcPr>
            <w:tcW w:w="2356" w:type="dxa"/>
            <w:vAlign w:val="center"/>
          </w:tcPr>
          <w:p w14:paraId="77A12A53">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厂房、作业场所符合性</w:t>
            </w:r>
          </w:p>
        </w:tc>
        <w:tc>
          <w:tcPr>
            <w:tcW w:w="869" w:type="dxa"/>
            <w:vAlign w:val="center"/>
          </w:tcPr>
          <w:p w14:paraId="7CE19F8B">
            <w:pPr>
              <w:spacing w:line="280" w:lineRule="exact"/>
              <w:jc w:val="center"/>
              <w:rPr>
                <w:rFonts w:ascii="Times New Roman" w:hAnsi="Times New Roman" w:eastAsia="仿宋_GB2312" w:cs="Arial"/>
                <w:sz w:val="24"/>
              </w:rPr>
            </w:pPr>
            <w:r>
              <w:rPr>
                <w:rFonts w:ascii="Times New Roman" w:hAnsi="Times New Roman" w:eastAsia="仿宋_GB2312" w:cs="Arial"/>
                <w:sz w:val="24"/>
              </w:rPr>
              <w:t>4</w:t>
            </w:r>
          </w:p>
        </w:tc>
        <w:tc>
          <w:tcPr>
            <w:tcW w:w="8928" w:type="dxa"/>
            <w:vAlign w:val="center"/>
          </w:tcPr>
          <w:p w14:paraId="76B29F30">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厂房、作业场所、道路等不符合有关规定的，每处不符合扣1分，直至扣完此项分值。</w:t>
            </w:r>
          </w:p>
        </w:tc>
        <w:tc>
          <w:tcPr>
            <w:tcW w:w="998" w:type="dxa"/>
            <w:vAlign w:val="center"/>
          </w:tcPr>
          <w:p w14:paraId="3D91F2D8">
            <w:pPr>
              <w:spacing w:line="280" w:lineRule="exact"/>
              <w:rPr>
                <w:rFonts w:ascii="Times New Roman" w:hAnsi="Times New Roman" w:eastAsia="宋体" w:cs="Arial"/>
              </w:rPr>
            </w:pPr>
          </w:p>
        </w:tc>
      </w:tr>
      <w:tr w14:paraId="79046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52CFA822">
            <w:pPr>
              <w:spacing w:line="280" w:lineRule="exact"/>
              <w:ind w:firstLine="241" w:firstLineChars="100"/>
              <w:rPr>
                <w:rFonts w:ascii="Times New Roman" w:hAnsi="Times New Roman" w:eastAsia="仿宋_GB2312" w:cs="Arial"/>
                <w:b/>
                <w:bCs/>
                <w:sz w:val="24"/>
              </w:rPr>
            </w:pPr>
            <w:r>
              <w:rPr>
                <w:rFonts w:ascii="Times New Roman" w:hAnsi="Times New Roman" w:eastAsia="仿宋_GB2312" w:cs="Arial"/>
                <w:b/>
                <w:bCs/>
                <w:sz w:val="24"/>
              </w:rPr>
              <w:t>2.3</w:t>
            </w:r>
          </w:p>
        </w:tc>
        <w:tc>
          <w:tcPr>
            <w:tcW w:w="2356" w:type="dxa"/>
            <w:vAlign w:val="center"/>
          </w:tcPr>
          <w:p w14:paraId="037207D5">
            <w:pPr>
              <w:spacing w:line="280" w:lineRule="exact"/>
              <w:ind w:left="105" w:leftChars="50"/>
              <w:rPr>
                <w:rFonts w:ascii="Times New Roman" w:hAnsi="Times New Roman" w:eastAsia="仿宋_GB2312" w:cs="Arial"/>
                <w:b/>
                <w:bCs/>
                <w:spacing w:val="-2"/>
                <w:sz w:val="24"/>
              </w:rPr>
            </w:pPr>
            <w:r>
              <w:rPr>
                <w:rFonts w:ascii="Times New Roman" w:hAnsi="Times New Roman" w:eastAsia="仿宋_GB2312" w:cs="Arial"/>
                <w:b/>
                <w:bCs/>
                <w:spacing w:val="-2"/>
                <w:sz w:val="24"/>
              </w:rPr>
              <w:t>设备、设施条件</w:t>
            </w:r>
          </w:p>
        </w:tc>
        <w:tc>
          <w:tcPr>
            <w:tcW w:w="869" w:type="dxa"/>
            <w:vAlign w:val="center"/>
          </w:tcPr>
          <w:p w14:paraId="48A323EF">
            <w:pPr>
              <w:spacing w:line="280" w:lineRule="exact"/>
              <w:jc w:val="center"/>
              <w:rPr>
                <w:rFonts w:ascii="Times New Roman" w:hAnsi="Times New Roman" w:eastAsia="仿宋_GB2312" w:cs="Arial"/>
                <w:b/>
                <w:bCs/>
                <w:sz w:val="24"/>
              </w:rPr>
            </w:pPr>
            <w:r>
              <w:rPr>
                <w:rFonts w:ascii="Times New Roman" w:hAnsi="Times New Roman" w:eastAsia="仿宋_GB2312" w:cs="Arial"/>
                <w:b/>
                <w:bCs/>
                <w:sz w:val="24"/>
              </w:rPr>
              <w:t>15</w:t>
            </w:r>
          </w:p>
        </w:tc>
        <w:tc>
          <w:tcPr>
            <w:tcW w:w="8928" w:type="dxa"/>
            <w:vAlign w:val="center"/>
          </w:tcPr>
          <w:p w14:paraId="35A67273">
            <w:pPr>
              <w:spacing w:line="280" w:lineRule="exact"/>
              <w:ind w:left="105" w:leftChars="50" w:right="105" w:rightChars="50"/>
              <w:rPr>
                <w:rFonts w:ascii="Times New Roman" w:hAnsi="Times New Roman" w:eastAsia="仿宋_GB2312" w:cs="Arial"/>
                <w:sz w:val="24"/>
              </w:rPr>
            </w:pPr>
          </w:p>
        </w:tc>
        <w:tc>
          <w:tcPr>
            <w:tcW w:w="998" w:type="dxa"/>
            <w:vAlign w:val="center"/>
          </w:tcPr>
          <w:p w14:paraId="4D816B76">
            <w:pPr>
              <w:spacing w:line="280" w:lineRule="exact"/>
              <w:rPr>
                <w:rFonts w:ascii="Times New Roman" w:hAnsi="Times New Roman" w:eastAsia="宋体" w:cs="Arial"/>
              </w:rPr>
            </w:pPr>
          </w:p>
        </w:tc>
      </w:tr>
      <w:tr w14:paraId="6978B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389E2157">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2.3.1</w:t>
            </w:r>
          </w:p>
        </w:tc>
        <w:tc>
          <w:tcPr>
            <w:tcW w:w="2356" w:type="dxa"/>
            <w:vAlign w:val="center"/>
          </w:tcPr>
          <w:p w14:paraId="2571E325">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特种设备管理</w:t>
            </w:r>
          </w:p>
        </w:tc>
        <w:tc>
          <w:tcPr>
            <w:tcW w:w="869" w:type="dxa"/>
            <w:vAlign w:val="center"/>
          </w:tcPr>
          <w:p w14:paraId="1D23C26F">
            <w:pPr>
              <w:spacing w:line="280" w:lineRule="exact"/>
              <w:jc w:val="center"/>
              <w:rPr>
                <w:rFonts w:ascii="Times New Roman" w:hAnsi="Times New Roman" w:eastAsia="仿宋_GB2312" w:cs="Arial"/>
                <w:sz w:val="24"/>
              </w:rPr>
            </w:pPr>
            <w:r>
              <w:rPr>
                <w:rFonts w:ascii="Times New Roman" w:hAnsi="Times New Roman" w:eastAsia="仿宋_GB2312" w:cs="Arial"/>
                <w:sz w:val="24"/>
              </w:rPr>
              <w:t>2</w:t>
            </w:r>
          </w:p>
        </w:tc>
        <w:tc>
          <w:tcPr>
            <w:tcW w:w="8928" w:type="dxa"/>
            <w:vAlign w:val="center"/>
          </w:tcPr>
          <w:p w14:paraId="7FE6D471">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应建立特种设备管理台账。未建立管理台账的扣2分。</w:t>
            </w:r>
          </w:p>
        </w:tc>
        <w:tc>
          <w:tcPr>
            <w:tcW w:w="998" w:type="dxa"/>
            <w:vAlign w:val="center"/>
          </w:tcPr>
          <w:p w14:paraId="5570F520">
            <w:pPr>
              <w:spacing w:line="280" w:lineRule="exact"/>
              <w:rPr>
                <w:rFonts w:ascii="Times New Roman" w:hAnsi="Times New Roman" w:eastAsia="宋体" w:cs="Arial"/>
              </w:rPr>
            </w:pPr>
          </w:p>
        </w:tc>
      </w:tr>
      <w:tr w14:paraId="154D1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5679DF2D">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2.3.2</w:t>
            </w:r>
          </w:p>
        </w:tc>
        <w:tc>
          <w:tcPr>
            <w:tcW w:w="2356" w:type="dxa"/>
            <w:vAlign w:val="center"/>
          </w:tcPr>
          <w:p w14:paraId="1C7398F1">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设备完好率</w:t>
            </w:r>
          </w:p>
        </w:tc>
        <w:tc>
          <w:tcPr>
            <w:tcW w:w="869" w:type="dxa"/>
            <w:vAlign w:val="center"/>
          </w:tcPr>
          <w:p w14:paraId="19BF15FE">
            <w:pPr>
              <w:spacing w:line="280" w:lineRule="exact"/>
              <w:jc w:val="center"/>
              <w:rPr>
                <w:rFonts w:ascii="Times New Roman" w:hAnsi="Times New Roman" w:eastAsia="仿宋_GB2312" w:cs="Arial"/>
                <w:sz w:val="24"/>
              </w:rPr>
            </w:pPr>
            <w:r>
              <w:rPr>
                <w:rFonts w:ascii="Times New Roman" w:hAnsi="Times New Roman" w:eastAsia="仿宋_GB2312" w:cs="Arial"/>
                <w:sz w:val="24"/>
              </w:rPr>
              <w:t>5</w:t>
            </w:r>
          </w:p>
        </w:tc>
        <w:tc>
          <w:tcPr>
            <w:tcW w:w="8928" w:type="dxa"/>
            <w:vAlign w:val="center"/>
          </w:tcPr>
          <w:p w14:paraId="52BB6CD7">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发现特种设备及需法定检测检验的设施未检测或不合格的，直接扣5分。</w:t>
            </w:r>
          </w:p>
        </w:tc>
        <w:tc>
          <w:tcPr>
            <w:tcW w:w="998" w:type="dxa"/>
            <w:vAlign w:val="center"/>
          </w:tcPr>
          <w:p w14:paraId="7B4B5D74">
            <w:pPr>
              <w:spacing w:line="280" w:lineRule="exact"/>
              <w:rPr>
                <w:rFonts w:ascii="Times New Roman" w:hAnsi="Times New Roman" w:eastAsia="宋体" w:cs="Arial"/>
              </w:rPr>
            </w:pPr>
          </w:p>
        </w:tc>
      </w:tr>
      <w:tr w14:paraId="693E5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48FE0953">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2.3.3</w:t>
            </w:r>
          </w:p>
        </w:tc>
        <w:tc>
          <w:tcPr>
            <w:tcW w:w="2356" w:type="dxa"/>
            <w:vAlign w:val="center"/>
          </w:tcPr>
          <w:p w14:paraId="54B88B2B">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安全设施的充分性</w:t>
            </w:r>
          </w:p>
        </w:tc>
        <w:tc>
          <w:tcPr>
            <w:tcW w:w="869" w:type="dxa"/>
            <w:vAlign w:val="center"/>
          </w:tcPr>
          <w:p w14:paraId="46BFDE8A">
            <w:pPr>
              <w:spacing w:line="280" w:lineRule="exact"/>
              <w:jc w:val="center"/>
              <w:rPr>
                <w:rFonts w:ascii="Times New Roman" w:hAnsi="Times New Roman" w:eastAsia="仿宋_GB2312" w:cs="Arial"/>
                <w:sz w:val="24"/>
              </w:rPr>
            </w:pPr>
            <w:r>
              <w:rPr>
                <w:rFonts w:ascii="Times New Roman" w:hAnsi="Times New Roman" w:eastAsia="仿宋_GB2312" w:cs="Arial"/>
                <w:sz w:val="24"/>
              </w:rPr>
              <w:t>4</w:t>
            </w:r>
          </w:p>
        </w:tc>
        <w:tc>
          <w:tcPr>
            <w:tcW w:w="8928" w:type="dxa"/>
            <w:vAlign w:val="center"/>
          </w:tcPr>
          <w:p w14:paraId="49C93FE1">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安全设施配置不符合规定的，每处扣1分，直至扣完此项分值。</w:t>
            </w:r>
          </w:p>
        </w:tc>
        <w:tc>
          <w:tcPr>
            <w:tcW w:w="998" w:type="dxa"/>
            <w:vAlign w:val="center"/>
          </w:tcPr>
          <w:p w14:paraId="48A47C38">
            <w:pPr>
              <w:spacing w:line="280" w:lineRule="exact"/>
              <w:rPr>
                <w:rFonts w:ascii="Times New Roman" w:hAnsi="Times New Roman" w:eastAsia="宋体" w:cs="Arial"/>
              </w:rPr>
            </w:pPr>
          </w:p>
        </w:tc>
      </w:tr>
      <w:tr w14:paraId="75A64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177F89ED">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2.3.4</w:t>
            </w:r>
          </w:p>
        </w:tc>
        <w:tc>
          <w:tcPr>
            <w:tcW w:w="2356" w:type="dxa"/>
            <w:vAlign w:val="center"/>
          </w:tcPr>
          <w:p w14:paraId="12DB172D">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安全设施的完好性</w:t>
            </w:r>
          </w:p>
        </w:tc>
        <w:tc>
          <w:tcPr>
            <w:tcW w:w="869" w:type="dxa"/>
            <w:vAlign w:val="center"/>
          </w:tcPr>
          <w:p w14:paraId="7A14D729">
            <w:pPr>
              <w:spacing w:line="280" w:lineRule="exact"/>
              <w:jc w:val="center"/>
              <w:rPr>
                <w:rFonts w:ascii="Times New Roman" w:hAnsi="Times New Roman" w:eastAsia="仿宋_GB2312" w:cs="Arial"/>
                <w:sz w:val="24"/>
              </w:rPr>
            </w:pPr>
            <w:r>
              <w:rPr>
                <w:rFonts w:ascii="Times New Roman" w:hAnsi="Times New Roman" w:eastAsia="仿宋_GB2312" w:cs="Arial"/>
                <w:sz w:val="24"/>
              </w:rPr>
              <w:t>4</w:t>
            </w:r>
          </w:p>
        </w:tc>
        <w:tc>
          <w:tcPr>
            <w:tcW w:w="8928" w:type="dxa"/>
            <w:vAlign w:val="center"/>
          </w:tcPr>
          <w:p w14:paraId="0C8F3A7B">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sz w:val="24"/>
              </w:rPr>
              <w:t>安全设施损坏每处扣1分，直至扣完此项分值。</w:t>
            </w:r>
          </w:p>
        </w:tc>
        <w:tc>
          <w:tcPr>
            <w:tcW w:w="998" w:type="dxa"/>
            <w:vAlign w:val="center"/>
          </w:tcPr>
          <w:p w14:paraId="6DC33A73">
            <w:pPr>
              <w:spacing w:line="280" w:lineRule="exact"/>
              <w:rPr>
                <w:rFonts w:ascii="Times New Roman" w:hAnsi="Times New Roman" w:eastAsia="宋体" w:cs="Arial"/>
              </w:rPr>
            </w:pPr>
          </w:p>
        </w:tc>
      </w:tr>
      <w:tr w14:paraId="41A4C1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3633" w:type="dxa"/>
            <w:gridSpan w:val="4"/>
            <w:vAlign w:val="center"/>
          </w:tcPr>
          <w:p w14:paraId="084C8509">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b/>
                <w:bCs/>
                <w:sz w:val="24"/>
              </w:rPr>
              <w:t>3、企业主体责任落实情况40%</w:t>
            </w:r>
          </w:p>
        </w:tc>
        <w:tc>
          <w:tcPr>
            <w:tcW w:w="998" w:type="dxa"/>
            <w:vAlign w:val="center"/>
          </w:tcPr>
          <w:p w14:paraId="7A98593F">
            <w:pPr>
              <w:spacing w:line="280" w:lineRule="exact"/>
              <w:rPr>
                <w:rFonts w:ascii="Times New Roman" w:hAnsi="Times New Roman" w:eastAsia="宋体" w:cs="Arial"/>
              </w:rPr>
            </w:pPr>
          </w:p>
        </w:tc>
      </w:tr>
      <w:tr w14:paraId="5CFDC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68AC598C">
            <w:pPr>
              <w:spacing w:line="280" w:lineRule="exact"/>
              <w:ind w:firstLine="241" w:firstLineChars="100"/>
              <w:rPr>
                <w:rFonts w:ascii="Times New Roman" w:hAnsi="Times New Roman" w:eastAsia="仿宋_GB2312" w:cs="Arial"/>
                <w:b/>
                <w:bCs/>
                <w:sz w:val="24"/>
              </w:rPr>
            </w:pPr>
            <w:r>
              <w:rPr>
                <w:rFonts w:ascii="Times New Roman" w:hAnsi="Times New Roman" w:eastAsia="仿宋_GB2312" w:cs="Arial"/>
                <w:b/>
                <w:bCs/>
                <w:sz w:val="24"/>
              </w:rPr>
              <w:t>3.1</w:t>
            </w:r>
          </w:p>
        </w:tc>
        <w:tc>
          <w:tcPr>
            <w:tcW w:w="2356" w:type="dxa"/>
            <w:vAlign w:val="center"/>
          </w:tcPr>
          <w:p w14:paraId="36F43BE8">
            <w:pPr>
              <w:spacing w:line="280" w:lineRule="exact"/>
              <w:ind w:left="105" w:leftChars="50"/>
              <w:rPr>
                <w:rFonts w:ascii="Times New Roman" w:hAnsi="Times New Roman" w:eastAsia="仿宋_GB2312" w:cs="Arial"/>
                <w:b/>
                <w:bCs/>
                <w:spacing w:val="-2"/>
                <w:sz w:val="24"/>
              </w:rPr>
            </w:pPr>
            <w:r>
              <w:rPr>
                <w:rFonts w:ascii="Times New Roman" w:hAnsi="Times New Roman" w:eastAsia="仿宋_GB2312" w:cs="Arial"/>
                <w:b/>
                <w:bCs/>
                <w:spacing w:val="-2"/>
                <w:sz w:val="24"/>
              </w:rPr>
              <w:t>安全管理体系</w:t>
            </w:r>
          </w:p>
        </w:tc>
        <w:tc>
          <w:tcPr>
            <w:tcW w:w="869" w:type="dxa"/>
            <w:vAlign w:val="center"/>
          </w:tcPr>
          <w:p w14:paraId="52AB0A46">
            <w:pPr>
              <w:spacing w:line="280" w:lineRule="exact"/>
              <w:ind w:firstLine="241" w:firstLineChars="100"/>
              <w:jc w:val="center"/>
              <w:rPr>
                <w:rFonts w:ascii="Times New Roman" w:hAnsi="Times New Roman" w:eastAsia="仿宋_GB2312" w:cs="Arial"/>
                <w:b/>
                <w:bCs/>
                <w:sz w:val="24"/>
              </w:rPr>
            </w:pPr>
            <w:r>
              <w:rPr>
                <w:rFonts w:ascii="Times New Roman" w:hAnsi="Times New Roman" w:eastAsia="仿宋_GB2312" w:cs="Arial"/>
                <w:b/>
                <w:bCs/>
                <w:sz w:val="24"/>
              </w:rPr>
              <w:t>15</w:t>
            </w:r>
          </w:p>
        </w:tc>
        <w:tc>
          <w:tcPr>
            <w:tcW w:w="8928" w:type="dxa"/>
            <w:vAlign w:val="center"/>
          </w:tcPr>
          <w:p w14:paraId="06B5F4DA">
            <w:pPr>
              <w:spacing w:line="280" w:lineRule="exact"/>
              <w:ind w:left="105" w:leftChars="50" w:right="105" w:rightChars="50"/>
              <w:rPr>
                <w:rFonts w:ascii="Times New Roman" w:hAnsi="Times New Roman" w:eastAsia="仿宋_GB2312" w:cs="Arial"/>
                <w:sz w:val="24"/>
              </w:rPr>
            </w:pPr>
          </w:p>
        </w:tc>
        <w:tc>
          <w:tcPr>
            <w:tcW w:w="998" w:type="dxa"/>
            <w:vAlign w:val="center"/>
          </w:tcPr>
          <w:p w14:paraId="0D7F055F">
            <w:pPr>
              <w:spacing w:line="280" w:lineRule="exact"/>
              <w:rPr>
                <w:rFonts w:ascii="Times New Roman" w:hAnsi="Times New Roman" w:eastAsia="宋体" w:cs="Arial"/>
              </w:rPr>
            </w:pPr>
          </w:p>
        </w:tc>
      </w:tr>
      <w:tr w14:paraId="17688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0FC185FD">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3.1.1</w:t>
            </w:r>
          </w:p>
        </w:tc>
        <w:tc>
          <w:tcPr>
            <w:tcW w:w="2356" w:type="dxa"/>
            <w:vAlign w:val="center"/>
          </w:tcPr>
          <w:p w14:paraId="0E3DF043">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安全生产责任制</w:t>
            </w:r>
          </w:p>
        </w:tc>
        <w:tc>
          <w:tcPr>
            <w:tcW w:w="869" w:type="dxa"/>
            <w:vAlign w:val="center"/>
          </w:tcPr>
          <w:p w14:paraId="7936FA66">
            <w:pPr>
              <w:spacing w:line="280" w:lineRule="exact"/>
              <w:jc w:val="center"/>
              <w:rPr>
                <w:rFonts w:ascii="Times New Roman" w:hAnsi="Times New Roman" w:eastAsia="仿宋_GB2312" w:cs="Arial"/>
                <w:sz w:val="24"/>
              </w:rPr>
            </w:pPr>
            <w:r>
              <w:rPr>
                <w:rFonts w:ascii="Times New Roman" w:hAnsi="Times New Roman" w:eastAsia="仿宋_GB2312" w:cs="Arial"/>
                <w:sz w:val="24"/>
              </w:rPr>
              <w:t>3</w:t>
            </w:r>
          </w:p>
        </w:tc>
        <w:tc>
          <w:tcPr>
            <w:tcW w:w="8928" w:type="dxa"/>
            <w:vAlign w:val="center"/>
          </w:tcPr>
          <w:p w14:paraId="4D3126DF">
            <w:pPr>
              <w:spacing w:line="280" w:lineRule="exact"/>
              <w:ind w:left="105" w:leftChars="50" w:right="105" w:rightChars="50" w:firstLine="1"/>
              <w:rPr>
                <w:rFonts w:ascii="Times New Roman" w:hAnsi="Times New Roman" w:eastAsia="仿宋_GB2312" w:cs="Arial"/>
                <w:sz w:val="24"/>
              </w:rPr>
            </w:pPr>
            <w:r>
              <w:rPr>
                <w:rFonts w:ascii="Times New Roman" w:hAnsi="Times New Roman" w:eastAsia="仿宋_GB2312" w:cs="Arial"/>
                <w:spacing w:val="1"/>
                <w:sz w:val="24"/>
              </w:rPr>
              <w:t>未明确相关岗位安全责任或未签订安全生产责任书的</w:t>
            </w:r>
            <w:r>
              <w:rPr>
                <w:rFonts w:ascii="Times New Roman" w:hAnsi="Times New Roman" w:eastAsia="仿宋_GB2312" w:cs="Arial"/>
                <w:spacing w:val="-61"/>
                <w:sz w:val="24"/>
              </w:rPr>
              <w:t xml:space="preserve"> </w:t>
            </w:r>
            <w:r>
              <w:rPr>
                <w:rFonts w:ascii="Times New Roman" w:hAnsi="Times New Roman" w:eastAsia="仿宋_GB2312" w:cs="Arial"/>
                <w:spacing w:val="1"/>
                <w:sz w:val="24"/>
              </w:rPr>
              <w:t>，每发</w:t>
            </w:r>
            <w:r>
              <w:rPr>
                <w:rFonts w:ascii="Times New Roman" w:hAnsi="Times New Roman" w:eastAsia="仿宋_GB2312" w:cs="Arial"/>
                <w:spacing w:val="-85"/>
                <w:sz w:val="24"/>
              </w:rPr>
              <w:t xml:space="preserve"> </w:t>
            </w:r>
            <w:r>
              <w:rPr>
                <w:rFonts w:ascii="Times New Roman" w:hAnsi="Times New Roman" w:eastAsia="仿宋_GB2312" w:cs="Arial"/>
                <w:spacing w:val="-7"/>
                <w:sz w:val="24"/>
              </w:rPr>
              <w:t>现一处扣1分。</w:t>
            </w:r>
          </w:p>
        </w:tc>
        <w:tc>
          <w:tcPr>
            <w:tcW w:w="998" w:type="dxa"/>
            <w:vAlign w:val="center"/>
          </w:tcPr>
          <w:p w14:paraId="71AD10C0">
            <w:pPr>
              <w:spacing w:line="280" w:lineRule="exact"/>
              <w:rPr>
                <w:rFonts w:ascii="Times New Roman" w:hAnsi="Times New Roman" w:eastAsia="宋体" w:cs="Arial"/>
              </w:rPr>
            </w:pPr>
          </w:p>
        </w:tc>
      </w:tr>
      <w:tr w14:paraId="48099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94" w:hRule="exact"/>
        </w:trPr>
        <w:tc>
          <w:tcPr>
            <w:tcW w:w="1480" w:type="dxa"/>
            <w:vAlign w:val="center"/>
          </w:tcPr>
          <w:p w14:paraId="2095B740">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3.1.2</w:t>
            </w:r>
          </w:p>
        </w:tc>
        <w:tc>
          <w:tcPr>
            <w:tcW w:w="2356" w:type="dxa"/>
            <w:vAlign w:val="center"/>
          </w:tcPr>
          <w:p w14:paraId="2AA3E3EC">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安全管理机构和专职安全管理人员</w:t>
            </w:r>
          </w:p>
        </w:tc>
        <w:tc>
          <w:tcPr>
            <w:tcW w:w="869" w:type="dxa"/>
            <w:vAlign w:val="center"/>
          </w:tcPr>
          <w:p w14:paraId="6C6BAE1F">
            <w:pPr>
              <w:spacing w:line="280" w:lineRule="exact"/>
              <w:jc w:val="center"/>
              <w:rPr>
                <w:rFonts w:ascii="Times New Roman" w:hAnsi="Times New Roman" w:eastAsia="仿宋_GB2312" w:cs="Arial"/>
                <w:sz w:val="24"/>
              </w:rPr>
            </w:pPr>
            <w:r>
              <w:rPr>
                <w:rFonts w:ascii="Times New Roman" w:hAnsi="Times New Roman" w:eastAsia="仿宋_GB2312" w:cs="Arial"/>
                <w:sz w:val="24"/>
              </w:rPr>
              <w:t>3</w:t>
            </w:r>
          </w:p>
        </w:tc>
        <w:tc>
          <w:tcPr>
            <w:tcW w:w="8928" w:type="dxa"/>
            <w:vAlign w:val="center"/>
          </w:tcPr>
          <w:p w14:paraId="7A03CFD9">
            <w:pPr>
              <w:spacing w:line="280" w:lineRule="exact"/>
              <w:ind w:left="105" w:leftChars="50" w:right="105" w:rightChars="50" w:firstLine="2"/>
              <w:rPr>
                <w:rFonts w:ascii="Times New Roman" w:hAnsi="Times New Roman" w:eastAsia="仿宋_GB2312" w:cs="Arial"/>
                <w:sz w:val="24"/>
              </w:rPr>
            </w:pPr>
            <w:r>
              <w:rPr>
                <w:rFonts w:ascii="Times New Roman" w:hAnsi="Times New Roman" w:eastAsia="仿宋_GB2312" w:cs="Arial"/>
                <w:spacing w:val="-1"/>
                <w:sz w:val="24"/>
              </w:rPr>
              <w:t>未按规定设立安全管理机构或专职安全管理人员，扣3分，</w:t>
            </w:r>
            <w:r>
              <w:rPr>
                <w:rFonts w:ascii="Times New Roman" w:hAnsi="Times New Roman" w:eastAsia="仿宋_GB2312" w:cs="Arial"/>
                <w:spacing w:val="-6"/>
                <w:sz w:val="24"/>
              </w:rPr>
              <w:t>专职安全管理人员不足</w:t>
            </w:r>
            <w:r>
              <w:rPr>
                <w:rFonts w:ascii="Times New Roman" w:hAnsi="Times New Roman" w:eastAsia="仿宋_GB2312" w:cs="Arial"/>
                <w:spacing w:val="-73"/>
                <w:sz w:val="24"/>
              </w:rPr>
              <w:t xml:space="preserve"> </w:t>
            </w:r>
            <w:r>
              <w:rPr>
                <w:rFonts w:ascii="Times New Roman" w:hAnsi="Times New Roman" w:eastAsia="仿宋_GB2312" w:cs="Arial"/>
                <w:spacing w:val="-6"/>
                <w:sz w:val="24"/>
              </w:rPr>
              <w:t>，每缺1人扣1分</w:t>
            </w:r>
            <w:r>
              <w:rPr>
                <w:rFonts w:ascii="Times New Roman" w:hAnsi="Times New Roman" w:eastAsia="仿宋_GB2312" w:cs="Arial"/>
                <w:spacing w:val="-76"/>
                <w:sz w:val="24"/>
              </w:rPr>
              <w:t xml:space="preserve"> </w:t>
            </w:r>
            <w:r>
              <w:rPr>
                <w:rFonts w:ascii="Times New Roman" w:hAnsi="Times New Roman" w:eastAsia="仿宋_GB2312" w:cs="Arial"/>
                <w:spacing w:val="-6"/>
                <w:sz w:val="24"/>
              </w:rPr>
              <w:t>。</w:t>
            </w:r>
          </w:p>
        </w:tc>
        <w:tc>
          <w:tcPr>
            <w:tcW w:w="998" w:type="dxa"/>
            <w:vAlign w:val="center"/>
          </w:tcPr>
          <w:p w14:paraId="7F49A9F2">
            <w:pPr>
              <w:spacing w:line="280" w:lineRule="exact"/>
              <w:rPr>
                <w:rFonts w:ascii="Times New Roman" w:hAnsi="Times New Roman" w:eastAsia="宋体" w:cs="Arial"/>
              </w:rPr>
            </w:pPr>
          </w:p>
        </w:tc>
      </w:tr>
      <w:tr w14:paraId="243F1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3398CD71">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3.1.3</w:t>
            </w:r>
          </w:p>
        </w:tc>
        <w:tc>
          <w:tcPr>
            <w:tcW w:w="2356" w:type="dxa"/>
            <w:vAlign w:val="center"/>
          </w:tcPr>
          <w:p w14:paraId="080E3F6C">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安全管理制度</w:t>
            </w:r>
          </w:p>
        </w:tc>
        <w:tc>
          <w:tcPr>
            <w:tcW w:w="869" w:type="dxa"/>
            <w:vAlign w:val="center"/>
          </w:tcPr>
          <w:p w14:paraId="25A3BDC5">
            <w:pPr>
              <w:spacing w:line="280" w:lineRule="exact"/>
              <w:jc w:val="center"/>
              <w:rPr>
                <w:rFonts w:ascii="Times New Roman" w:hAnsi="Times New Roman" w:eastAsia="仿宋_GB2312" w:cs="Arial"/>
                <w:sz w:val="24"/>
              </w:rPr>
            </w:pPr>
            <w:r>
              <w:rPr>
                <w:rFonts w:ascii="Times New Roman" w:hAnsi="Times New Roman" w:eastAsia="仿宋_GB2312" w:cs="Arial"/>
                <w:sz w:val="24"/>
              </w:rPr>
              <w:t>3</w:t>
            </w:r>
          </w:p>
        </w:tc>
        <w:tc>
          <w:tcPr>
            <w:tcW w:w="8928" w:type="dxa"/>
            <w:vAlign w:val="center"/>
          </w:tcPr>
          <w:p w14:paraId="15B3F680">
            <w:pPr>
              <w:spacing w:line="280" w:lineRule="exact"/>
              <w:ind w:left="105" w:leftChars="50" w:right="105" w:rightChars="50" w:firstLine="34"/>
              <w:rPr>
                <w:rFonts w:ascii="Times New Roman" w:hAnsi="Times New Roman" w:eastAsia="仿宋_GB2312" w:cs="Arial"/>
                <w:sz w:val="24"/>
              </w:rPr>
            </w:pPr>
            <w:r>
              <w:rPr>
                <w:rFonts w:ascii="Times New Roman" w:hAnsi="Times New Roman" w:eastAsia="仿宋_GB2312" w:cs="Arial"/>
                <w:spacing w:val="-6"/>
                <w:sz w:val="24"/>
              </w:rPr>
              <w:t>每缺1项扣1分，直至扣完此项分值。不完善的酌情扣分。</w:t>
            </w:r>
          </w:p>
        </w:tc>
        <w:tc>
          <w:tcPr>
            <w:tcW w:w="998" w:type="dxa"/>
            <w:vAlign w:val="center"/>
          </w:tcPr>
          <w:p w14:paraId="34044E5D">
            <w:pPr>
              <w:spacing w:line="280" w:lineRule="exact"/>
              <w:rPr>
                <w:rFonts w:ascii="Times New Roman" w:hAnsi="Times New Roman" w:eastAsia="宋体" w:cs="Arial"/>
              </w:rPr>
            </w:pPr>
          </w:p>
        </w:tc>
      </w:tr>
      <w:tr w14:paraId="40C94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22BBC52C">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3.1.4</w:t>
            </w:r>
          </w:p>
        </w:tc>
        <w:tc>
          <w:tcPr>
            <w:tcW w:w="2356" w:type="dxa"/>
            <w:vAlign w:val="center"/>
          </w:tcPr>
          <w:p w14:paraId="1887F26B">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安全操作规程</w:t>
            </w:r>
          </w:p>
        </w:tc>
        <w:tc>
          <w:tcPr>
            <w:tcW w:w="869" w:type="dxa"/>
            <w:vAlign w:val="center"/>
          </w:tcPr>
          <w:p w14:paraId="326BA6A6">
            <w:pPr>
              <w:spacing w:line="280" w:lineRule="exact"/>
              <w:jc w:val="center"/>
              <w:rPr>
                <w:rFonts w:ascii="Times New Roman" w:hAnsi="Times New Roman" w:eastAsia="仿宋_GB2312" w:cs="Arial"/>
                <w:sz w:val="24"/>
              </w:rPr>
            </w:pPr>
            <w:r>
              <w:rPr>
                <w:rFonts w:ascii="Times New Roman" w:hAnsi="Times New Roman" w:eastAsia="仿宋_GB2312" w:cs="Arial"/>
                <w:sz w:val="24"/>
              </w:rPr>
              <w:t>3</w:t>
            </w:r>
          </w:p>
        </w:tc>
        <w:tc>
          <w:tcPr>
            <w:tcW w:w="8928" w:type="dxa"/>
            <w:vAlign w:val="center"/>
          </w:tcPr>
          <w:p w14:paraId="66E4F57C">
            <w:pPr>
              <w:spacing w:line="280" w:lineRule="exact"/>
              <w:ind w:left="105" w:leftChars="50" w:right="105" w:rightChars="50" w:firstLine="37"/>
              <w:rPr>
                <w:rFonts w:ascii="Times New Roman" w:hAnsi="Times New Roman" w:eastAsia="仿宋_GB2312" w:cs="Arial"/>
                <w:sz w:val="24"/>
              </w:rPr>
            </w:pPr>
            <w:r>
              <w:rPr>
                <w:rFonts w:ascii="Times New Roman" w:hAnsi="Times New Roman" w:eastAsia="仿宋_GB2312" w:cs="Arial"/>
                <w:spacing w:val="-5"/>
                <w:sz w:val="24"/>
              </w:rPr>
              <w:t>未制订安全操作规程</w:t>
            </w:r>
            <w:r>
              <w:rPr>
                <w:rFonts w:ascii="Times New Roman" w:hAnsi="Times New Roman" w:eastAsia="仿宋_GB2312" w:cs="Arial"/>
                <w:spacing w:val="-63"/>
                <w:sz w:val="24"/>
              </w:rPr>
              <w:t>，</w:t>
            </w:r>
            <w:r>
              <w:rPr>
                <w:rFonts w:ascii="Times New Roman" w:hAnsi="Times New Roman" w:eastAsia="仿宋_GB2312" w:cs="Arial"/>
                <w:spacing w:val="-5"/>
                <w:sz w:val="24"/>
              </w:rPr>
              <w:t>扣完此项分值</w:t>
            </w:r>
            <w:r>
              <w:rPr>
                <w:rFonts w:ascii="Times New Roman" w:hAnsi="Times New Roman" w:eastAsia="仿宋_GB2312" w:cs="Arial"/>
                <w:spacing w:val="-6"/>
                <w:sz w:val="24"/>
              </w:rPr>
              <w:t>。不完善的酌情扣分。</w:t>
            </w:r>
          </w:p>
        </w:tc>
        <w:tc>
          <w:tcPr>
            <w:tcW w:w="998" w:type="dxa"/>
            <w:vAlign w:val="center"/>
          </w:tcPr>
          <w:p w14:paraId="78AA8550">
            <w:pPr>
              <w:spacing w:line="280" w:lineRule="exact"/>
              <w:rPr>
                <w:rFonts w:ascii="Times New Roman" w:hAnsi="Times New Roman" w:eastAsia="宋体" w:cs="Arial"/>
              </w:rPr>
            </w:pPr>
          </w:p>
        </w:tc>
      </w:tr>
      <w:tr w14:paraId="00759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5" w:hRule="atLeast"/>
        </w:trPr>
        <w:tc>
          <w:tcPr>
            <w:tcW w:w="1480" w:type="dxa"/>
            <w:vAlign w:val="center"/>
          </w:tcPr>
          <w:p w14:paraId="044849D7">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3.1.5</w:t>
            </w:r>
          </w:p>
        </w:tc>
        <w:tc>
          <w:tcPr>
            <w:tcW w:w="2356" w:type="dxa"/>
            <w:vAlign w:val="center"/>
          </w:tcPr>
          <w:p w14:paraId="64455D06">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事故应急救援预案及演练</w:t>
            </w:r>
          </w:p>
        </w:tc>
        <w:tc>
          <w:tcPr>
            <w:tcW w:w="869" w:type="dxa"/>
            <w:vAlign w:val="center"/>
          </w:tcPr>
          <w:p w14:paraId="540E978E">
            <w:pPr>
              <w:spacing w:line="280" w:lineRule="exact"/>
              <w:jc w:val="center"/>
              <w:rPr>
                <w:rFonts w:ascii="Times New Roman" w:hAnsi="Times New Roman" w:eastAsia="仿宋_GB2312" w:cs="Arial"/>
                <w:sz w:val="24"/>
              </w:rPr>
            </w:pPr>
            <w:r>
              <w:rPr>
                <w:rFonts w:ascii="Times New Roman" w:hAnsi="Times New Roman" w:eastAsia="仿宋_GB2312" w:cs="Arial"/>
                <w:sz w:val="24"/>
              </w:rPr>
              <w:t>3</w:t>
            </w:r>
          </w:p>
        </w:tc>
        <w:tc>
          <w:tcPr>
            <w:tcW w:w="8928" w:type="dxa"/>
            <w:vAlign w:val="center"/>
          </w:tcPr>
          <w:p w14:paraId="4ED8FD66">
            <w:pPr>
              <w:spacing w:line="280" w:lineRule="exact"/>
              <w:ind w:left="105" w:leftChars="50" w:right="105" w:rightChars="50"/>
              <w:rPr>
                <w:rFonts w:ascii="Times New Roman" w:hAnsi="Times New Roman" w:eastAsia="仿宋_GB2312" w:cs="Arial"/>
                <w:sz w:val="24"/>
              </w:rPr>
            </w:pPr>
            <w:r>
              <w:rPr>
                <w:rFonts w:ascii="Times New Roman" w:hAnsi="Times New Roman" w:eastAsia="仿宋_GB2312" w:cs="Arial"/>
                <w:spacing w:val="-4"/>
                <w:sz w:val="24"/>
              </w:rPr>
              <w:t>未制订事故应急救援预案，扣完此项分值，不完善的酌情扣分。未进行应急预案演练或未保存记录的扣1分。</w:t>
            </w:r>
          </w:p>
        </w:tc>
        <w:tc>
          <w:tcPr>
            <w:tcW w:w="998" w:type="dxa"/>
            <w:vAlign w:val="center"/>
          </w:tcPr>
          <w:p w14:paraId="757E1196">
            <w:pPr>
              <w:spacing w:line="280" w:lineRule="exact"/>
              <w:rPr>
                <w:rFonts w:ascii="Times New Roman" w:hAnsi="Times New Roman" w:eastAsia="宋体" w:cs="Arial"/>
              </w:rPr>
            </w:pPr>
          </w:p>
        </w:tc>
      </w:tr>
      <w:tr w14:paraId="54857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exact"/>
        </w:trPr>
        <w:tc>
          <w:tcPr>
            <w:tcW w:w="1480" w:type="dxa"/>
            <w:vAlign w:val="center"/>
          </w:tcPr>
          <w:p w14:paraId="3A566484">
            <w:pPr>
              <w:spacing w:line="280" w:lineRule="exact"/>
              <w:ind w:firstLine="241" w:firstLineChars="100"/>
              <w:rPr>
                <w:rFonts w:ascii="Times New Roman" w:hAnsi="Times New Roman" w:eastAsia="仿宋_GB2312" w:cs="Arial"/>
                <w:b/>
                <w:bCs/>
                <w:sz w:val="24"/>
              </w:rPr>
            </w:pPr>
            <w:r>
              <w:rPr>
                <w:rFonts w:ascii="Times New Roman" w:hAnsi="Times New Roman" w:eastAsia="仿宋_GB2312" w:cs="Arial"/>
                <w:b/>
                <w:bCs/>
                <w:sz w:val="24"/>
              </w:rPr>
              <w:t>3.2</w:t>
            </w:r>
          </w:p>
        </w:tc>
        <w:tc>
          <w:tcPr>
            <w:tcW w:w="2356" w:type="dxa"/>
            <w:vAlign w:val="center"/>
          </w:tcPr>
          <w:p w14:paraId="1F5AEE3A">
            <w:pPr>
              <w:spacing w:line="280" w:lineRule="exact"/>
              <w:ind w:left="105" w:leftChars="50"/>
              <w:rPr>
                <w:rFonts w:ascii="Times New Roman" w:hAnsi="Times New Roman" w:eastAsia="仿宋_GB2312" w:cs="Arial"/>
                <w:b/>
                <w:bCs/>
                <w:spacing w:val="-2"/>
                <w:sz w:val="24"/>
              </w:rPr>
            </w:pPr>
            <w:r>
              <w:rPr>
                <w:rFonts w:ascii="Times New Roman" w:hAnsi="Times New Roman" w:eastAsia="仿宋_GB2312" w:cs="Arial"/>
                <w:b/>
                <w:bCs/>
                <w:spacing w:val="-2"/>
                <w:sz w:val="24"/>
              </w:rPr>
              <w:t>安全管理制度执行情况</w:t>
            </w:r>
          </w:p>
        </w:tc>
        <w:tc>
          <w:tcPr>
            <w:tcW w:w="869" w:type="dxa"/>
            <w:vAlign w:val="center"/>
          </w:tcPr>
          <w:p w14:paraId="7E71F6F1">
            <w:pPr>
              <w:spacing w:line="280" w:lineRule="exact"/>
              <w:jc w:val="center"/>
              <w:rPr>
                <w:rFonts w:ascii="Times New Roman" w:hAnsi="Times New Roman" w:eastAsia="仿宋_GB2312" w:cs="Arial"/>
                <w:b/>
                <w:bCs/>
                <w:sz w:val="24"/>
              </w:rPr>
            </w:pPr>
            <w:r>
              <w:rPr>
                <w:rFonts w:ascii="Times New Roman" w:hAnsi="Times New Roman" w:eastAsia="仿宋_GB2312" w:cs="Arial"/>
                <w:b/>
                <w:bCs/>
                <w:sz w:val="24"/>
              </w:rPr>
              <w:t>20</w:t>
            </w:r>
          </w:p>
        </w:tc>
        <w:tc>
          <w:tcPr>
            <w:tcW w:w="8928" w:type="dxa"/>
            <w:vAlign w:val="center"/>
          </w:tcPr>
          <w:p w14:paraId="751B6D84">
            <w:pPr>
              <w:spacing w:line="280" w:lineRule="exact"/>
              <w:ind w:left="105" w:leftChars="50" w:right="105" w:rightChars="50"/>
              <w:rPr>
                <w:rFonts w:ascii="Times New Roman" w:hAnsi="Times New Roman" w:eastAsia="仿宋_GB2312" w:cs="Arial"/>
                <w:sz w:val="24"/>
              </w:rPr>
            </w:pPr>
          </w:p>
        </w:tc>
        <w:tc>
          <w:tcPr>
            <w:tcW w:w="998" w:type="dxa"/>
            <w:vAlign w:val="center"/>
          </w:tcPr>
          <w:p w14:paraId="3845456F">
            <w:pPr>
              <w:spacing w:line="280" w:lineRule="exact"/>
              <w:rPr>
                <w:rFonts w:ascii="Times New Roman" w:hAnsi="Times New Roman" w:eastAsia="宋体" w:cs="Arial"/>
              </w:rPr>
            </w:pPr>
          </w:p>
        </w:tc>
      </w:tr>
      <w:tr w14:paraId="5B095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74" w:hRule="atLeast"/>
        </w:trPr>
        <w:tc>
          <w:tcPr>
            <w:tcW w:w="1480" w:type="dxa"/>
            <w:vAlign w:val="center"/>
          </w:tcPr>
          <w:p w14:paraId="201E319C">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3.2.1</w:t>
            </w:r>
          </w:p>
        </w:tc>
        <w:tc>
          <w:tcPr>
            <w:tcW w:w="2356" w:type="dxa"/>
            <w:vAlign w:val="center"/>
          </w:tcPr>
          <w:p w14:paraId="4161E040">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人员培训及持证上岗</w:t>
            </w:r>
          </w:p>
        </w:tc>
        <w:tc>
          <w:tcPr>
            <w:tcW w:w="869" w:type="dxa"/>
            <w:vAlign w:val="center"/>
          </w:tcPr>
          <w:p w14:paraId="62E4C207">
            <w:pPr>
              <w:spacing w:line="280" w:lineRule="exact"/>
              <w:jc w:val="center"/>
              <w:rPr>
                <w:rFonts w:ascii="Times New Roman" w:hAnsi="Times New Roman" w:eastAsia="仿宋_GB2312" w:cs="Arial"/>
                <w:sz w:val="24"/>
              </w:rPr>
            </w:pPr>
            <w:r>
              <w:rPr>
                <w:rFonts w:ascii="Times New Roman" w:hAnsi="Times New Roman" w:eastAsia="仿宋_GB2312" w:cs="Arial"/>
                <w:sz w:val="24"/>
              </w:rPr>
              <w:t>5</w:t>
            </w:r>
          </w:p>
        </w:tc>
        <w:tc>
          <w:tcPr>
            <w:tcW w:w="8928" w:type="dxa"/>
            <w:vAlign w:val="center"/>
          </w:tcPr>
          <w:p w14:paraId="7CF46B05">
            <w:pPr>
              <w:spacing w:line="280" w:lineRule="exact"/>
              <w:ind w:left="105" w:leftChars="50" w:right="105" w:rightChars="50" w:firstLine="2"/>
              <w:rPr>
                <w:rFonts w:ascii="Times New Roman" w:hAnsi="Times New Roman" w:eastAsia="仿宋_GB2312" w:cs="Arial"/>
                <w:sz w:val="24"/>
              </w:rPr>
            </w:pPr>
            <w:r>
              <w:rPr>
                <w:rFonts w:ascii="Times New Roman" w:hAnsi="Times New Roman" w:eastAsia="仿宋_GB2312" w:cs="Arial"/>
                <w:spacing w:val="-4"/>
                <w:sz w:val="24"/>
              </w:rPr>
              <w:t>是否定期组织学习培训，主要负责人、安全管理人员、特种作业人员（危化从业人员等）持证上岗，每发现1人无证上岗扣1分，并建立安全生产教育培训台账。（培训计划、人员培训档案、培训教育记录等）以上每缺一项，扣1分，直至扣完此项分值。</w:t>
            </w:r>
          </w:p>
        </w:tc>
        <w:tc>
          <w:tcPr>
            <w:tcW w:w="998" w:type="dxa"/>
            <w:vAlign w:val="center"/>
          </w:tcPr>
          <w:p w14:paraId="47BA8EE9">
            <w:pPr>
              <w:spacing w:line="280" w:lineRule="exact"/>
              <w:rPr>
                <w:rFonts w:ascii="Times New Roman" w:hAnsi="Times New Roman" w:eastAsia="宋体" w:cs="Arial"/>
              </w:rPr>
            </w:pPr>
          </w:p>
        </w:tc>
      </w:tr>
      <w:tr w14:paraId="6E4D0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60" w:hRule="atLeast"/>
        </w:trPr>
        <w:tc>
          <w:tcPr>
            <w:tcW w:w="1480" w:type="dxa"/>
            <w:vAlign w:val="center"/>
          </w:tcPr>
          <w:p w14:paraId="0F5A2A4F">
            <w:pPr>
              <w:spacing w:line="280" w:lineRule="exact"/>
              <w:ind w:firstLine="480" w:firstLineChars="200"/>
              <w:rPr>
                <w:rFonts w:ascii="Times New Roman" w:hAnsi="Times New Roman" w:eastAsia="仿宋_GB2312" w:cs="Arial"/>
                <w:sz w:val="24"/>
              </w:rPr>
            </w:pPr>
          </w:p>
          <w:p w14:paraId="1115E31B">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3.2.2</w:t>
            </w:r>
          </w:p>
        </w:tc>
        <w:tc>
          <w:tcPr>
            <w:tcW w:w="2356" w:type="dxa"/>
            <w:vAlign w:val="center"/>
          </w:tcPr>
          <w:p w14:paraId="0FB64473">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安全检查及隐患排查</w:t>
            </w:r>
          </w:p>
        </w:tc>
        <w:tc>
          <w:tcPr>
            <w:tcW w:w="869" w:type="dxa"/>
            <w:vAlign w:val="center"/>
          </w:tcPr>
          <w:p w14:paraId="5E6CA7BF">
            <w:pPr>
              <w:spacing w:line="280" w:lineRule="exact"/>
              <w:jc w:val="center"/>
              <w:rPr>
                <w:rFonts w:ascii="Times New Roman" w:hAnsi="Times New Roman" w:eastAsia="仿宋_GB2312" w:cs="Arial"/>
                <w:sz w:val="24"/>
              </w:rPr>
            </w:pPr>
            <w:r>
              <w:rPr>
                <w:rFonts w:ascii="Times New Roman" w:hAnsi="Times New Roman" w:eastAsia="仿宋_GB2312" w:cs="Arial"/>
                <w:sz w:val="24"/>
              </w:rPr>
              <w:t>5</w:t>
            </w:r>
          </w:p>
        </w:tc>
        <w:tc>
          <w:tcPr>
            <w:tcW w:w="8928" w:type="dxa"/>
            <w:vAlign w:val="center"/>
          </w:tcPr>
          <w:p w14:paraId="096C3E87">
            <w:pPr>
              <w:spacing w:line="280" w:lineRule="exact"/>
              <w:ind w:left="105" w:leftChars="50" w:right="105" w:rightChars="50" w:firstLine="2"/>
              <w:rPr>
                <w:rFonts w:ascii="Times New Roman" w:hAnsi="Times New Roman" w:eastAsia="仿宋_GB2312" w:cs="Arial"/>
                <w:spacing w:val="-4"/>
                <w:sz w:val="24"/>
              </w:rPr>
            </w:pPr>
            <w:r>
              <w:rPr>
                <w:rFonts w:ascii="Times New Roman" w:hAnsi="Times New Roman" w:eastAsia="仿宋_GB2312" w:cs="Arial"/>
                <w:spacing w:val="-4"/>
                <w:sz w:val="24"/>
              </w:rPr>
              <w:t>未进行安全检查的或未制定安全检查表的，扣2分；未建立隐患排查台账的扣1分；对发现的隐患未进行整改或未提供整改记录的扣5分；重大事故隐患未提供整改计划扣5分。</w:t>
            </w:r>
          </w:p>
        </w:tc>
        <w:tc>
          <w:tcPr>
            <w:tcW w:w="998" w:type="dxa"/>
            <w:vAlign w:val="center"/>
          </w:tcPr>
          <w:p w14:paraId="18A7895A">
            <w:pPr>
              <w:spacing w:line="280" w:lineRule="exact"/>
              <w:rPr>
                <w:rFonts w:ascii="Times New Roman" w:hAnsi="Times New Roman" w:eastAsia="宋体" w:cs="Arial"/>
              </w:rPr>
            </w:pPr>
          </w:p>
        </w:tc>
      </w:tr>
      <w:tr w14:paraId="02553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1B0737E8">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3.2.3</w:t>
            </w:r>
          </w:p>
        </w:tc>
        <w:tc>
          <w:tcPr>
            <w:tcW w:w="2356" w:type="dxa"/>
            <w:vAlign w:val="center"/>
          </w:tcPr>
          <w:p w14:paraId="7EF882A3">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安全生产风险数据库</w:t>
            </w:r>
          </w:p>
        </w:tc>
        <w:tc>
          <w:tcPr>
            <w:tcW w:w="869" w:type="dxa"/>
            <w:vAlign w:val="center"/>
          </w:tcPr>
          <w:p w14:paraId="1EB8B2BC">
            <w:pPr>
              <w:spacing w:line="280" w:lineRule="exact"/>
              <w:jc w:val="center"/>
              <w:rPr>
                <w:rFonts w:ascii="Times New Roman" w:hAnsi="Times New Roman" w:eastAsia="仿宋_GB2312" w:cs="Arial"/>
                <w:sz w:val="24"/>
              </w:rPr>
            </w:pPr>
            <w:r>
              <w:rPr>
                <w:rFonts w:ascii="Times New Roman" w:hAnsi="Times New Roman" w:eastAsia="仿宋_GB2312" w:cs="Arial"/>
                <w:sz w:val="24"/>
              </w:rPr>
              <w:t>2</w:t>
            </w:r>
          </w:p>
        </w:tc>
        <w:tc>
          <w:tcPr>
            <w:tcW w:w="8928" w:type="dxa"/>
            <w:vAlign w:val="center"/>
          </w:tcPr>
          <w:p w14:paraId="2EAD922A">
            <w:pPr>
              <w:spacing w:line="280" w:lineRule="exact"/>
              <w:ind w:left="105" w:leftChars="50" w:right="105" w:rightChars="50" w:firstLine="2"/>
              <w:rPr>
                <w:rFonts w:ascii="Times New Roman" w:hAnsi="Times New Roman" w:eastAsia="仿宋_GB2312" w:cs="Arial"/>
                <w:spacing w:val="-4"/>
                <w:sz w:val="24"/>
              </w:rPr>
            </w:pPr>
            <w:r>
              <w:rPr>
                <w:rFonts w:ascii="Times New Roman" w:hAnsi="Times New Roman" w:eastAsia="仿宋_GB2312" w:cs="Arial"/>
                <w:spacing w:val="-4"/>
                <w:sz w:val="24"/>
              </w:rPr>
              <w:t>未绘制企业内部“红、橙、黄、蓝”四色安全生产风险分布图的扣2分。</w:t>
            </w:r>
          </w:p>
        </w:tc>
        <w:tc>
          <w:tcPr>
            <w:tcW w:w="998" w:type="dxa"/>
            <w:vAlign w:val="center"/>
          </w:tcPr>
          <w:p w14:paraId="53CD341E">
            <w:pPr>
              <w:spacing w:line="280" w:lineRule="exact"/>
              <w:rPr>
                <w:rFonts w:ascii="Times New Roman" w:hAnsi="Times New Roman" w:eastAsia="宋体" w:cs="Arial"/>
              </w:rPr>
            </w:pPr>
          </w:p>
        </w:tc>
      </w:tr>
      <w:tr w14:paraId="326C3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18" w:hRule="atLeast"/>
        </w:trPr>
        <w:tc>
          <w:tcPr>
            <w:tcW w:w="1480" w:type="dxa"/>
            <w:vAlign w:val="center"/>
          </w:tcPr>
          <w:p w14:paraId="1AC8B32E">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3.2.4</w:t>
            </w:r>
          </w:p>
        </w:tc>
        <w:tc>
          <w:tcPr>
            <w:tcW w:w="2356" w:type="dxa"/>
            <w:vAlign w:val="center"/>
          </w:tcPr>
          <w:p w14:paraId="208EACAE">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个体劳动防护用品</w:t>
            </w:r>
          </w:p>
        </w:tc>
        <w:tc>
          <w:tcPr>
            <w:tcW w:w="869" w:type="dxa"/>
            <w:vAlign w:val="center"/>
          </w:tcPr>
          <w:p w14:paraId="1C8345D6">
            <w:pPr>
              <w:spacing w:line="280" w:lineRule="exact"/>
              <w:jc w:val="center"/>
              <w:rPr>
                <w:rFonts w:ascii="Times New Roman" w:hAnsi="Times New Roman" w:eastAsia="仿宋_GB2312" w:cs="Arial"/>
                <w:sz w:val="24"/>
              </w:rPr>
            </w:pPr>
            <w:r>
              <w:rPr>
                <w:rFonts w:ascii="Times New Roman" w:hAnsi="Times New Roman" w:eastAsia="仿宋_GB2312" w:cs="Arial"/>
                <w:sz w:val="24"/>
              </w:rPr>
              <w:t>3</w:t>
            </w:r>
          </w:p>
        </w:tc>
        <w:tc>
          <w:tcPr>
            <w:tcW w:w="8928" w:type="dxa"/>
            <w:vAlign w:val="center"/>
          </w:tcPr>
          <w:p w14:paraId="731AE62D">
            <w:pPr>
              <w:spacing w:line="280" w:lineRule="exact"/>
              <w:ind w:left="105" w:leftChars="50" w:right="105" w:rightChars="50" w:firstLine="2"/>
              <w:rPr>
                <w:rFonts w:ascii="Times New Roman" w:hAnsi="Times New Roman" w:eastAsia="仿宋_GB2312" w:cs="Arial"/>
                <w:spacing w:val="-4"/>
                <w:sz w:val="24"/>
              </w:rPr>
            </w:pPr>
            <w:r>
              <w:rPr>
                <w:rFonts w:ascii="Times New Roman" w:hAnsi="Times New Roman" w:eastAsia="仿宋_GB2312" w:cs="Arial"/>
                <w:spacing w:val="-4"/>
                <w:sz w:val="24"/>
              </w:rPr>
              <w:t>按标准按时为职工发放个体劳动防护用品，未按规定发放个体劳动防护用品的扣1分，未建立个体劳动防护用品台账扣1分。作业人员应按要求佩戴个体劳动防护用品，未按规定佩戴相关劳保用品，每发现1人扣1分，直至扣完此项分值。</w:t>
            </w:r>
          </w:p>
        </w:tc>
        <w:tc>
          <w:tcPr>
            <w:tcW w:w="998" w:type="dxa"/>
            <w:vAlign w:val="center"/>
          </w:tcPr>
          <w:p w14:paraId="69FD3878">
            <w:pPr>
              <w:spacing w:line="280" w:lineRule="exact"/>
              <w:rPr>
                <w:rFonts w:ascii="Times New Roman" w:hAnsi="Times New Roman" w:eastAsia="宋体" w:cs="Arial"/>
              </w:rPr>
            </w:pPr>
          </w:p>
        </w:tc>
      </w:tr>
      <w:tr w14:paraId="6A156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9" w:hRule="atLeast"/>
        </w:trPr>
        <w:tc>
          <w:tcPr>
            <w:tcW w:w="1480" w:type="dxa"/>
            <w:vAlign w:val="center"/>
          </w:tcPr>
          <w:p w14:paraId="7BB8C5C0">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3.2.5</w:t>
            </w:r>
          </w:p>
        </w:tc>
        <w:tc>
          <w:tcPr>
            <w:tcW w:w="2356" w:type="dxa"/>
            <w:vAlign w:val="center"/>
          </w:tcPr>
          <w:p w14:paraId="7A8755E6">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安全投入</w:t>
            </w:r>
          </w:p>
        </w:tc>
        <w:tc>
          <w:tcPr>
            <w:tcW w:w="869" w:type="dxa"/>
            <w:vAlign w:val="center"/>
          </w:tcPr>
          <w:p w14:paraId="34F76233">
            <w:pPr>
              <w:spacing w:line="280" w:lineRule="exact"/>
              <w:jc w:val="center"/>
              <w:rPr>
                <w:rFonts w:ascii="Times New Roman" w:hAnsi="Times New Roman" w:eastAsia="仿宋_GB2312" w:cs="Arial"/>
                <w:sz w:val="24"/>
              </w:rPr>
            </w:pPr>
            <w:r>
              <w:rPr>
                <w:rFonts w:ascii="Times New Roman" w:hAnsi="Times New Roman" w:eastAsia="仿宋_GB2312" w:cs="Arial"/>
                <w:sz w:val="24"/>
              </w:rPr>
              <w:t>2</w:t>
            </w:r>
          </w:p>
        </w:tc>
        <w:tc>
          <w:tcPr>
            <w:tcW w:w="8928" w:type="dxa"/>
            <w:vAlign w:val="center"/>
          </w:tcPr>
          <w:p w14:paraId="117F0BEE">
            <w:pPr>
              <w:spacing w:line="280" w:lineRule="exact"/>
              <w:ind w:left="105" w:leftChars="50" w:right="105" w:rightChars="50" w:firstLine="2"/>
              <w:rPr>
                <w:rFonts w:ascii="Times New Roman" w:hAnsi="Times New Roman" w:eastAsia="仿宋_GB2312" w:cs="Arial"/>
                <w:spacing w:val="-4"/>
                <w:sz w:val="24"/>
              </w:rPr>
            </w:pPr>
            <w:r>
              <w:rPr>
                <w:rFonts w:ascii="Times New Roman" w:hAnsi="Times New Roman" w:eastAsia="仿宋_GB2312" w:cs="Arial"/>
                <w:spacing w:val="-4"/>
                <w:sz w:val="24"/>
              </w:rPr>
              <w:t>建立年度安全生产投入计划并符合安全生产要求。未建立年度安全投入计划的扣1分，安全投入不符合安全生产要求的扣2分。</w:t>
            </w:r>
          </w:p>
        </w:tc>
        <w:tc>
          <w:tcPr>
            <w:tcW w:w="998" w:type="dxa"/>
            <w:vAlign w:val="center"/>
          </w:tcPr>
          <w:p w14:paraId="51F9754A">
            <w:pPr>
              <w:spacing w:line="280" w:lineRule="exact"/>
              <w:rPr>
                <w:rFonts w:ascii="Times New Roman" w:hAnsi="Times New Roman" w:eastAsia="宋体" w:cs="Arial"/>
              </w:rPr>
            </w:pPr>
          </w:p>
        </w:tc>
      </w:tr>
      <w:tr w14:paraId="39F96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1" w:hRule="atLeast"/>
        </w:trPr>
        <w:tc>
          <w:tcPr>
            <w:tcW w:w="1480" w:type="dxa"/>
            <w:vAlign w:val="center"/>
          </w:tcPr>
          <w:p w14:paraId="52B023C7">
            <w:pPr>
              <w:spacing w:line="280" w:lineRule="exact"/>
              <w:ind w:firstLine="480" w:firstLineChars="200"/>
              <w:rPr>
                <w:rFonts w:ascii="Times New Roman" w:hAnsi="Times New Roman" w:eastAsia="仿宋_GB2312" w:cs="Arial"/>
                <w:sz w:val="24"/>
              </w:rPr>
            </w:pPr>
            <w:r>
              <w:rPr>
                <w:rFonts w:ascii="Times New Roman" w:hAnsi="Times New Roman" w:eastAsia="仿宋_GB2312" w:cs="Arial"/>
                <w:sz w:val="24"/>
              </w:rPr>
              <w:t>3.2.6</w:t>
            </w:r>
          </w:p>
        </w:tc>
        <w:tc>
          <w:tcPr>
            <w:tcW w:w="2356" w:type="dxa"/>
            <w:vAlign w:val="center"/>
          </w:tcPr>
          <w:p w14:paraId="4A595E30">
            <w:pPr>
              <w:spacing w:line="280" w:lineRule="exact"/>
              <w:ind w:left="105" w:leftChars="50"/>
              <w:rPr>
                <w:rFonts w:ascii="Times New Roman" w:hAnsi="Times New Roman" w:eastAsia="仿宋_GB2312" w:cs="Arial"/>
                <w:spacing w:val="-2"/>
                <w:sz w:val="24"/>
              </w:rPr>
            </w:pPr>
            <w:r>
              <w:rPr>
                <w:rFonts w:ascii="Times New Roman" w:hAnsi="Times New Roman" w:eastAsia="仿宋_GB2312" w:cs="Arial"/>
                <w:spacing w:val="-2"/>
                <w:sz w:val="24"/>
              </w:rPr>
              <w:t>现场管理</w:t>
            </w:r>
          </w:p>
        </w:tc>
        <w:tc>
          <w:tcPr>
            <w:tcW w:w="869" w:type="dxa"/>
            <w:vAlign w:val="center"/>
          </w:tcPr>
          <w:p w14:paraId="617F298F">
            <w:pPr>
              <w:spacing w:line="280" w:lineRule="exact"/>
              <w:jc w:val="center"/>
              <w:rPr>
                <w:rFonts w:ascii="Times New Roman" w:hAnsi="Times New Roman" w:eastAsia="仿宋_GB2312" w:cs="Arial"/>
                <w:sz w:val="24"/>
              </w:rPr>
            </w:pPr>
            <w:r>
              <w:rPr>
                <w:rFonts w:ascii="Times New Roman" w:hAnsi="Times New Roman" w:eastAsia="仿宋_GB2312" w:cs="Arial"/>
                <w:sz w:val="24"/>
              </w:rPr>
              <w:t>3</w:t>
            </w:r>
          </w:p>
        </w:tc>
        <w:tc>
          <w:tcPr>
            <w:tcW w:w="8928" w:type="dxa"/>
            <w:vAlign w:val="center"/>
          </w:tcPr>
          <w:p w14:paraId="666A2FC9">
            <w:pPr>
              <w:spacing w:line="280" w:lineRule="exact"/>
              <w:ind w:left="105" w:leftChars="50" w:right="105" w:rightChars="50" w:firstLine="2"/>
              <w:rPr>
                <w:rFonts w:ascii="Times New Roman" w:hAnsi="Times New Roman" w:eastAsia="仿宋_GB2312" w:cs="Arial"/>
                <w:spacing w:val="-4"/>
                <w:sz w:val="24"/>
              </w:rPr>
            </w:pPr>
            <w:r>
              <w:rPr>
                <w:rFonts w:ascii="Times New Roman" w:hAnsi="Times New Roman" w:eastAsia="仿宋_GB2312" w:cs="Arial"/>
                <w:spacing w:val="-4"/>
                <w:sz w:val="24"/>
              </w:rPr>
              <w:t>危险岗位安全标志设置，现场整洁，消防（安全）通道畅通，做到文明生产，清洁生产，每处不符合扣1分，直至扣完此项分值。现场检查存在“三违”行为的扣4分。</w:t>
            </w:r>
          </w:p>
        </w:tc>
        <w:tc>
          <w:tcPr>
            <w:tcW w:w="998" w:type="dxa"/>
            <w:vAlign w:val="center"/>
          </w:tcPr>
          <w:p w14:paraId="12B80DE2">
            <w:pPr>
              <w:spacing w:line="280" w:lineRule="exact"/>
              <w:rPr>
                <w:rFonts w:ascii="Times New Roman" w:hAnsi="Times New Roman" w:eastAsia="宋体" w:cs="Arial"/>
              </w:rPr>
            </w:pPr>
          </w:p>
        </w:tc>
      </w:tr>
      <w:tr w14:paraId="1FE61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2FA873A8">
            <w:pPr>
              <w:spacing w:line="280" w:lineRule="exact"/>
              <w:ind w:firstLine="241" w:firstLineChars="100"/>
              <w:rPr>
                <w:rFonts w:ascii="Times New Roman" w:hAnsi="Times New Roman" w:eastAsia="仿宋_GB2312" w:cs="Arial"/>
                <w:b/>
                <w:bCs/>
                <w:sz w:val="24"/>
              </w:rPr>
            </w:pPr>
            <w:r>
              <w:rPr>
                <w:rFonts w:ascii="Times New Roman" w:hAnsi="Times New Roman" w:eastAsia="仿宋_GB2312" w:cs="Arial"/>
                <w:b/>
                <w:bCs/>
                <w:sz w:val="24"/>
              </w:rPr>
              <w:t>3.2</w:t>
            </w:r>
          </w:p>
        </w:tc>
        <w:tc>
          <w:tcPr>
            <w:tcW w:w="2356" w:type="dxa"/>
            <w:vAlign w:val="center"/>
          </w:tcPr>
          <w:p w14:paraId="6C69CC5F">
            <w:pPr>
              <w:spacing w:line="280" w:lineRule="exact"/>
              <w:ind w:left="105" w:leftChars="50"/>
              <w:rPr>
                <w:rFonts w:ascii="Times New Roman" w:hAnsi="Times New Roman" w:eastAsia="仿宋_GB2312" w:cs="Arial"/>
                <w:b/>
                <w:bCs/>
                <w:sz w:val="24"/>
              </w:rPr>
            </w:pPr>
            <w:r>
              <w:rPr>
                <w:rFonts w:ascii="Times New Roman" w:hAnsi="Times New Roman" w:eastAsia="仿宋_GB2312" w:cs="Arial"/>
                <w:b/>
                <w:bCs/>
                <w:spacing w:val="-2"/>
                <w:sz w:val="24"/>
              </w:rPr>
              <w:t>作业安全</w:t>
            </w:r>
          </w:p>
        </w:tc>
        <w:tc>
          <w:tcPr>
            <w:tcW w:w="869" w:type="dxa"/>
            <w:vAlign w:val="center"/>
          </w:tcPr>
          <w:p w14:paraId="31D23845">
            <w:pPr>
              <w:spacing w:line="280" w:lineRule="exact"/>
              <w:jc w:val="center"/>
              <w:rPr>
                <w:rFonts w:ascii="Times New Roman" w:hAnsi="Times New Roman" w:eastAsia="仿宋_GB2312" w:cs="Arial"/>
                <w:b/>
                <w:bCs/>
                <w:sz w:val="24"/>
              </w:rPr>
            </w:pPr>
            <w:r>
              <w:rPr>
                <w:rFonts w:ascii="Times New Roman" w:hAnsi="Times New Roman" w:eastAsia="仿宋_GB2312" w:cs="Arial"/>
                <w:b/>
                <w:bCs/>
                <w:sz w:val="24"/>
              </w:rPr>
              <w:t>5</w:t>
            </w:r>
          </w:p>
        </w:tc>
        <w:tc>
          <w:tcPr>
            <w:tcW w:w="8928" w:type="dxa"/>
            <w:vAlign w:val="center"/>
          </w:tcPr>
          <w:p w14:paraId="68C58E4C">
            <w:pPr>
              <w:spacing w:line="280" w:lineRule="exact"/>
              <w:ind w:left="105" w:leftChars="50" w:right="105" w:rightChars="50"/>
              <w:rPr>
                <w:rFonts w:ascii="Times New Roman" w:hAnsi="Times New Roman" w:eastAsia="仿宋_GB2312" w:cs="Arial"/>
                <w:spacing w:val="-4"/>
                <w:sz w:val="24"/>
              </w:rPr>
            </w:pPr>
          </w:p>
        </w:tc>
        <w:tc>
          <w:tcPr>
            <w:tcW w:w="998" w:type="dxa"/>
            <w:vAlign w:val="center"/>
          </w:tcPr>
          <w:p w14:paraId="7DF0F4A3">
            <w:pPr>
              <w:spacing w:line="280" w:lineRule="exact"/>
              <w:rPr>
                <w:rFonts w:ascii="Times New Roman" w:hAnsi="Times New Roman" w:eastAsia="宋体" w:cs="Arial"/>
              </w:rPr>
            </w:pPr>
          </w:p>
        </w:tc>
      </w:tr>
      <w:tr w14:paraId="50F88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19" w:hRule="atLeast"/>
        </w:trPr>
        <w:tc>
          <w:tcPr>
            <w:tcW w:w="1480" w:type="dxa"/>
            <w:vAlign w:val="center"/>
          </w:tcPr>
          <w:p w14:paraId="59ACB6CE">
            <w:pPr>
              <w:spacing w:line="280" w:lineRule="exact"/>
              <w:ind w:firstLine="439" w:firstLineChars="183"/>
              <w:rPr>
                <w:rFonts w:ascii="Times New Roman" w:hAnsi="Times New Roman" w:eastAsia="仿宋_GB2312" w:cs="Arial"/>
                <w:sz w:val="24"/>
              </w:rPr>
            </w:pPr>
            <w:r>
              <w:rPr>
                <w:rFonts w:ascii="Times New Roman" w:hAnsi="Times New Roman" w:eastAsia="仿宋_GB2312" w:cs="Arial"/>
                <w:sz w:val="24"/>
              </w:rPr>
              <w:t>3.3.1</w:t>
            </w:r>
          </w:p>
        </w:tc>
        <w:tc>
          <w:tcPr>
            <w:tcW w:w="2356" w:type="dxa"/>
            <w:vAlign w:val="center"/>
          </w:tcPr>
          <w:p w14:paraId="51EDDE8B">
            <w:pPr>
              <w:spacing w:line="280" w:lineRule="exact"/>
              <w:ind w:left="105" w:leftChars="50"/>
              <w:rPr>
                <w:rFonts w:ascii="Times New Roman" w:hAnsi="Times New Roman" w:eastAsia="仿宋_GB2312" w:cs="Arial"/>
                <w:sz w:val="24"/>
              </w:rPr>
            </w:pPr>
            <w:r>
              <w:rPr>
                <w:rFonts w:ascii="Times New Roman" w:hAnsi="Times New Roman" w:eastAsia="仿宋_GB2312" w:cs="Arial"/>
                <w:spacing w:val="-2"/>
                <w:sz w:val="24"/>
              </w:rPr>
              <w:t>危险作业管理</w:t>
            </w:r>
          </w:p>
        </w:tc>
        <w:tc>
          <w:tcPr>
            <w:tcW w:w="869" w:type="dxa"/>
            <w:vAlign w:val="center"/>
          </w:tcPr>
          <w:p w14:paraId="2D7F4EF1">
            <w:pPr>
              <w:spacing w:line="280" w:lineRule="exact"/>
              <w:jc w:val="center"/>
              <w:rPr>
                <w:rFonts w:ascii="Times New Roman" w:hAnsi="Times New Roman" w:eastAsia="仿宋_GB2312" w:cs="Arial"/>
                <w:sz w:val="24"/>
              </w:rPr>
            </w:pPr>
            <w:r>
              <w:rPr>
                <w:rFonts w:ascii="Times New Roman" w:hAnsi="Times New Roman" w:eastAsia="仿宋_GB2312" w:cs="Arial"/>
                <w:sz w:val="24"/>
              </w:rPr>
              <w:t>5</w:t>
            </w:r>
          </w:p>
        </w:tc>
        <w:tc>
          <w:tcPr>
            <w:tcW w:w="8928" w:type="dxa"/>
            <w:vAlign w:val="center"/>
          </w:tcPr>
          <w:p w14:paraId="0804423B">
            <w:pPr>
              <w:spacing w:line="280" w:lineRule="exact"/>
              <w:ind w:left="105" w:leftChars="50" w:right="105" w:rightChars="50" w:firstLine="2"/>
              <w:rPr>
                <w:rFonts w:ascii="Times New Roman" w:hAnsi="Times New Roman" w:eastAsia="仿宋_GB2312" w:cs="Arial"/>
                <w:spacing w:val="-4"/>
                <w:sz w:val="24"/>
              </w:rPr>
            </w:pPr>
            <w:r>
              <w:rPr>
                <w:rFonts w:ascii="Times New Roman" w:hAnsi="Times New Roman" w:eastAsia="仿宋_GB2312" w:cs="Arial"/>
                <w:spacing w:val="-4"/>
                <w:sz w:val="24"/>
              </w:rPr>
              <w:t>危险作业应实行审批制度，并落实相关安全措施。涉及危险作业，未实行审批制度的扣3分，未落实相关安全措施的扣2分。</w:t>
            </w:r>
          </w:p>
        </w:tc>
        <w:tc>
          <w:tcPr>
            <w:tcW w:w="998" w:type="dxa"/>
            <w:vAlign w:val="center"/>
          </w:tcPr>
          <w:p w14:paraId="266D7A45">
            <w:pPr>
              <w:spacing w:line="280" w:lineRule="exact"/>
              <w:rPr>
                <w:rFonts w:ascii="Times New Roman" w:hAnsi="Times New Roman" w:eastAsia="宋体" w:cs="Arial"/>
              </w:rPr>
            </w:pPr>
          </w:p>
        </w:tc>
      </w:tr>
      <w:tr w14:paraId="4CA01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3633" w:type="dxa"/>
            <w:gridSpan w:val="4"/>
            <w:vAlign w:val="center"/>
          </w:tcPr>
          <w:p w14:paraId="68BA3057">
            <w:pPr>
              <w:spacing w:line="280" w:lineRule="exact"/>
              <w:ind w:left="105" w:leftChars="50"/>
              <w:rPr>
                <w:rFonts w:ascii="Times New Roman" w:hAnsi="Times New Roman" w:eastAsia="仿宋_GB2312" w:cs="Arial"/>
                <w:sz w:val="24"/>
              </w:rPr>
            </w:pPr>
            <w:r>
              <w:rPr>
                <w:rFonts w:ascii="Times New Roman" w:hAnsi="Times New Roman" w:eastAsia="仿宋_GB2312" w:cs="Arial"/>
                <w:b/>
                <w:bCs/>
                <w:sz w:val="24"/>
              </w:rPr>
              <w:t>4、直接判定条件</w:t>
            </w:r>
          </w:p>
        </w:tc>
        <w:tc>
          <w:tcPr>
            <w:tcW w:w="998" w:type="dxa"/>
            <w:vAlign w:val="center"/>
          </w:tcPr>
          <w:p w14:paraId="49DD5F5C">
            <w:pPr>
              <w:spacing w:line="280" w:lineRule="exact"/>
              <w:rPr>
                <w:rFonts w:ascii="Times New Roman" w:hAnsi="Times New Roman" w:eastAsia="宋体" w:cs="Arial"/>
              </w:rPr>
            </w:pPr>
          </w:p>
        </w:tc>
      </w:tr>
      <w:tr w14:paraId="4F977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35000000">
            <w:pPr>
              <w:spacing w:line="280" w:lineRule="exact"/>
              <w:ind w:firstLine="276"/>
              <w:rPr>
                <w:rFonts w:ascii="Times New Roman" w:hAnsi="Times New Roman" w:eastAsia="仿宋_GB2312" w:cs="Arial"/>
                <w:sz w:val="24"/>
              </w:rPr>
            </w:pPr>
            <w:r>
              <w:rPr>
                <w:rFonts w:ascii="Times New Roman" w:hAnsi="Times New Roman" w:eastAsia="仿宋_GB2312" w:cs="Arial"/>
                <w:spacing w:val="-8"/>
                <w:sz w:val="24"/>
              </w:rPr>
              <w:t>4.1</w:t>
            </w:r>
          </w:p>
        </w:tc>
        <w:tc>
          <w:tcPr>
            <w:tcW w:w="2356" w:type="dxa"/>
            <w:vAlign w:val="center"/>
          </w:tcPr>
          <w:p w14:paraId="5C0CBD11">
            <w:pPr>
              <w:spacing w:line="280" w:lineRule="exact"/>
              <w:ind w:left="105" w:leftChars="50"/>
              <w:rPr>
                <w:rFonts w:ascii="Times New Roman" w:hAnsi="Times New Roman" w:eastAsia="仿宋_GB2312" w:cs="Arial"/>
                <w:sz w:val="24"/>
              </w:rPr>
            </w:pPr>
            <w:r>
              <w:rPr>
                <w:rFonts w:ascii="Times New Roman" w:hAnsi="Times New Roman" w:eastAsia="仿宋_GB2312" w:cs="Arial"/>
                <w:spacing w:val="-3"/>
                <w:sz w:val="24"/>
              </w:rPr>
              <w:t>挂牌单位</w:t>
            </w:r>
          </w:p>
        </w:tc>
        <w:tc>
          <w:tcPr>
            <w:tcW w:w="869" w:type="dxa"/>
            <w:vAlign w:val="center"/>
          </w:tcPr>
          <w:p w14:paraId="6FBE1070">
            <w:pPr>
              <w:spacing w:line="280" w:lineRule="exact"/>
              <w:jc w:val="center"/>
              <w:rPr>
                <w:rFonts w:ascii="Times New Roman" w:hAnsi="Times New Roman" w:eastAsia="仿宋_GB2312" w:cs="Arial"/>
                <w:sz w:val="24"/>
              </w:rPr>
            </w:pPr>
            <w:r>
              <w:rPr>
                <w:rFonts w:ascii="Times New Roman" w:hAnsi="Times New Roman" w:eastAsia="仿宋_GB2312" w:cs="Arial"/>
                <w:sz w:val="24"/>
              </w:rPr>
              <w:t>/</w:t>
            </w:r>
          </w:p>
        </w:tc>
        <w:tc>
          <w:tcPr>
            <w:tcW w:w="8928" w:type="dxa"/>
            <w:vAlign w:val="center"/>
          </w:tcPr>
          <w:p w14:paraId="69897BAA">
            <w:pPr>
              <w:spacing w:line="280" w:lineRule="exact"/>
              <w:ind w:left="35" w:right="21" w:firstLine="2"/>
              <w:rPr>
                <w:rFonts w:ascii="Times New Roman" w:hAnsi="Times New Roman" w:eastAsia="仿宋_GB2312" w:cs="Arial"/>
                <w:spacing w:val="-4"/>
                <w:sz w:val="24"/>
              </w:rPr>
            </w:pPr>
            <w:r>
              <w:rPr>
                <w:rFonts w:ascii="Times New Roman" w:hAnsi="Times New Roman" w:eastAsia="仿宋_GB2312" w:cs="Arial"/>
                <w:spacing w:val="-4"/>
                <w:sz w:val="24"/>
              </w:rPr>
              <w:t>列为省级以上挂牌整改单位且未完成整改的，直接评定为红色。</w:t>
            </w:r>
          </w:p>
        </w:tc>
        <w:tc>
          <w:tcPr>
            <w:tcW w:w="998" w:type="dxa"/>
            <w:vAlign w:val="center"/>
          </w:tcPr>
          <w:p w14:paraId="5A5A2703">
            <w:pPr>
              <w:spacing w:line="280" w:lineRule="exact"/>
              <w:rPr>
                <w:rFonts w:ascii="Times New Roman" w:hAnsi="Times New Roman" w:eastAsia="宋体" w:cs="Arial"/>
              </w:rPr>
            </w:pPr>
          </w:p>
        </w:tc>
      </w:tr>
      <w:tr w14:paraId="1C040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exact"/>
        </w:trPr>
        <w:tc>
          <w:tcPr>
            <w:tcW w:w="1480" w:type="dxa"/>
            <w:vAlign w:val="center"/>
          </w:tcPr>
          <w:p w14:paraId="013F92DF">
            <w:pPr>
              <w:spacing w:line="280" w:lineRule="exact"/>
              <w:ind w:firstLine="276"/>
              <w:rPr>
                <w:rFonts w:ascii="Times New Roman" w:hAnsi="Times New Roman" w:eastAsia="仿宋_GB2312" w:cs="Arial"/>
                <w:sz w:val="24"/>
              </w:rPr>
            </w:pPr>
            <w:r>
              <w:rPr>
                <w:rFonts w:ascii="Times New Roman" w:hAnsi="Times New Roman" w:eastAsia="仿宋_GB2312" w:cs="Arial"/>
                <w:spacing w:val="-8"/>
                <w:sz w:val="24"/>
              </w:rPr>
              <w:t>4.2</w:t>
            </w:r>
          </w:p>
        </w:tc>
        <w:tc>
          <w:tcPr>
            <w:tcW w:w="2356" w:type="dxa"/>
            <w:vAlign w:val="center"/>
          </w:tcPr>
          <w:p w14:paraId="7EF21321">
            <w:pPr>
              <w:spacing w:line="280" w:lineRule="exact"/>
              <w:ind w:left="105" w:leftChars="50"/>
              <w:rPr>
                <w:rFonts w:ascii="Times New Roman" w:hAnsi="Times New Roman" w:eastAsia="仿宋_GB2312" w:cs="Arial"/>
                <w:sz w:val="24"/>
              </w:rPr>
            </w:pPr>
            <w:r>
              <w:rPr>
                <w:rFonts w:ascii="Times New Roman" w:hAnsi="Times New Roman" w:eastAsia="仿宋_GB2312" w:cs="Arial"/>
                <w:spacing w:val="-2"/>
                <w:sz w:val="24"/>
              </w:rPr>
              <w:t>现场安全隐患</w:t>
            </w:r>
          </w:p>
        </w:tc>
        <w:tc>
          <w:tcPr>
            <w:tcW w:w="869" w:type="dxa"/>
            <w:vAlign w:val="center"/>
          </w:tcPr>
          <w:p w14:paraId="27D4D9F1">
            <w:pPr>
              <w:spacing w:line="280" w:lineRule="exact"/>
              <w:jc w:val="center"/>
              <w:rPr>
                <w:rFonts w:ascii="Times New Roman" w:hAnsi="Times New Roman" w:eastAsia="仿宋_GB2312" w:cs="Arial"/>
                <w:sz w:val="24"/>
              </w:rPr>
            </w:pPr>
            <w:r>
              <w:rPr>
                <w:rFonts w:ascii="Times New Roman" w:hAnsi="Times New Roman" w:eastAsia="仿宋_GB2312" w:cs="Arial"/>
                <w:sz w:val="24"/>
              </w:rPr>
              <w:t>/</w:t>
            </w:r>
          </w:p>
        </w:tc>
        <w:tc>
          <w:tcPr>
            <w:tcW w:w="8928" w:type="dxa"/>
            <w:vAlign w:val="center"/>
          </w:tcPr>
          <w:p w14:paraId="2BB9C8CB">
            <w:pPr>
              <w:spacing w:line="280" w:lineRule="exact"/>
              <w:ind w:left="35" w:right="21" w:firstLine="2"/>
              <w:rPr>
                <w:rFonts w:ascii="Times New Roman" w:hAnsi="Times New Roman" w:eastAsia="仿宋_GB2312" w:cs="Arial"/>
                <w:spacing w:val="-4"/>
                <w:sz w:val="24"/>
              </w:rPr>
            </w:pPr>
            <w:r>
              <w:rPr>
                <w:rFonts w:ascii="Times New Roman" w:hAnsi="Times New Roman" w:eastAsia="仿宋_GB2312" w:cs="Arial"/>
                <w:spacing w:val="-4"/>
                <w:sz w:val="24"/>
              </w:rPr>
              <w:t>现场存在重大事故隐患且无法整改的，直接评定为红色。</w:t>
            </w:r>
          </w:p>
        </w:tc>
        <w:tc>
          <w:tcPr>
            <w:tcW w:w="998" w:type="dxa"/>
            <w:vAlign w:val="center"/>
          </w:tcPr>
          <w:p w14:paraId="1158F036">
            <w:pPr>
              <w:spacing w:line="280" w:lineRule="exact"/>
              <w:rPr>
                <w:rFonts w:ascii="Times New Roman" w:hAnsi="Times New Roman" w:eastAsia="宋体" w:cs="Arial"/>
              </w:rPr>
            </w:pPr>
          </w:p>
        </w:tc>
      </w:tr>
      <w:tr w14:paraId="283E6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1" w:hRule="atLeast"/>
        </w:trPr>
        <w:tc>
          <w:tcPr>
            <w:tcW w:w="1480" w:type="dxa"/>
            <w:vAlign w:val="center"/>
          </w:tcPr>
          <w:p w14:paraId="60994FD2">
            <w:pPr>
              <w:spacing w:line="280" w:lineRule="exact"/>
              <w:ind w:firstLine="276"/>
              <w:rPr>
                <w:rFonts w:ascii="Times New Roman" w:hAnsi="Times New Roman" w:eastAsia="仿宋_GB2312" w:cs="Arial"/>
                <w:sz w:val="24"/>
              </w:rPr>
            </w:pPr>
            <w:r>
              <w:rPr>
                <w:rFonts w:ascii="Times New Roman" w:hAnsi="Times New Roman" w:eastAsia="仿宋_GB2312" w:cs="Arial"/>
                <w:spacing w:val="-8"/>
                <w:sz w:val="24"/>
              </w:rPr>
              <w:t>4.3</w:t>
            </w:r>
          </w:p>
        </w:tc>
        <w:tc>
          <w:tcPr>
            <w:tcW w:w="2356" w:type="dxa"/>
            <w:vAlign w:val="center"/>
          </w:tcPr>
          <w:p w14:paraId="749806A0">
            <w:pPr>
              <w:spacing w:line="280" w:lineRule="exact"/>
              <w:ind w:left="105" w:leftChars="50"/>
              <w:rPr>
                <w:rFonts w:ascii="Times New Roman" w:hAnsi="Times New Roman" w:eastAsia="仿宋_GB2312" w:cs="Arial"/>
                <w:sz w:val="24"/>
              </w:rPr>
            </w:pPr>
            <w:r>
              <w:rPr>
                <w:rFonts w:ascii="Times New Roman" w:hAnsi="Times New Roman" w:eastAsia="仿宋_GB2312" w:cs="Arial"/>
                <w:spacing w:val="-2"/>
                <w:sz w:val="24"/>
              </w:rPr>
              <w:t>安全生产事故情</w:t>
            </w:r>
            <w:r>
              <w:rPr>
                <w:rFonts w:ascii="Times New Roman" w:hAnsi="Times New Roman" w:eastAsia="仿宋_GB2312" w:cs="Arial"/>
                <w:sz w:val="24"/>
              </w:rPr>
              <w:t>况</w:t>
            </w:r>
          </w:p>
        </w:tc>
        <w:tc>
          <w:tcPr>
            <w:tcW w:w="869" w:type="dxa"/>
            <w:vAlign w:val="center"/>
          </w:tcPr>
          <w:p w14:paraId="07431214">
            <w:pPr>
              <w:spacing w:line="280" w:lineRule="exact"/>
              <w:jc w:val="center"/>
              <w:rPr>
                <w:rFonts w:ascii="Times New Roman" w:hAnsi="Times New Roman" w:eastAsia="仿宋_GB2312" w:cs="Arial"/>
                <w:sz w:val="24"/>
              </w:rPr>
            </w:pPr>
            <w:r>
              <w:rPr>
                <w:rFonts w:ascii="Times New Roman" w:hAnsi="Times New Roman" w:eastAsia="仿宋_GB2312" w:cs="Arial"/>
                <w:sz w:val="24"/>
              </w:rPr>
              <w:t>/</w:t>
            </w:r>
          </w:p>
        </w:tc>
        <w:tc>
          <w:tcPr>
            <w:tcW w:w="8928" w:type="dxa"/>
            <w:vAlign w:val="center"/>
          </w:tcPr>
          <w:p w14:paraId="331936C0">
            <w:pPr>
              <w:spacing w:line="280" w:lineRule="exact"/>
              <w:ind w:left="35" w:right="21" w:firstLine="2"/>
              <w:rPr>
                <w:rFonts w:ascii="Times New Roman" w:hAnsi="Times New Roman" w:eastAsia="仿宋_GB2312" w:cs="Arial"/>
                <w:spacing w:val="-4"/>
                <w:sz w:val="24"/>
              </w:rPr>
            </w:pPr>
            <w:r>
              <w:rPr>
                <w:rFonts w:ascii="Times New Roman" w:hAnsi="Times New Roman" w:eastAsia="仿宋_GB2312" w:cs="Arial"/>
                <w:spacing w:val="-4"/>
                <w:sz w:val="24"/>
              </w:rPr>
              <w:t>上年度发生较大以上或发生2起及以上一般生产安全责任事故的或发生重大社会影响事故的，直接评定为红色。</w:t>
            </w:r>
          </w:p>
        </w:tc>
        <w:tc>
          <w:tcPr>
            <w:tcW w:w="998" w:type="dxa"/>
            <w:vAlign w:val="center"/>
          </w:tcPr>
          <w:p w14:paraId="6956210A">
            <w:pPr>
              <w:spacing w:line="280" w:lineRule="exact"/>
              <w:rPr>
                <w:rFonts w:ascii="Times New Roman" w:hAnsi="Times New Roman" w:eastAsia="宋体" w:cs="Arial"/>
              </w:rPr>
            </w:pPr>
          </w:p>
        </w:tc>
      </w:tr>
      <w:tr w14:paraId="627CC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5" w:hRule="atLeast"/>
        </w:trPr>
        <w:tc>
          <w:tcPr>
            <w:tcW w:w="1480" w:type="dxa"/>
            <w:vAlign w:val="center"/>
          </w:tcPr>
          <w:p w14:paraId="7DE0CB16">
            <w:pPr>
              <w:spacing w:line="280" w:lineRule="exact"/>
              <w:ind w:firstLine="276"/>
              <w:rPr>
                <w:rFonts w:ascii="Times New Roman" w:hAnsi="Times New Roman" w:eastAsia="仿宋_GB2312" w:cs="Arial"/>
                <w:sz w:val="24"/>
              </w:rPr>
            </w:pPr>
            <w:r>
              <w:rPr>
                <w:rFonts w:ascii="Times New Roman" w:hAnsi="Times New Roman" w:eastAsia="仿宋_GB2312" w:cs="Arial"/>
                <w:spacing w:val="-8"/>
                <w:sz w:val="24"/>
              </w:rPr>
              <w:t>4.4</w:t>
            </w:r>
          </w:p>
        </w:tc>
        <w:tc>
          <w:tcPr>
            <w:tcW w:w="2356" w:type="dxa"/>
            <w:vAlign w:val="center"/>
          </w:tcPr>
          <w:p w14:paraId="33DC0A4C">
            <w:pPr>
              <w:spacing w:line="280" w:lineRule="exact"/>
              <w:ind w:left="105" w:leftChars="50"/>
              <w:rPr>
                <w:rFonts w:ascii="Times New Roman" w:hAnsi="Times New Roman" w:eastAsia="仿宋_GB2312" w:cs="Arial"/>
                <w:sz w:val="24"/>
              </w:rPr>
            </w:pPr>
            <w:r>
              <w:rPr>
                <w:rFonts w:ascii="Times New Roman" w:hAnsi="Times New Roman" w:eastAsia="仿宋_GB2312" w:cs="Arial"/>
                <w:spacing w:val="-2"/>
                <w:sz w:val="24"/>
              </w:rPr>
              <w:t>有限空间管理</w:t>
            </w:r>
          </w:p>
        </w:tc>
        <w:tc>
          <w:tcPr>
            <w:tcW w:w="869" w:type="dxa"/>
            <w:vAlign w:val="center"/>
          </w:tcPr>
          <w:p w14:paraId="1B83D077">
            <w:pPr>
              <w:spacing w:line="280" w:lineRule="exact"/>
              <w:jc w:val="center"/>
              <w:rPr>
                <w:rFonts w:ascii="Times New Roman" w:hAnsi="Times New Roman" w:eastAsia="仿宋_GB2312" w:cs="Arial"/>
                <w:sz w:val="24"/>
              </w:rPr>
            </w:pPr>
            <w:r>
              <w:rPr>
                <w:rFonts w:ascii="Times New Roman" w:hAnsi="Times New Roman" w:eastAsia="仿宋_GB2312" w:cs="Arial"/>
                <w:sz w:val="24"/>
              </w:rPr>
              <w:t>/</w:t>
            </w:r>
          </w:p>
        </w:tc>
        <w:tc>
          <w:tcPr>
            <w:tcW w:w="8928" w:type="dxa"/>
            <w:vAlign w:val="center"/>
          </w:tcPr>
          <w:p w14:paraId="2AE12A51">
            <w:pPr>
              <w:spacing w:line="280" w:lineRule="exact"/>
              <w:ind w:left="35" w:right="21" w:firstLine="2"/>
              <w:rPr>
                <w:rFonts w:ascii="Times New Roman" w:hAnsi="Times New Roman" w:eastAsia="仿宋_GB2312" w:cs="Arial"/>
                <w:spacing w:val="-4"/>
                <w:sz w:val="24"/>
              </w:rPr>
            </w:pPr>
            <w:r>
              <w:rPr>
                <w:rFonts w:ascii="Times New Roman" w:hAnsi="Times New Roman" w:eastAsia="仿宋_GB2312" w:cs="Arial"/>
                <w:spacing w:val="-4"/>
                <w:sz w:val="24"/>
              </w:rPr>
              <w:t>未对有限空间作业进行辨识、提出防范措施、建立有限空间管理台账的企业，评定风险等级为橙色以上。</w:t>
            </w:r>
          </w:p>
        </w:tc>
        <w:tc>
          <w:tcPr>
            <w:tcW w:w="998" w:type="dxa"/>
            <w:vAlign w:val="center"/>
          </w:tcPr>
          <w:p w14:paraId="1B212B09">
            <w:pPr>
              <w:spacing w:line="280" w:lineRule="exact"/>
              <w:rPr>
                <w:rFonts w:ascii="Times New Roman" w:hAnsi="Times New Roman" w:eastAsia="宋体" w:cs="Arial"/>
              </w:rPr>
            </w:pPr>
          </w:p>
        </w:tc>
      </w:tr>
      <w:tr w14:paraId="4DF6E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63" w:hRule="atLeast"/>
        </w:trPr>
        <w:tc>
          <w:tcPr>
            <w:tcW w:w="14631" w:type="dxa"/>
            <w:gridSpan w:val="5"/>
            <w:vAlign w:val="center"/>
          </w:tcPr>
          <w:p w14:paraId="681CBEC9">
            <w:pPr>
              <w:spacing w:line="280" w:lineRule="exact"/>
              <w:ind w:left="34" w:right="102" w:firstLine="464" w:firstLineChars="200"/>
              <w:jc w:val="left"/>
              <w:rPr>
                <w:rFonts w:ascii="Times New Roman" w:hAnsi="Times New Roman" w:eastAsia="宋体" w:cs="Arial"/>
                <w:spacing w:val="-6"/>
                <w:sz w:val="24"/>
              </w:rPr>
            </w:pPr>
            <w:r>
              <w:rPr>
                <w:rFonts w:ascii="Times New Roman" w:hAnsi="Times New Roman" w:eastAsia="宋体" w:cs="Arial"/>
                <w:spacing w:val="-4"/>
                <w:sz w:val="24"/>
              </w:rPr>
              <w:t>备注</w:t>
            </w:r>
            <w:r>
              <w:rPr>
                <w:rFonts w:ascii="Times New Roman" w:hAnsi="Times New Roman" w:eastAsia="宋体" w:cs="Arial"/>
                <w:spacing w:val="-6"/>
                <w:sz w:val="24"/>
              </w:rPr>
              <w:t>：</w:t>
            </w:r>
          </w:p>
          <w:p w14:paraId="31D0012F">
            <w:pPr>
              <w:spacing w:line="280" w:lineRule="exact"/>
              <w:ind w:left="34" w:right="102" w:firstLine="464" w:firstLineChars="200"/>
              <w:rPr>
                <w:rFonts w:ascii="Times New Roman" w:hAnsi="Times New Roman" w:eastAsia="楷体_GB2312" w:cs="Arial"/>
                <w:spacing w:val="-4"/>
                <w:sz w:val="24"/>
              </w:rPr>
            </w:pPr>
            <w:r>
              <w:rPr>
                <w:rFonts w:ascii="Times New Roman" w:hAnsi="Times New Roman" w:eastAsia="楷体_GB2312" w:cs="Arial"/>
                <w:spacing w:val="-4"/>
                <w:sz w:val="24"/>
              </w:rPr>
              <w:t>1.安全风险从高到低依次对应为红色、橙色、黄色、蓝色。总分在90分以上（含90分）的为蓝色；75分（含75分）至89分的为黄色；60分（含60分）至74分的为橙色；60分以下的为红色。</w:t>
            </w:r>
          </w:p>
          <w:p w14:paraId="13CA2B96">
            <w:pPr>
              <w:spacing w:line="280" w:lineRule="exact"/>
              <w:ind w:left="34" w:right="102" w:firstLine="464" w:firstLineChars="200"/>
              <w:rPr>
                <w:rFonts w:ascii="Times New Roman" w:hAnsi="Times New Roman" w:eastAsia="楷体" w:cs="Arial"/>
              </w:rPr>
            </w:pPr>
            <w:r>
              <w:rPr>
                <w:rFonts w:ascii="Times New Roman" w:hAnsi="Times New Roman" w:eastAsia="楷体_GB2312" w:cs="Arial"/>
                <w:spacing w:val="-4"/>
                <w:sz w:val="24"/>
              </w:rPr>
              <w:t>2.每个项目分值扣完为止，最低为0分。</w:t>
            </w:r>
          </w:p>
        </w:tc>
      </w:tr>
    </w:tbl>
    <w:p w14:paraId="13EACC30">
      <w:pPr>
        <w:rPr>
          <w:rFonts w:ascii="Times New Roman" w:hAnsi="Times New Roman" w:eastAsia="Times New Roman" w:cs="黑体"/>
          <w:sz w:val="24"/>
          <w:lang w:eastAsia="zh-TW"/>
        </w:rPr>
      </w:pPr>
    </w:p>
    <w:p w14:paraId="31A7F8BF">
      <w:pPr>
        <w:ind w:firstLine="640"/>
        <w:sectPr>
          <w:pgSz w:w="16838" w:h="11906" w:orient="landscape"/>
          <w:pgMar w:top="1800" w:right="1440" w:bottom="1800" w:left="1440" w:header="851" w:footer="992" w:gutter="0"/>
          <w:cols w:space="720" w:num="1"/>
          <w:docGrid w:type="lines" w:linePitch="312" w:charSpace="0"/>
        </w:sectPr>
      </w:pPr>
    </w:p>
    <w:p w14:paraId="13FE90C7">
      <w:pPr>
        <w:widowControl/>
        <w:snapToGrid w:val="0"/>
        <w:spacing w:line="600" w:lineRule="exact"/>
        <w:textAlignment w:val="baseline"/>
        <w:rPr>
          <w:rFonts w:ascii="Times New Roman" w:hAnsi="Times New Roman" w:eastAsia="方正小标宋简体" w:cs="Arial"/>
          <w:snapToGrid w:val="0"/>
          <w:kern w:val="0"/>
          <w:sz w:val="32"/>
          <w:szCs w:val="32"/>
        </w:rPr>
      </w:pPr>
      <w:bookmarkStart w:id="15" w:name="_Toc303437004"/>
      <w:r>
        <w:rPr>
          <w:rFonts w:ascii="Times New Roman" w:hAnsi="Times New Roman" w:eastAsia="方正小标宋简体" w:cs="Arial"/>
          <w:snapToGrid w:val="0"/>
          <w:kern w:val="0"/>
          <w:sz w:val="32"/>
          <w:szCs w:val="32"/>
        </w:rPr>
        <w:t>附件</w:t>
      </w:r>
      <w:bookmarkEnd w:id="15"/>
      <w:r>
        <w:rPr>
          <w:rFonts w:ascii="Times New Roman" w:hAnsi="Times New Roman" w:eastAsia="方正小标宋简体" w:cs="Arial"/>
          <w:snapToGrid w:val="0"/>
          <w:kern w:val="0"/>
          <w:sz w:val="32"/>
          <w:szCs w:val="32"/>
        </w:rPr>
        <w:t>2</w:t>
      </w:r>
    </w:p>
    <w:p w14:paraId="2804F085">
      <w:pPr>
        <w:widowControl/>
        <w:snapToGrid w:val="0"/>
        <w:spacing w:line="600" w:lineRule="exact"/>
        <w:jc w:val="center"/>
        <w:textAlignment w:val="baseline"/>
        <w:rPr>
          <w:rFonts w:ascii="Times New Roman" w:hAnsi="Times New Roman" w:eastAsia="方正小标宋简体" w:cs="Arial"/>
          <w:snapToGrid w:val="0"/>
          <w:kern w:val="0"/>
          <w:sz w:val="44"/>
          <w:szCs w:val="44"/>
        </w:rPr>
      </w:pPr>
      <w:r>
        <w:rPr>
          <w:rFonts w:ascii="Times New Roman" w:hAnsi="Times New Roman" w:eastAsia="方正小标宋简体" w:cs="Arial"/>
          <w:snapToGrid w:val="0"/>
          <w:kern w:val="0"/>
          <w:sz w:val="44"/>
          <w:szCs w:val="44"/>
        </w:rPr>
        <w:t>化工企业安全风险评估诊断分级表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2268"/>
        <w:gridCol w:w="4678"/>
        <w:gridCol w:w="5103"/>
        <w:gridCol w:w="1311"/>
      </w:tblGrid>
      <w:tr w14:paraId="1F8E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105" w:type="dxa"/>
            <w:vAlign w:val="center"/>
          </w:tcPr>
          <w:p w14:paraId="608BEA11">
            <w:pPr>
              <w:spacing w:line="280" w:lineRule="exact"/>
              <w:jc w:val="center"/>
              <w:textAlignment w:val="baseline"/>
              <w:rPr>
                <w:rFonts w:ascii="Times New Roman" w:hAnsi="Times New Roman" w:eastAsia="黑体" w:cs="Arial"/>
                <w:snapToGrid w:val="0"/>
                <w:kern w:val="0"/>
                <w:sz w:val="28"/>
                <w:szCs w:val="28"/>
                <w:lang w:eastAsia="en-US"/>
              </w:rPr>
            </w:pPr>
            <w:r>
              <w:rPr>
                <w:rFonts w:ascii="Times New Roman" w:hAnsi="Times New Roman" w:eastAsia="黑体" w:cs="Arial"/>
                <w:snapToGrid w:val="0"/>
                <w:kern w:val="0"/>
                <w:sz w:val="28"/>
                <w:szCs w:val="28"/>
                <w:lang w:eastAsia="en-US"/>
              </w:rPr>
              <w:t>类别</w:t>
            </w:r>
          </w:p>
        </w:tc>
        <w:tc>
          <w:tcPr>
            <w:tcW w:w="2268" w:type="dxa"/>
            <w:vAlign w:val="center"/>
          </w:tcPr>
          <w:p w14:paraId="729F8083">
            <w:pPr>
              <w:spacing w:line="280" w:lineRule="exact"/>
              <w:jc w:val="center"/>
              <w:textAlignment w:val="baseline"/>
              <w:rPr>
                <w:rFonts w:ascii="Times New Roman" w:hAnsi="Times New Roman" w:eastAsia="黑体" w:cs="Arial"/>
                <w:snapToGrid w:val="0"/>
                <w:kern w:val="0"/>
                <w:sz w:val="28"/>
                <w:szCs w:val="28"/>
                <w:lang w:eastAsia="en-US"/>
              </w:rPr>
            </w:pPr>
            <w:r>
              <w:rPr>
                <w:rFonts w:ascii="Times New Roman" w:hAnsi="Times New Roman" w:eastAsia="黑体" w:cs="Arial"/>
                <w:snapToGrid w:val="0"/>
                <w:kern w:val="0"/>
                <w:sz w:val="28"/>
                <w:szCs w:val="28"/>
                <w:lang w:eastAsia="en-US"/>
              </w:rPr>
              <w:t>项目（分值）</w:t>
            </w:r>
          </w:p>
        </w:tc>
        <w:tc>
          <w:tcPr>
            <w:tcW w:w="4678" w:type="dxa"/>
            <w:vAlign w:val="center"/>
          </w:tcPr>
          <w:p w14:paraId="6C1228D5">
            <w:pPr>
              <w:spacing w:line="280" w:lineRule="exact"/>
              <w:jc w:val="center"/>
              <w:textAlignment w:val="baseline"/>
              <w:rPr>
                <w:rFonts w:ascii="Times New Roman" w:hAnsi="Times New Roman" w:eastAsia="黑体" w:cs="Arial"/>
                <w:snapToGrid w:val="0"/>
                <w:kern w:val="0"/>
                <w:sz w:val="28"/>
                <w:szCs w:val="28"/>
                <w:lang w:eastAsia="en-US"/>
              </w:rPr>
            </w:pPr>
            <w:r>
              <w:rPr>
                <w:rFonts w:ascii="Times New Roman" w:hAnsi="Times New Roman" w:eastAsia="黑体" w:cs="Arial"/>
                <w:snapToGrid w:val="0"/>
                <w:kern w:val="0"/>
                <w:sz w:val="28"/>
                <w:szCs w:val="28"/>
                <w:lang w:eastAsia="en-US"/>
              </w:rPr>
              <w:t>评估内容</w:t>
            </w:r>
          </w:p>
        </w:tc>
        <w:tc>
          <w:tcPr>
            <w:tcW w:w="5103" w:type="dxa"/>
            <w:vAlign w:val="center"/>
          </w:tcPr>
          <w:p w14:paraId="0FB56E57">
            <w:pPr>
              <w:spacing w:line="280" w:lineRule="exact"/>
              <w:jc w:val="center"/>
              <w:textAlignment w:val="baseline"/>
              <w:rPr>
                <w:rFonts w:ascii="Times New Roman" w:hAnsi="Times New Roman" w:eastAsia="黑体" w:cs="Arial"/>
                <w:snapToGrid w:val="0"/>
                <w:kern w:val="0"/>
                <w:sz w:val="28"/>
                <w:szCs w:val="28"/>
                <w:lang w:eastAsia="en-US"/>
              </w:rPr>
            </w:pPr>
            <w:r>
              <w:rPr>
                <w:rFonts w:ascii="Times New Roman" w:hAnsi="Times New Roman" w:eastAsia="黑体" w:cs="Arial"/>
                <w:snapToGrid w:val="0"/>
                <w:kern w:val="0"/>
                <w:sz w:val="28"/>
                <w:szCs w:val="28"/>
                <w:lang w:eastAsia="en-US"/>
              </w:rPr>
              <w:t>企业实际情况</w:t>
            </w:r>
          </w:p>
        </w:tc>
        <w:tc>
          <w:tcPr>
            <w:tcW w:w="1311" w:type="dxa"/>
            <w:vAlign w:val="center"/>
          </w:tcPr>
          <w:p w14:paraId="3E56B5EE">
            <w:pPr>
              <w:spacing w:line="280" w:lineRule="exact"/>
              <w:jc w:val="center"/>
              <w:textAlignment w:val="baseline"/>
              <w:rPr>
                <w:rFonts w:ascii="Times New Roman" w:hAnsi="Times New Roman" w:eastAsia="黑体" w:cs="Arial"/>
                <w:snapToGrid w:val="0"/>
                <w:kern w:val="0"/>
                <w:sz w:val="28"/>
                <w:szCs w:val="28"/>
                <w:lang w:eastAsia="en-US"/>
              </w:rPr>
            </w:pPr>
            <w:r>
              <w:rPr>
                <w:rFonts w:ascii="Times New Roman" w:hAnsi="Times New Roman" w:eastAsia="黑体" w:cs="Arial"/>
                <w:snapToGrid w:val="0"/>
                <w:kern w:val="0"/>
                <w:sz w:val="28"/>
                <w:szCs w:val="28"/>
                <w:lang w:eastAsia="en-US"/>
              </w:rPr>
              <w:t>扣分值</w:t>
            </w:r>
          </w:p>
        </w:tc>
      </w:tr>
      <w:tr w14:paraId="34C2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105" w:type="dxa"/>
            <w:vMerge w:val="restart"/>
            <w:vAlign w:val="center"/>
          </w:tcPr>
          <w:p w14:paraId="2E3C6135">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1.固有危险性</w:t>
            </w:r>
          </w:p>
        </w:tc>
        <w:tc>
          <w:tcPr>
            <w:tcW w:w="2268" w:type="dxa"/>
            <w:vMerge w:val="restart"/>
            <w:vAlign w:val="center"/>
          </w:tcPr>
          <w:p w14:paraId="5D6A0AB7">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重大危险源</w:t>
            </w:r>
          </w:p>
          <w:p w14:paraId="4829EDDD">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（10分）</w:t>
            </w:r>
          </w:p>
        </w:tc>
        <w:tc>
          <w:tcPr>
            <w:tcW w:w="4678" w:type="dxa"/>
            <w:vAlign w:val="center"/>
          </w:tcPr>
          <w:p w14:paraId="0B9719E5">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存在一级危险化学品重大危险源的，扣10分；</w:t>
            </w:r>
          </w:p>
        </w:tc>
        <w:tc>
          <w:tcPr>
            <w:tcW w:w="5103" w:type="dxa"/>
          </w:tcPr>
          <w:p w14:paraId="3EC91B2B">
            <w:pPr>
              <w:spacing w:line="280" w:lineRule="exact"/>
              <w:textAlignment w:val="baseline"/>
              <w:rPr>
                <w:rFonts w:ascii="Times New Roman" w:hAnsi="Times New Roman" w:eastAsia="仿宋_GB2312" w:cs="Arial"/>
                <w:snapToGrid w:val="0"/>
                <w:kern w:val="0"/>
                <w:sz w:val="22"/>
                <w:szCs w:val="21"/>
              </w:rPr>
            </w:pPr>
          </w:p>
        </w:tc>
        <w:tc>
          <w:tcPr>
            <w:tcW w:w="1311" w:type="dxa"/>
            <w:vMerge w:val="restart"/>
            <w:vAlign w:val="center"/>
          </w:tcPr>
          <w:p w14:paraId="44240435">
            <w:pPr>
              <w:spacing w:line="280" w:lineRule="exact"/>
              <w:textAlignment w:val="baseline"/>
              <w:rPr>
                <w:rFonts w:ascii="Times New Roman" w:hAnsi="Times New Roman" w:eastAsia="仿宋_GB2312" w:cs="Arial"/>
                <w:snapToGrid w:val="0"/>
                <w:kern w:val="0"/>
                <w:sz w:val="22"/>
                <w:szCs w:val="21"/>
              </w:rPr>
            </w:pPr>
          </w:p>
        </w:tc>
      </w:tr>
      <w:tr w14:paraId="20E1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105" w:type="dxa"/>
            <w:vMerge w:val="continue"/>
            <w:vAlign w:val="center"/>
          </w:tcPr>
          <w:p w14:paraId="1A0F97FF">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6346E3AE">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31998671">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存在二级危险化学品重大危险源的，扣8分；</w:t>
            </w:r>
          </w:p>
        </w:tc>
        <w:tc>
          <w:tcPr>
            <w:tcW w:w="5103" w:type="dxa"/>
          </w:tcPr>
          <w:p w14:paraId="69C77D08">
            <w:pPr>
              <w:spacing w:line="280" w:lineRule="exact"/>
              <w:textAlignment w:val="baseline"/>
              <w:rPr>
                <w:rFonts w:ascii="Times New Roman" w:hAnsi="Times New Roman" w:eastAsia="仿宋_GB2312" w:cs="Arial"/>
                <w:b/>
                <w:bCs/>
                <w:snapToGrid w:val="0"/>
                <w:kern w:val="0"/>
                <w:sz w:val="22"/>
                <w:szCs w:val="21"/>
              </w:rPr>
            </w:pPr>
          </w:p>
        </w:tc>
        <w:tc>
          <w:tcPr>
            <w:tcW w:w="1311" w:type="dxa"/>
            <w:vMerge w:val="continue"/>
            <w:vAlign w:val="center"/>
          </w:tcPr>
          <w:p w14:paraId="25148FE6">
            <w:pPr>
              <w:spacing w:line="280" w:lineRule="exact"/>
              <w:textAlignment w:val="baseline"/>
              <w:rPr>
                <w:rFonts w:ascii="Times New Roman" w:hAnsi="Times New Roman" w:eastAsia="仿宋_GB2312" w:cs="Arial"/>
                <w:b/>
                <w:bCs/>
                <w:snapToGrid w:val="0"/>
                <w:kern w:val="0"/>
                <w:sz w:val="22"/>
                <w:szCs w:val="21"/>
              </w:rPr>
            </w:pPr>
          </w:p>
        </w:tc>
      </w:tr>
      <w:tr w14:paraId="031E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jc w:val="center"/>
        </w:trPr>
        <w:tc>
          <w:tcPr>
            <w:tcW w:w="1105" w:type="dxa"/>
            <w:vMerge w:val="continue"/>
            <w:vAlign w:val="center"/>
          </w:tcPr>
          <w:p w14:paraId="78525EAD">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0B07171A">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2A0DE47D">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存在三级危险化学品重大危险源的，扣6分；</w:t>
            </w:r>
          </w:p>
        </w:tc>
        <w:tc>
          <w:tcPr>
            <w:tcW w:w="5103" w:type="dxa"/>
          </w:tcPr>
          <w:p w14:paraId="7203510B">
            <w:pPr>
              <w:spacing w:line="280" w:lineRule="exact"/>
              <w:textAlignment w:val="baseline"/>
              <w:rPr>
                <w:rFonts w:ascii="Times New Roman" w:hAnsi="Times New Roman" w:eastAsia="仿宋_GB2312" w:cs="Arial"/>
                <w:b/>
                <w:bCs/>
                <w:snapToGrid w:val="0"/>
                <w:kern w:val="0"/>
                <w:sz w:val="22"/>
                <w:szCs w:val="21"/>
              </w:rPr>
            </w:pPr>
          </w:p>
        </w:tc>
        <w:tc>
          <w:tcPr>
            <w:tcW w:w="1311" w:type="dxa"/>
            <w:vMerge w:val="continue"/>
            <w:vAlign w:val="center"/>
          </w:tcPr>
          <w:p w14:paraId="044917B3">
            <w:pPr>
              <w:spacing w:line="280" w:lineRule="exact"/>
              <w:textAlignment w:val="baseline"/>
              <w:rPr>
                <w:rFonts w:ascii="Times New Roman" w:hAnsi="Times New Roman" w:eastAsia="仿宋_GB2312" w:cs="Arial"/>
                <w:b/>
                <w:bCs/>
                <w:snapToGrid w:val="0"/>
                <w:kern w:val="0"/>
                <w:sz w:val="22"/>
                <w:szCs w:val="21"/>
              </w:rPr>
            </w:pPr>
          </w:p>
        </w:tc>
      </w:tr>
      <w:tr w14:paraId="7AE7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105" w:type="dxa"/>
            <w:vMerge w:val="continue"/>
            <w:vAlign w:val="center"/>
          </w:tcPr>
          <w:p w14:paraId="50F1F83A">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6DCCA9A7">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5F9561AE">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存在四级危险化学品重大危险源的，扣4分。</w:t>
            </w:r>
          </w:p>
        </w:tc>
        <w:tc>
          <w:tcPr>
            <w:tcW w:w="5103" w:type="dxa"/>
          </w:tcPr>
          <w:p w14:paraId="00D12D5A">
            <w:pPr>
              <w:spacing w:line="280" w:lineRule="exact"/>
              <w:textAlignment w:val="baseline"/>
              <w:rPr>
                <w:rFonts w:ascii="Times New Roman" w:hAnsi="Times New Roman" w:eastAsia="仿宋_GB2312" w:cs="Arial"/>
                <w:b/>
                <w:bCs/>
                <w:snapToGrid w:val="0"/>
                <w:kern w:val="0"/>
                <w:sz w:val="22"/>
                <w:szCs w:val="21"/>
              </w:rPr>
            </w:pPr>
          </w:p>
        </w:tc>
        <w:tc>
          <w:tcPr>
            <w:tcW w:w="1311" w:type="dxa"/>
            <w:vMerge w:val="continue"/>
            <w:vAlign w:val="center"/>
          </w:tcPr>
          <w:p w14:paraId="73C580B4">
            <w:pPr>
              <w:spacing w:line="280" w:lineRule="exact"/>
              <w:textAlignment w:val="baseline"/>
              <w:rPr>
                <w:rFonts w:ascii="Times New Roman" w:hAnsi="Times New Roman" w:eastAsia="仿宋_GB2312" w:cs="Arial"/>
                <w:b/>
                <w:bCs/>
                <w:snapToGrid w:val="0"/>
                <w:kern w:val="0"/>
                <w:sz w:val="22"/>
                <w:szCs w:val="21"/>
              </w:rPr>
            </w:pPr>
          </w:p>
        </w:tc>
      </w:tr>
      <w:tr w14:paraId="7A44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1105" w:type="dxa"/>
            <w:vMerge w:val="continue"/>
            <w:vAlign w:val="center"/>
          </w:tcPr>
          <w:p w14:paraId="18F20A64">
            <w:pPr>
              <w:spacing w:line="280" w:lineRule="exact"/>
              <w:textAlignment w:val="baseline"/>
              <w:rPr>
                <w:rFonts w:ascii="Times New Roman" w:hAnsi="Times New Roman" w:eastAsia="仿宋_GB2312" w:cs="Arial"/>
                <w:snapToGrid w:val="0"/>
                <w:kern w:val="0"/>
                <w:sz w:val="22"/>
                <w:szCs w:val="21"/>
              </w:rPr>
            </w:pPr>
          </w:p>
        </w:tc>
        <w:tc>
          <w:tcPr>
            <w:tcW w:w="2268" w:type="dxa"/>
            <w:vMerge w:val="restart"/>
            <w:vAlign w:val="center"/>
          </w:tcPr>
          <w:p w14:paraId="18856E94">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物质危险性</w:t>
            </w:r>
          </w:p>
          <w:p w14:paraId="51EFEBD9">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（5分）</w:t>
            </w:r>
          </w:p>
        </w:tc>
        <w:tc>
          <w:tcPr>
            <w:tcW w:w="4678" w:type="dxa"/>
            <w:vAlign w:val="center"/>
          </w:tcPr>
          <w:p w14:paraId="7C37B3A1">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生产、储存爆炸品的（实验室化学试剂除外），每一种扣2分；</w:t>
            </w:r>
          </w:p>
        </w:tc>
        <w:tc>
          <w:tcPr>
            <w:tcW w:w="5103" w:type="dxa"/>
          </w:tcPr>
          <w:p w14:paraId="7FF3127B">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2B190793">
            <w:pPr>
              <w:spacing w:line="280" w:lineRule="exact"/>
              <w:textAlignment w:val="baseline"/>
              <w:rPr>
                <w:rFonts w:ascii="Times New Roman" w:hAnsi="Times New Roman" w:eastAsia="仿宋_GB2312" w:cs="Arial"/>
                <w:snapToGrid w:val="0"/>
                <w:kern w:val="0"/>
                <w:sz w:val="22"/>
                <w:szCs w:val="21"/>
              </w:rPr>
            </w:pPr>
          </w:p>
        </w:tc>
      </w:tr>
      <w:tr w14:paraId="412E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105" w:type="dxa"/>
            <w:vMerge w:val="continue"/>
            <w:vAlign w:val="center"/>
          </w:tcPr>
          <w:p w14:paraId="2A78808C">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6BE841D0">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4831C94A">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生产、储存（含管道输送）氯气、光气等吸入性剧毒化学品的（实验室化学试剂除外），每一种扣2分；</w:t>
            </w:r>
          </w:p>
        </w:tc>
        <w:tc>
          <w:tcPr>
            <w:tcW w:w="5103" w:type="dxa"/>
          </w:tcPr>
          <w:p w14:paraId="3903F81F">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685287BD">
            <w:pPr>
              <w:spacing w:line="280" w:lineRule="exact"/>
              <w:textAlignment w:val="baseline"/>
              <w:rPr>
                <w:rFonts w:ascii="Times New Roman" w:hAnsi="Times New Roman" w:eastAsia="仿宋_GB2312" w:cs="Arial"/>
                <w:snapToGrid w:val="0"/>
                <w:kern w:val="0"/>
                <w:sz w:val="22"/>
                <w:szCs w:val="21"/>
              </w:rPr>
            </w:pPr>
          </w:p>
        </w:tc>
      </w:tr>
      <w:tr w14:paraId="00CA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8" w:hRule="atLeast"/>
          <w:jc w:val="center"/>
        </w:trPr>
        <w:tc>
          <w:tcPr>
            <w:tcW w:w="1105" w:type="dxa"/>
            <w:vMerge w:val="continue"/>
            <w:vAlign w:val="center"/>
          </w:tcPr>
          <w:p w14:paraId="283E96B4">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0428458B">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1800AA48">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生产、储存其他重点监管危险化学品的（实验室化学试剂除外），每一种扣0.1分。</w:t>
            </w:r>
          </w:p>
        </w:tc>
        <w:tc>
          <w:tcPr>
            <w:tcW w:w="5103" w:type="dxa"/>
          </w:tcPr>
          <w:p w14:paraId="6C915C41">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1F8D0A20">
            <w:pPr>
              <w:spacing w:line="280" w:lineRule="exact"/>
              <w:textAlignment w:val="baseline"/>
              <w:rPr>
                <w:rFonts w:ascii="Times New Roman" w:hAnsi="Times New Roman" w:eastAsia="仿宋_GB2312" w:cs="Arial"/>
                <w:snapToGrid w:val="0"/>
                <w:kern w:val="0"/>
                <w:sz w:val="22"/>
                <w:szCs w:val="21"/>
              </w:rPr>
            </w:pPr>
          </w:p>
        </w:tc>
      </w:tr>
      <w:tr w14:paraId="6E64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1105" w:type="dxa"/>
            <w:vMerge w:val="continue"/>
            <w:vAlign w:val="center"/>
          </w:tcPr>
          <w:p w14:paraId="651FB738">
            <w:pPr>
              <w:spacing w:line="280" w:lineRule="exact"/>
              <w:textAlignment w:val="baseline"/>
              <w:rPr>
                <w:rFonts w:ascii="Times New Roman" w:hAnsi="Times New Roman" w:eastAsia="仿宋_GB2312" w:cs="Arial"/>
                <w:snapToGrid w:val="0"/>
                <w:kern w:val="0"/>
                <w:sz w:val="22"/>
                <w:szCs w:val="21"/>
              </w:rPr>
            </w:pPr>
          </w:p>
        </w:tc>
        <w:tc>
          <w:tcPr>
            <w:tcW w:w="2268" w:type="dxa"/>
            <w:vAlign w:val="center"/>
          </w:tcPr>
          <w:p w14:paraId="0CC4CEEB">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危险化工工艺种类</w:t>
            </w:r>
          </w:p>
          <w:p w14:paraId="7542B7B4">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（10分）</w:t>
            </w:r>
          </w:p>
        </w:tc>
        <w:tc>
          <w:tcPr>
            <w:tcW w:w="4678" w:type="dxa"/>
            <w:vAlign w:val="center"/>
          </w:tcPr>
          <w:p w14:paraId="1B8E6649">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涉及18种危险化工工艺的，每一种扣2分。</w:t>
            </w:r>
          </w:p>
        </w:tc>
        <w:tc>
          <w:tcPr>
            <w:tcW w:w="5103" w:type="dxa"/>
          </w:tcPr>
          <w:p w14:paraId="40F6B598">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53A14F1A">
            <w:pPr>
              <w:spacing w:line="280" w:lineRule="exact"/>
              <w:textAlignment w:val="baseline"/>
              <w:rPr>
                <w:rFonts w:ascii="Times New Roman" w:hAnsi="Times New Roman" w:eastAsia="仿宋_GB2312" w:cs="Arial"/>
                <w:snapToGrid w:val="0"/>
                <w:kern w:val="0"/>
                <w:sz w:val="22"/>
                <w:szCs w:val="21"/>
              </w:rPr>
            </w:pPr>
          </w:p>
        </w:tc>
      </w:tr>
      <w:tr w14:paraId="73F4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1105" w:type="dxa"/>
            <w:vMerge w:val="continue"/>
            <w:vAlign w:val="center"/>
          </w:tcPr>
          <w:p w14:paraId="1D89F751">
            <w:pPr>
              <w:spacing w:line="280" w:lineRule="exact"/>
              <w:textAlignment w:val="baseline"/>
              <w:rPr>
                <w:rFonts w:ascii="Times New Roman" w:hAnsi="Times New Roman" w:eastAsia="仿宋_GB2312" w:cs="Arial"/>
                <w:snapToGrid w:val="0"/>
                <w:kern w:val="0"/>
                <w:sz w:val="22"/>
                <w:szCs w:val="21"/>
              </w:rPr>
            </w:pPr>
          </w:p>
        </w:tc>
        <w:tc>
          <w:tcPr>
            <w:tcW w:w="2268" w:type="dxa"/>
            <w:vMerge w:val="restart"/>
            <w:vAlign w:val="center"/>
          </w:tcPr>
          <w:p w14:paraId="50E19A98">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火灾爆炸危险性</w:t>
            </w:r>
          </w:p>
          <w:p w14:paraId="79F48D96">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（5分）</w:t>
            </w:r>
          </w:p>
        </w:tc>
        <w:tc>
          <w:tcPr>
            <w:tcW w:w="4678" w:type="dxa"/>
            <w:vAlign w:val="center"/>
          </w:tcPr>
          <w:p w14:paraId="35E8A190">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涉及甲类/乙类火灾危险性类别厂房、库房或者罐区的，每涉及一处扣1/0.5分；</w:t>
            </w:r>
          </w:p>
        </w:tc>
        <w:tc>
          <w:tcPr>
            <w:tcW w:w="5103" w:type="dxa"/>
          </w:tcPr>
          <w:p w14:paraId="388AE4B5">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4374D3F6">
            <w:pPr>
              <w:spacing w:line="280" w:lineRule="exact"/>
              <w:textAlignment w:val="baseline"/>
              <w:rPr>
                <w:rFonts w:ascii="Times New Roman" w:hAnsi="Times New Roman" w:eastAsia="仿宋_GB2312" w:cs="Arial"/>
                <w:snapToGrid w:val="0"/>
                <w:kern w:val="0"/>
                <w:sz w:val="22"/>
                <w:szCs w:val="21"/>
              </w:rPr>
            </w:pPr>
          </w:p>
        </w:tc>
      </w:tr>
      <w:tr w14:paraId="49DE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105" w:type="dxa"/>
            <w:vMerge w:val="continue"/>
            <w:vAlign w:val="center"/>
          </w:tcPr>
          <w:p w14:paraId="021C59EE">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14B2A0F5">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23D591E7">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涉及甲类、乙类火灾危险性罐区、气柜与加热炉等与产生明火的设施、装置比邻布置的，扣5分。</w:t>
            </w:r>
          </w:p>
        </w:tc>
        <w:tc>
          <w:tcPr>
            <w:tcW w:w="5103" w:type="dxa"/>
          </w:tcPr>
          <w:p w14:paraId="534B0C8E">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012D81ED">
            <w:pPr>
              <w:spacing w:line="280" w:lineRule="exact"/>
              <w:textAlignment w:val="baseline"/>
              <w:rPr>
                <w:rFonts w:ascii="Times New Roman" w:hAnsi="Times New Roman" w:eastAsia="仿宋_GB2312" w:cs="Arial"/>
                <w:snapToGrid w:val="0"/>
                <w:kern w:val="0"/>
                <w:sz w:val="22"/>
                <w:szCs w:val="21"/>
              </w:rPr>
            </w:pPr>
          </w:p>
        </w:tc>
      </w:tr>
      <w:tr w14:paraId="7527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0" w:hRule="atLeast"/>
          <w:jc w:val="center"/>
        </w:trPr>
        <w:tc>
          <w:tcPr>
            <w:tcW w:w="1105" w:type="dxa"/>
            <w:vMerge w:val="restart"/>
            <w:vAlign w:val="center"/>
          </w:tcPr>
          <w:p w14:paraId="65F951E5">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2.周边</w:t>
            </w:r>
          </w:p>
          <w:p w14:paraId="28C7AE5C">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环境</w:t>
            </w:r>
          </w:p>
        </w:tc>
        <w:tc>
          <w:tcPr>
            <w:tcW w:w="2268" w:type="dxa"/>
            <w:vMerge w:val="restart"/>
            <w:vAlign w:val="center"/>
          </w:tcPr>
          <w:p w14:paraId="0F78D60B">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周边环境</w:t>
            </w:r>
          </w:p>
          <w:p w14:paraId="29B81693">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（10分）</w:t>
            </w:r>
          </w:p>
        </w:tc>
        <w:tc>
          <w:tcPr>
            <w:tcW w:w="4678" w:type="dxa"/>
            <w:vAlign w:val="center"/>
          </w:tcPr>
          <w:p w14:paraId="1646D02F">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企业在化工片区外的，扣3分；</w:t>
            </w:r>
          </w:p>
        </w:tc>
        <w:tc>
          <w:tcPr>
            <w:tcW w:w="5103" w:type="dxa"/>
          </w:tcPr>
          <w:p w14:paraId="35AD5931">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56437687">
            <w:pPr>
              <w:spacing w:line="280" w:lineRule="exact"/>
              <w:textAlignment w:val="baseline"/>
              <w:rPr>
                <w:rFonts w:ascii="Times New Roman" w:hAnsi="Times New Roman" w:eastAsia="仿宋_GB2312" w:cs="Arial"/>
                <w:snapToGrid w:val="0"/>
                <w:kern w:val="0"/>
                <w:sz w:val="22"/>
                <w:szCs w:val="21"/>
              </w:rPr>
            </w:pPr>
          </w:p>
        </w:tc>
      </w:tr>
      <w:tr w14:paraId="606A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105" w:type="dxa"/>
            <w:vMerge w:val="continue"/>
            <w:vAlign w:val="center"/>
          </w:tcPr>
          <w:p w14:paraId="76796925">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2AC3A15C">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2E121612">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企业外部安全防护距离不符合《危险化学品生产、储存装置个人可接受风险标准和社会可接受风险标准（试行）》的，扣10分。</w:t>
            </w:r>
          </w:p>
        </w:tc>
        <w:tc>
          <w:tcPr>
            <w:tcW w:w="5103" w:type="dxa"/>
          </w:tcPr>
          <w:p w14:paraId="06E58D9B">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2F76175A">
            <w:pPr>
              <w:spacing w:line="280" w:lineRule="exact"/>
              <w:textAlignment w:val="baseline"/>
              <w:rPr>
                <w:rFonts w:ascii="Times New Roman" w:hAnsi="Times New Roman" w:eastAsia="仿宋_GB2312" w:cs="Arial"/>
                <w:snapToGrid w:val="0"/>
                <w:kern w:val="0"/>
                <w:sz w:val="22"/>
                <w:szCs w:val="21"/>
              </w:rPr>
            </w:pPr>
          </w:p>
        </w:tc>
      </w:tr>
      <w:tr w14:paraId="6A14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1105" w:type="dxa"/>
            <w:vMerge w:val="restart"/>
            <w:vAlign w:val="center"/>
          </w:tcPr>
          <w:p w14:paraId="74893036">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3.设计与评估</w:t>
            </w:r>
          </w:p>
        </w:tc>
        <w:tc>
          <w:tcPr>
            <w:tcW w:w="2268" w:type="dxa"/>
            <w:vMerge w:val="restart"/>
            <w:vAlign w:val="center"/>
          </w:tcPr>
          <w:p w14:paraId="4E0B7BC1">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设计与评估（10分）</w:t>
            </w:r>
          </w:p>
        </w:tc>
        <w:tc>
          <w:tcPr>
            <w:tcW w:w="4678" w:type="dxa"/>
            <w:vAlign w:val="center"/>
          </w:tcPr>
          <w:p w14:paraId="299789EF">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国内首次使用的化工工艺未经过省级人民政府有关部门组织安全可靠性论证的，扣5分；</w:t>
            </w:r>
          </w:p>
        </w:tc>
        <w:tc>
          <w:tcPr>
            <w:tcW w:w="5103" w:type="dxa"/>
          </w:tcPr>
          <w:p w14:paraId="3593621A">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722755D6">
            <w:pPr>
              <w:spacing w:line="280" w:lineRule="exact"/>
              <w:textAlignment w:val="baseline"/>
              <w:rPr>
                <w:rFonts w:ascii="Times New Roman" w:hAnsi="Times New Roman" w:eastAsia="仿宋_GB2312" w:cs="Arial"/>
                <w:snapToGrid w:val="0"/>
                <w:kern w:val="0"/>
                <w:sz w:val="22"/>
                <w:szCs w:val="21"/>
              </w:rPr>
            </w:pPr>
          </w:p>
        </w:tc>
      </w:tr>
      <w:tr w14:paraId="3466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1105" w:type="dxa"/>
            <w:vMerge w:val="continue"/>
            <w:vAlign w:val="center"/>
          </w:tcPr>
          <w:p w14:paraId="3D748538">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3A2798B3">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1C19DF53">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精细化工企业未按规范性文件要求开展反应安全风险评估的，扣10分；</w:t>
            </w:r>
          </w:p>
        </w:tc>
        <w:tc>
          <w:tcPr>
            <w:tcW w:w="5103" w:type="dxa"/>
          </w:tcPr>
          <w:p w14:paraId="279933E4">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3B688945">
            <w:pPr>
              <w:spacing w:line="280" w:lineRule="exact"/>
              <w:textAlignment w:val="baseline"/>
              <w:rPr>
                <w:rFonts w:ascii="Times New Roman" w:hAnsi="Times New Roman" w:eastAsia="仿宋_GB2312" w:cs="Arial"/>
                <w:snapToGrid w:val="0"/>
                <w:kern w:val="0"/>
                <w:sz w:val="22"/>
                <w:szCs w:val="21"/>
              </w:rPr>
            </w:pPr>
          </w:p>
        </w:tc>
      </w:tr>
      <w:tr w14:paraId="5327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3" w:hRule="atLeast"/>
          <w:jc w:val="center"/>
        </w:trPr>
        <w:tc>
          <w:tcPr>
            <w:tcW w:w="1105" w:type="dxa"/>
            <w:vMerge w:val="continue"/>
            <w:vAlign w:val="center"/>
          </w:tcPr>
          <w:p w14:paraId="6CCF38A2">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64BC8773">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2FA5367F">
            <w:pPr>
              <w:spacing w:line="280" w:lineRule="exact"/>
              <w:textAlignment w:val="baseline"/>
              <w:rPr>
                <w:rFonts w:ascii="Times New Roman" w:hAnsi="Times New Roman" w:eastAsia="仿宋_GB2312" w:cs="Arial"/>
                <w:b/>
                <w:snapToGrid w:val="0"/>
                <w:kern w:val="0"/>
                <w:sz w:val="22"/>
                <w:szCs w:val="21"/>
              </w:rPr>
            </w:pPr>
            <w:r>
              <w:rPr>
                <w:rFonts w:ascii="Times New Roman" w:hAnsi="Times New Roman" w:eastAsia="仿宋_GB2312" w:cs="Arial"/>
                <w:bCs/>
                <w:snapToGrid w:val="0"/>
                <w:kern w:val="0"/>
                <w:sz w:val="22"/>
                <w:szCs w:val="21"/>
              </w:rPr>
              <w:t>企业危险化学品生产储存装置均由甲级资质设计单位进行全面设计的，加2分。</w:t>
            </w:r>
          </w:p>
        </w:tc>
        <w:tc>
          <w:tcPr>
            <w:tcW w:w="5103" w:type="dxa"/>
          </w:tcPr>
          <w:p w14:paraId="7028794E">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5BC29700">
            <w:pPr>
              <w:spacing w:line="280" w:lineRule="exact"/>
              <w:textAlignment w:val="baseline"/>
              <w:rPr>
                <w:rFonts w:ascii="Times New Roman" w:hAnsi="Times New Roman" w:eastAsia="仿宋_GB2312" w:cs="Arial"/>
                <w:snapToGrid w:val="0"/>
                <w:kern w:val="0"/>
                <w:sz w:val="22"/>
                <w:szCs w:val="21"/>
              </w:rPr>
            </w:pPr>
          </w:p>
        </w:tc>
      </w:tr>
      <w:tr w14:paraId="76C4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105" w:type="dxa"/>
            <w:vMerge w:val="restart"/>
            <w:vAlign w:val="center"/>
          </w:tcPr>
          <w:p w14:paraId="387C094F">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4.设备</w:t>
            </w:r>
          </w:p>
        </w:tc>
        <w:tc>
          <w:tcPr>
            <w:tcW w:w="2268" w:type="dxa"/>
            <w:vMerge w:val="restart"/>
            <w:vAlign w:val="center"/>
          </w:tcPr>
          <w:p w14:paraId="097DE9DA">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设备</w:t>
            </w:r>
          </w:p>
          <w:p w14:paraId="3E8114FB">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（5分）</w:t>
            </w:r>
          </w:p>
        </w:tc>
        <w:tc>
          <w:tcPr>
            <w:tcW w:w="4678" w:type="dxa"/>
            <w:vAlign w:val="center"/>
          </w:tcPr>
          <w:p w14:paraId="790EB147">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使用淘汰落后安全技术工艺、设备目录列出的工艺及设备的，每一项扣2分；</w:t>
            </w:r>
          </w:p>
        </w:tc>
        <w:tc>
          <w:tcPr>
            <w:tcW w:w="5103" w:type="dxa"/>
          </w:tcPr>
          <w:p w14:paraId="43B3F7AA">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6A310CCC">
            <w:pPr>
              <w:spacing w:line="280" w:lineRule="exact"/>
              <w:textAlignment w:val="baseline"/>
              <w:rPr>
                <w:rFonts w:ascii="Times New Roman" w:hAnsi="Times New Roman" w:eastAsia="仿宋_GB2312" w:cs="Arial"/>
                <w:snapToGrid w:val="0"/>
                <w:kern w:val="0"/>
                <w:sz w:val="22"/>
                <w:szCs w:val="21"/>
              </w:rPr>
            </w:pPr>
          </w:p>
        </w:tc>
      </w:tr>
      <w:tr w14:paraId="016C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105" w:type="dxa"/>
            <w:vMerge w:val="continue"/>
            <w:vAlign w:val="center"/>
          </w:tcPr>
          <w:p w14:paraId="78AD0AA0">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217D87CD">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67CF77B2">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特种设备没有办理使用登记证书的，或者未按要求定期检验的，扣2分；</w:t>
            </w:r>
          </w:p>
        </w:tc>
        <w:tc>
          <w:tcPr>
            <w:tcW w:w="5103" w:type="dxa"/>
          </w:tcPr>
          <w:p w14:paraId="1D2FD8A9">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4F977B93">
            <w:pPr>
              <w:spacing w:line="280" w:lineRule="exact"/>
              <w:textAlignment w:val="baseline"/>
              <w:rPr>
                <w:rFonts w:ascii="Times New Roman" w:hAnsi="Times New Roman" w:eastAsia="仿宋_GB2312" w:cs="Arial"/>
                <w:snapToGrid w:val="0"/>
                <w:kern w:val="0"/>
                <w:sz w:val="22"/>
                <w:szCs w:val="21"/>
              </w:rPr>
            </w:pPr>
          </w:p>
        </w:tc>
      </w:tr>
      <w:tr w14:paraId="59EE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1105" w:type="dxa"/>
            <w:vMerge w:val="continue"/>
            <w:vAlign w:val="center"/>
          </w:tcPr>
          <w:p w14:paraId="3BB899C6">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33F02509">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1EC9A2FD">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化工生产装置未按国家标准要求设置双电源或者双回路供电的，扣5分。</w:t>
            </w:r>
          </w:p>
        </w:tc>
        <w:tc>
          <w:tcPr>
            <w:tcW w:w="5103" w:type="dxa"/>
          </w:tcPr>
          <w:p w14:paraId="387E79C9">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6712DE7F">
            <w:pPr>
              <w:spacing w:line="280" w:lineRule="exact"/>
              <w:textAlignment w:val="baseline"/>
              <w:rPr>
                <w:rFonts w:ascii="Times New Roman" w:hAnsi="Times New Roman" w:eastAsia="仿宋_GB2312" w:cs="Arial"/>
                <w:snapToGrid w:val="0"/>
                <w:kern w:val="0"/>
                <w:sz w:val="22"/>
                <w:szCs w:val="21"/>
              </w:rPr>
            </w:pPr>
          </w:p>
        </w:tc>
      </w:tr>
      <w:tr w14:paraId="220B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9" w:hRule="atLeast"/>
          <w:jc w:val="center"/>
        </w:trPr>
        <w:tc>
          <w:tcPr>
            <w:tcW w:w="1105" w:type="dxa"/>
            <w:vMerge w:val="restart"/>
            <w:vAlign w:val="center"/>
          </w:tcPr>
          <w:p w14:paraId="320DEF06">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5.自控与</w:t>
            </w:r>
          </w:p>
          <w:p w14:paraId="5B978754">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安全设施</w:t>
            </w:r>
          </w:p>
        </w:tc>
        <w:tc>
          <w:tcPr>
            <w:tcW w:w="2268" w:type="dxa"/>
            <w:vMerge w:val="restart"/>
            <w:vAlign w:val="center"/>
          </w:tcPr>
          <w:p w14:paraId="5F2F8CA9">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自控与安全设施</w:t>
            </w:r>
          </w:p>
          <w:p w14:paraId="3E3425DB">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（10分）</w:t>
            </w:r>
          </w:p>
        </w:tc>
        <w:tc>
          <w:tcPr>
            <w:tcW w:w="4678" w:type="dxa"/>
            <w:vAlign w:val="center"/>
          </w:tcPr>
          <w:p w14:paraId="719D2310">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涉及重点监管危险化工工艺的装置未按要求实现自动化控制，系统未实现紧急停车功能，装备的自动化控制系统、紧急停车系统未投入使用的，扣10分；</w:t>
            </w:r>
          </w:p>
        </w:tc>
        <w:tc>
          <w:tcPr>
            <w:tcW w:w="5103" w:type="dxa"/>
          </w:tcPr>
          <w:p w14:paraId="34571B38">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0CBBF74F">
            <w:pPr>
              <w:spacing w:line="280" w:lineRule="exact"/>
              <w:textAlignment w:val="baseline"/>
              <w:rPr>
                <w:rFonts w:ascii="Times New Roman" w:hAnsi="Times New Roman" w:eastAsia="仿宋_GB2312" w:cs="Arial"/>
                <w:snapToGrid w:val="0"/>
                <w:kern w:val="0"/>
                <w:sz w:val="22"/>
                <w:szCs w:val="21"/>
              </w:rPr>
            </w:pPr>
          </w:p>
        </w:tc>
      </w:tr>
      <w:tr w14:paraId="6E0D8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105" w:type="dxa"/>
            <w:vMerge w:val="continue"/>
            <w:vAlign w:val="center"/>
          </w:tcPr>
          <w:p w14:paraId="23F6D1B4">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4ED7BA4F">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45135352">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涉及毒性气体、液化气体、剧毒液体的一级、二级重大危险源的危险化学品罐区未配备独立的安全仪表系统的，扣10分；</w:t>
            </w:r>
          </w:p>
        </w:tc>
        <w:tc>
          <w:tcPr>
            <w:tcW w:w="5103" w:type="dxa"/>
          </w:tcPr>
          <w:p w14:paraId="11705CD7">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1EA654BC">
            <w:pPr>
              <w:spacing w:line="280" w:lineRule="exact"/>
              <w:textAlignment w:val="baseline"/>
              <w:rPr>
                <w:rFonts w:ascii="Times New Roman" w:hAnsi="Times New Roman" w:eastAsia="仿宋_GB2312" w:cs="Arial"/>
                <w:snapToGrid w:val="0"/>
                <w:kern w:val="0"/>
                <w:sz w:val="22"/>
                <w:szCs w:val="21"/>
              </w:rPr>
            </w:pPr>
          </w:p>
        </w:tc>
      </w:tr>
      <w:tr w14:paraId="3C69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105" w:type="dxa"/>
            <w:vMerge w:val="continue"/>
            <w:vAlign w:val="center"/>
          </w:tcPr>
          <w:p w14:paraId="17CF9A05">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125471E2">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4CA1AA31">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构成一级、二级重大危险源的危险化学品罐区未实现紧急切断功能的，扣5分；</w:t>
            </w:r>
          </w:p>
        </w:tc>
        <w:tc>
          <w:tcPr>
            <w:tcW w:w="5103" w:type="dxa"/>
          </w:tcPr>
          <w:p w14:paraId="710AF164">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4BDB7021">
            <w:pPr>
              <w:spacing w:line="280" w:lineRule="exact"/>
              <w:textAlignment w:val="baseline"/>
              <w:rPr>
                <w:rFonts w:ascii="Times New Roman" w:hAnsi="Times New Roman" w:eastAsia="仿宋_GB2312" w:cs="Arial"/>
                <w:snapToGrid w:val="0"/>
                <w:kern w:val="0"/>
                <w:sz w:val="22"/>
                <w:szCs w:val="21"/>
              </w:rPr>
            </w:pPr>
          </w:p>
        </w:tc>
      </w:tr>
      <w:tr w14:paraId="78A1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105" w:type="dxa"/>
            <w:vMerge w:val="continue"/>
            <w:vAlign w:val="center"/>
          </w:tcPr>
          <w:p w14:paraId="36F6B7B9">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31F2F685">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50E81CA4">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危险化学品重大危险源未设置压力、液位、温度远传监控和超限位报警装置的，每涉及一项扣1分；</w:t>
            </w:r>
          </w:p>
        </w:tc>
        <w:tc>
          <w:tcPr>
            <w:tcW w:w="5103" w:type="dxa"/>
          </w:tcPr>
          <w:p w14:paraId="739F8EA0">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4B2F822A">
            <w:pPr>
              <w:spacing w:line="280" w:lineRule="exact"/>
              <w:textAlignment w:val="baseline"/>
              <w:rPr>
                <w:rFonts w:ascii="Times New Roman" w:hAnsi="Times New Roman" w:eastAsia="仿宋_GB2312" w:cs="Arial"/>
                <w:snapToGrid w:val="0"/>
                <w:kern w:val="0"/>
                <w:sz w:val="22"/>
                <w:szCs w:val="21"/>
              </w:rPr>
            </w:pPr>
          </w:p>
        </w:tc>
      </w:tr>
      <w:tr w14:paraId="6939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9" w:hRule="atLeast"/>
          <w:jc w:val="center"/>
        </w:trPr>
        <w:tc>
          <w:tcPr>
            <w:tcW w:w="1105" w:type="dxa"/>
            <w:vMerge w:val="continue"/>
            <w:vAlign w:val="center"/>
          </w:tcPr>
          <w:p w14:paraId="6470753B">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494E4AD9">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5B9A4EAE">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涉及可燃和有毒有害气体泄漏的场所未按国家标准设置检测声光报警设施的，每一处扣1分；</w:t>
            </w:r>
          </w:p>
        </w:tc>
        <w:tc>
          <w:tcPr>
            <w:tcW w:w="5103" w:type="dxa"/>
          </w:tcPr>
          <w:p w14:paraId="49C95FF9">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4D73A979">
            <w:pPr>
              <w:spacing w:line="280" w:lineRule="exact"/>
              <w:textAlignment w:val="baseline"/>
              <w:rPr>
                <w:rFonts w:ascii="Times New Roman" w:hAnsi="Times New Roman" w:eastAsia="仿宋_GB2312" w:cs="Arial"/>
                <w:snapToGrid w:val="0"/>
                <w:kern w:val="0"/>
                <w:sz w:val="22"/>
                <w:szCs w:val="21"/>
              </w:rPr>
            </w:pPr>
          </w:p>
        </w:tc>
      </w:tr>
      <w:tr w14:paraId="44C8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5" w:type="dxa"/>
            <w:vMerge w:val="continue"/>
            <w:vAlign w:val="center"/>
          </w:tcPr>
          <w:p w14:paraId="5C45A11F">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764303BE">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03F375EE">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防爆区域未按国家标准安装使用防爆电气设备的，每一处扣1分；</w:t>
            </w:r>
          </w:p>
        </w:tc>
        <w:tc>
          <w:tcPr>
            <w:tcW w:w="5103" w:type="dxa"/>
          </w:tcPr>
          <w:p w14:paraId="2DFFE023">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4C466CCA">
            <w:pPr>
              <w:spacing w:line="280" w:lineRule="exact"/>
              <w:textAlignment w:val="baseline"/>
              <w:rPr>
                <w:rFonts w:ascii="Times New Roman" w:hAnsi="Times New Roman" w:eastAsia="仿宋_GB2312" w:cs="Arial"/>
                <w:snapToGrid w:val="0"/>
                <w:kern w:val="0"/>
                <w:sz w:val="22"/>
                <w:szCs w:val="21"/>
              </w:rPr>
            </w:pPr>
          </w:p>
        </w:tc>
      </w:tr>
      <w:tr w14:paraId="574E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105" w:type="dxa"/>
            <w:vMerge w:val="continue"/>
            <w:vAlign w:val="center"/>
          </w:tcPr>
          <w:p w14:paraId="56ED1988">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60F9568A">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5879C7B2">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甲类、乙类火灾危险性生产装置内设有办公室、操作室、固定操作岗位或休息室的，每涉及一处扣5分。</w:t>
            </w:r>
          </w:p>
        </w:tc>
        <w:tc>
          <w:tcPr>
            <w:tcW w:w="5103" w:type="dxa"/>
          </w:tcPr>
          <w:p w14:paraId="52EED027">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2EB455DD">
            <w:pPr>
              <w:spacing w:line="280" w:lineRule="exact"/>
              <w:textAlignment w:val="baseline"/>
              <w:rPr>
                <w:rFonts w:ascii="Times New Roman" w:hAnsi="Times New Roman" w:eastAsia="仿宋_GB2312" w:cs="Arial"/>
                <w:snapToGrid w:val="0"/>
                <w:kern w:val="0"/>
                <w:sz w:val="22"/>
                <w:szCs w:val="21"/>
              </w:rPr>
            </w:pPr>
          </w:p>
        </w:tc>
      </w:tr>
      <w:tr w14:paraId="4DF5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105" w:type="dxa"/>
            <w:vMerge w:val="restart"/>
            <w:vAlign w:val="center"/>
          </w:tcPr>
          <w:p w14:paraId="06797779">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6.人员资质</w:t>
            </w:r>
          </w:p>
        </w:tc>
        <w:tc>
          <w:tcPr>
            <w:tcW w:w="2268" w:type="dxa"/>
            <w:vMerge w:val="restart"/>
            <w:vAlign w:val="center"/>
          </w:tcPr>
          <w:p w14:paraId="7CE91B5E">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人员资质</w:t>
            </w:r>
          </w:p>
          <w:p w14:paraId="15CBF11E">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（15分）</w:t>
            </w:r>
          </w:p>
        </w:tc>
        <w:tc>
          <w:tcPr>
            <w:tcW w:w="4678" w:type="dxa"/>
            <w:vAlign w:val="center"/>
          </w:tcPr>
          <w:p w14:paraId="4BEDCB10">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企业主要负责人和安全生产管理人员未依法经考核合格的，每一人次扣5分；</w:t>
            </w:r>
          </w:p>
        </w:tc>
        <w:tc>
          <w:tcPr>
            <w:tcW w:w="5103" w:type="dxa"/>
          </w:tcPr>
          <w:p w14:paraId="7C94035E">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55523631">
            <w:pPr>
              <w:spacing w:line="280" w:lineRule="exact"/>
              <w:textAlignment w:val="baseline"/>
              <w:rPr>
                <w:rFonts w:ascii="Times New Roman" w:hAnsi="Times New Roman" w:eastAsia="仿宋_GB2312" w:cs="Arial"/>
                <w:snapToGrid w:val="0"/>
                <w:kern w:val="0"/>
                <w:sz w:val="22"/>
                <w:szCs w:val="21"/>
              </w:rPr>
            </w:pPr>
          </w:p>
        </w:tc>
      </w:tr>
      <w:tr w14:paraId="6447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30" w:hRule="atLeast"/>
          <w:jc w:val="center"/>
        </w:trPr>
        <w:tc>
          <w:tcPr>
            <w:tcW w:w="1105" w:type="dxa"/>
            <w:vMerge w:val="continue"/>
            <w:vAlign w:val="center"/>
          </w:tcPr>
          <w:p w14:paraId="6B734981">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40D7D02D">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325A20FF">
            <w:pPr>
              <w:spacing w:line="280" w:lineRule="exact"/>
              <w:textAlignment w:val="center"/>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企业专职安全生产管理人员不具备国民教育化工化学类（或安全工程）中等职业教育以上学历或者化工化学类中级以上专业技术职称的，每一人次扣5分；</w:t>
            </w:r>
          </w:p>
        </w:tc>
        <w:tc>
          <w:tcPr>
            <w:tcW w:w="5103" w:type="dxa"/>
          </w:tcPr>
          <w:p w14:paraId="46B09786">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7FB1D50E">
            <w:pPr>
              <w:spacing w:line="280" w:lineRule="exact"/>
              <w:textAlignment w:val="baseline"/>
              <w:rPr>
                <w:rFonts w:ascii="Times New Roman" w:hAnsi="Times New Roman" w:eastAsia="仿宋_GB2312" w:cs="Arial"/>
                <w:snapToGrid w:val="0"/>
                <w:kern w:val="0"/>
                <w:sz w:val="22"/>
                <w:szCs w:val="21"/>
              </w:rPr>
            </w:pPr>
          </w:p>
        </w:tc>
      </w:tr>
      <w:tr w14:paraId="67A3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1105" w:type="dxa"/>
            <w:vMerge w:val="continue"/>
            <w:vAlign w:val="center"/>
          </w:tcPr>
          <w:p w14:paraId="23C9AA77">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0A9D526D">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506FE61B">
            <w:pPr>
              <w:spacing w:line="280" w:lineRule="exact"/>
              <w:textAlignment w:val="center"/>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涉及“两重点一重大”装置的生产、设备及工艺专业管理人员不具有相应专业大专以上学历的，每一人次扣5分；</w:t>
            </w:r>
          </w:p>
        </w:tc>
        <w:tc>
          <w:tcPr>
            <w:tcW w:w="5103" w:type="dxa"/>
          </w:tcPr>
          <w:p w14:paraId="6FDB70B9">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50805E05">
            <w:pPr>
              <w:spacing w:line="280" w:lineRule="exact"/>
              <w:textAlignment w:val="baseline"/>
              <w:rPr>
                <w:rFonts w:ascii="Times New Roman" w:hAnsi="Times New Roman" w:eastAsia="仿宋_GB2312" w:cs="Arial"/>
                <w:snapToGrid w:val="0"/>
                <w:kern w:val="0"/>
                <w:sz w:val="22"/>
                <w:szCs w:val="21"/>
              </w:rPr>
            </w:pPr>
          </w:p>
        </w:tc>
      </w:tr>
      <w:tr w14:paraId="05FE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1105" w:type="dxa"/>
            <w:vMerge w:val="continue"/>
            <w:vAlign w:val="center"/>
          </w:tcPr>
          <w:p w14:paraId="1104D5CF">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018B1DBA">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51000C89">
            <w:pPr>
              <w:spacing w:line="280" w:lineRule="exact"/>
              <w:textAlignment w:val="center"/>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企业未按有关要求配备注册安全工程师的，扣3分；</w:t>
            </w:r>
          </w:p>
        </w:tc>
        <w:tc>
          <w:tcPr>
            <w:tcW w:w="5103" w:type="dxa"/>
          </w:tcPr>
          <w:p w14:paraId="09EDC4CE">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01A3DA66">
            <w:pPr>
              <w:spacing w:line="280" w:lineRule="exact"/>
              <w:textAlignment w:val="baseline"/>
              <w:rPr>
                <w:rFonts w:ascii="Times New Roman" w:hAnsi="Times New Roman" w:eastAsia="仿宋_GB2312" w:cs="Arial"/>
                <w:snapToGrid w:val="0"/>
                <w:kern w:val="0"/>
                <w:sz w:val="22"/>
                <w:szCs w:val="21"/>
              </w:rPr>
            </w:pPr>
          </w:p>
        </w:tc>
      </w:tr>
      <w:tr w14:paraId="17B6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105" w:type="dxa"/>
            <w:vMerge w:val="continue"/>
            <w:vAlign w:val="center"/>
          </w:tcPr>
          <w:p w14:paraId="003B2C64">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79229CFF">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3FEDEB0F">
            <w:pPr>
              <w:spacing w:line="280" w:lineRule="exact"/>
              <w:textAlignment w:val="center"/>
              <w:rPr>
                <w:rFonts w:ascii="Times New Roman" w:hAnsi="Times New Roman" w:eastAsia="仿宋_GB2312" w:cs="Arial"/>
                <w:b/>
                <w:snapToGrid w:val="0"/>
                <w:kern w:val="0"/>
                <w:sz w:val="22"/>
                <w:szCs w:val="21"/>
              </w:rPr>
            </w:pPr>
            <w:r>
              <w:rPr>
                <w:rFonts w:ascii="Times New Roman" w:hAnsi="Times New Roman" w:eastAsia="仿宋_GB2312" w:cs="Arial"/>
                <w:bCs/>
                <w:snapToGrid w:val="0"/>
                <w:kern w:val="0"/>
                <w:sz w:val="22"/>
                <w:szCs w:val="21"/>
              </w:rPr>
              <w:t>企业主要负责人、分管安全生产工作负责人、安全管理部门主要负责人为化学化工类专业毕业的，每一人次加2分。</w:t>
            </w:r>
          </w:p>
        </w:tc>
        <w:tc>
          <w:tcPr>
            <w:tcW w:w="5103" w:type="dxa"/>
          </w:tcPr>
          <w:p w14:paraId="255F7DFC">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5B70F6B9">
            <w:pPr>
              <w:spacing w:line="280" w:lineRule="exact"/>
              <w:textAlignment w:val="baseline"/>
              <w:rPr>
                <w:rFonts w:ascii="Times New Roman" w:hAnsi="Times New Roman" w:eastAsia="仿宋_GB2312" w:cs="Arial"/>
                <w:snapToGrid w:val="0"/>
                <w:kern w:val="0"/>
                <w:sz w:val="22"/>
                <w:szCs w:val="21"/>
              </w:rPr>
            </w:pPr>
          </w:p>
        </w:tc>
      </w:tr>
      <w:tr w14:paraId="1F16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4" w:hRule="atLeast"/>
          <w:jc w:val="center"/>
        </w:trPr>
        <w:tc>
          <w:tcPr>
            <w:tcW w:w="1105" w:type="dxa"/>
            <w:vMerge w:val="restart"/>
            <w:vAlign w:val="center"/>
          </w:tcPr>
          <w:p w14:paraId="3EAA3475">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7.安全管理制度</w:t>
            </w:r>
          </w:p>
        </w:tc>
        <w:tc>
          <w:tcPr>
            <w:tcW w:w="2268" w:type="dxa"/>
            <w:vMerge w:val="restart"/>
            <w:vAlign w:val="center"/>
          </w:tcPr>
          <w:p w14:paraId="22AB3928">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管理制度</w:t>
            </w:r>
          </w:p>
          <w:p w14:paraId="1DBC8668">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（10分）</w:t>
            </w:r>
          </w:p>
        </w:tc>
        <w:tc>
          <w:tcPr>
            <w:tcW w:w="4678" w:type="dxa"/>
            <w:vAlign w:val="center"/>
          </w:tcPr>
          <w:p w14:paraId="647CF335">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未制定操作规程和工艺控制指标或者制定的操作规程和工艺控制指标不完善的，扣5分；</w:t>
            </w:r>
          </w:p>
        </w:tc>
        <w:tc>
          <w:tcPr>
            <w:tcW w:w="5103" w:type="dxa"/>
          </w:tcPr>
          <w:p w14:paraId="288B37A2">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7FE21398">
            <w:pPr>
              <w:spacing w:line="280" w:lineRule="exact"/>
              <w:textAlignment w:val="baseline"/>
              <w:rPr>
                <w:rFonts w:ascii="Times New Roman" w:hAnsi="Times New Roman" w:eastAsia="仿宋_GB2312" w:cs="Arial"/>
                <w:snapToGrid w:val="0"/>
                <w:kern w:val="0"/>
                <w:sz w:val="22"/>
                <w:szCs w:val="21"/>
              </w:rPr>
            </w:pPr>
          </w:p>
        </w:tc>
      </w:tr>
      <w:tr w14:paraId="35B7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1105" w:type="dxa"/>
            <w:vMerge w:val="continue"/>
            <w:vAlign w:val="center"/>
          </w:tcPr>
          <w:p w14:paraId="45284BCE">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35F0F7E7">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78631921">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动火、进入受限空间等特殊作业管理制度不符合国家标准或未有效执行的，扣10分；</w:t>
            </w:r>
          </w:p>
        </w:tc>
        <w:tc>
          <w:tcPr>
            <w:tcW w:w="5103" w:type="dxa"/>
          </w:tcPr>
          <w:p w14:paraId="0CC7FA62">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6EDD2A96">
            <w:pPr>
              <w:spacing w:line="280" w:lineRule="exact"/>
              <w:textAlignment w:val="baseline"/>
              <w:rPr>
                <w:rFonts w:ascii="Times New Roman" w:hAnsi="Times New Roman" w:eastAsia="仿宋_GB2312" w:cs="Arial"/>
                <w:snapToGrid w:val="0"/>
                <w:kern w:val="0"/>
                <w:sz w:val="22"/>
                <w:szCs w:val="21"/>
              </w:rPr>
            </w:pPr>
          </w:p>
        </w:tc>
      </w:tr>
      <w:tr w14:paraId="77B0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105" w:type="dxa"/>
            <w:vMerge w:val="continue"/>
            <w:vAlign w:val="center"/>
          </w:tcPr>
          <w:p w14:paraId="611D1508">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33BCC859">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6C5EBC25">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未建立与岗位相匹配的全员安全生产责任制的，每涉及一个岗位扣2分。</w:t>
            </w:r>
          </w:p>
        </w:tc>
        <w:tc>
          <w:tcPr>
            <w:tcW w:w="5103" w:type="dxa"/>
          </w:tcPr>
          <w:p w14:paraId="0964D207">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7BDA104F">
            <w:pPr>
              <w:spacing w:line="280" w:lineRule="exact"/>
              <w:textAlignment w:val="baseline"/>
              <w:rPr>
                <w:rFonts w:ascii="Times New Roman" w:hAnsi="Times New Roman" w:eastAsia="仿宋_GB2312" w:cs="Arial"/>
                <w:snapToGrid w:val="0"/>
                <w:kern w:val="0"/>
                <w:sz w:val="22"/>
                <w:szCs w:val="21"/>
              </w:rPr>
            </w:pPr>
          </w:p>
        </w:tc>
      </w:tr>
      <w:tr w14:paraId="1E67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1105" w:type="dxa"/>
            <w:vAlign w:val="center"/>
          </w:tcPr>
          <w:p w14:paraId="4F41DAC4">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8.应急</w:t>
            </w:r>
          </w:p>
          <w:p w14:paraId="2C72668C">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管理</w:t>
            </w:r>
          </w:p>
        </w:tc>
        <w:tc>
          <w:tcPr>
            <w:tcW w:w="2268" w:type="dxa"/>
            <w:vAlign w:val="center"/>
          </w:tcPr>
          <w:p w14:paraId="3BD4DE6E">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应急配备</w:t>
            </w:r>
          </w:p>
        </w:tc>
        <w:tc>
          <w:tcPr>
            <w:tcW w:w="4678" w:type="dxa"/>
            <w:vAlign w:val="center"/>
          </w:tcPr>
          <w:p w14:paraId="7065E611">
            <w:pPr>
              <w:spacing w:line="280" w:lineRule="exact"/>
              <w:textAlignment w:val="baseline"/>
              <w:rPr>
                <w:rFonts w:ascii="Times New Roman" w:hAnsi="Times New Roman" w:eastAsia="仿宋_GB2312" w:cs="Arial"/>
                <w:bCs/>
                <w:snapToGrid w:val="0"/>
                <w:kern w:val="0"/>
                <w:sz w:val="22"/>
                <w:szCs w:val="21"/>
              </w:rPr>
            </w:pPr>
            <w:r>
              <w:rPr>
                <w:rFonts w:ascii="Times New Roman" w:hAnsi="Times New Roman" w:eastAsia="仿宋_GB2312" w:cs="Arial"/>
                <w:bCs/>
                <w:snapToGrid w:val="0"/>
                <w:kern w:val="0"/>
                <w:sz w:val="22"/>
                <w:szCs w:val="21"/>
              </w:rPr>
              <w:t>企业自设专职消防应急队伍的，加3分。</w:t>
            </w:r>
          </w:p>
        </w:tc>
        <w:tc>
          <w:tcPr>
            <w:tcW w:w="5103" w:type="dxa"/>
          </w:tcPr>
          <w:p w14:paraId="10381EA7">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53FCA58A">
            <w:pPr>
              <w:spacing w:line="280" w:lineRule="exact"/>
              <w:textAlignment w:val="baseline"/>
              <w:rPr>
                <w:rFonts w:ascii="Times New Roman" w:hAnsi="Times New Roman" w:eastAsia="仿宋_GB2312" w:cs="Arial"/>
                <w:snapToGrid w:val="0"/>
                <w:kern w:val="0"/>
                <w:sz w:val="22"/>
                <w:szCs w:val="21"/>
              </w:rPr>
            </w:pPr>
          </w:p>
        </w:tc>
      </w:tr>
      <w:tr w14:paraId="5D8C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jc w:val="center"/>
        </w:trPr>
        <w:tc>
          <w:tcPr>
            <w:tcW w:w="1105" w:type="dxa"/>
            <w:vMerge w:val="restart"/>
            <w:vAlign w:val="center"/>
          </w:tcPr>
          <w:p w14:paraId="01D2630E">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9.安全管理绩效</w:t>
            </w:r>
          </w:p>
        </w:tc>
        <w:tc>
          <w:tcPr>
            <w:tcW w:w="2268" w:type="dxa"/>
            <w:vMerge w:val="restart"/>
            <w:vAlign w:val="center"/>
          </w:tcPr>
          <w:p w14:paraId="7F2ED2EB">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安全生产标准化</w:t>
            </w:r>
          </w:p>
          <w:p w14:paraId="425E827A">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达标</w:t>
            </w:r>
          </w:p>
        </w:tc>
        <w:tc>
          <w:tcPr>
            <w:tcW w:w="4678" w:type="dxa"/>
            <w:vAlign w:val="center"/>
          </w:tcPr>
          <w:p w14:paraId="3EC04B87">
            <w:pPr>
              <w:spacing w:line="280" w:lineRule="exact"/>
              <w:textAlignment w:val="baseline"/>
              <w:rPr>
                <w:rFonts w:ascii="Times New Roman" w:hAnsi="Times New Roman" w:eastAsia="仿宋_GB2312" w:cs="Arial"/>
                <w:bCs/>
                <w:snapToGrid w:val="0"/>
                <w:kern w:val="0"/>
                <w:sz w:val="22"/>
                <w:szCs w:val="21"/>
              </w:rPr>
            </w:pPr>
            <w:r>
              <w:rPr>
                <w:rFonts w:ascii="Times New Roman" w:hAnsi="Times New Roman" w:eastAsia="仿宋_GB2312" w:cs="Arial"/>
                <w:bCs/>
                <w:snapToGrid w:val="0"/>
                <w:kern w:val="0"/>
                <w:sz w:val="22"/>
                <w:szCs w:val="21"/>
              </w:rPr>
              <w:t>安全生产标准化为一级的，加15分；</w:t>
            </w:r>
          </w:p>
        </w:tc>
        <w:tc>
          <w:tcPr>
            <w:tcW w:w="5103" w:type="dxa"/>
          </w:tcPr>
          <w:p w14:paraId="721E3F46">
            <w:pPr>
              <w:spacing w:line="280" w:lineRule="exact"/>
              <w:textAlignment w:val="baseline"/>
              <w:rPr>
                <w:rFonts w:ascii="Times New Roman" w:hAnsi="Times New Roman" w:eastAsia="仿宋_GB2312" w:cs="Arial"/>
                <w:snapToGrid w:val="0"/>
                <w:kern w:val="0"/>
                <w:sz w:val="22"/>
                <w:szCs w:val="21"/>
              </w:rPr>
            </w:pPr>
          </w:p>
        </w:tc>
        <w:tc>
          <w:tcPr>
            <w:tcW w:w="1311" w:type="dxa"/>
            <w:vAlign w:val="center"/>
          </w:tcPr>
          <w:p w14:paraId="0D6E5A57">
            <w:pPr>
              <w:spacing w:line="280" w:lineRule="exact"/>
              <w:textAlignment w:val="baseline"/>
              <w:rPr>
                <w:rFonts w:ascii="Times New Roman" w:hAnsi="Times New Roman" w:eastAsia="仿宋_GB2312" w:cs="Arial"/>
                <w:snapToGrid w:val="0"/>
                <w:kern w:val="0"/>
                <w:sz w:val="22"/>
                <w:szCs w:val="21"/>
              </w:rPr>
            </w:pPr>
          </w:p>
        </w:tc>
      </w:tr>
      <w:tr w14:paraId="1255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105" w:type="dxa"/>
            <w:vMerge w:val="continue"/>
            <w:vAlign w:val="center"/>
          </w:tcPr>
          <w:p w14:paraId="729C271F">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6B95C79F">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6C18063C">
            <w:pPr>
              <w:spacing w:line="280" w:lineRule="exact"/>
              <w:textAlignment w:val="baseline"/>
              <w:rPr>
                <w:rFonts w:ascii="Times New Roman" w:hAnsi="Times New Roman" w:eastAsia="仿宋_GB2312" w:cs="Arial"/>
                <w:bCs/>
                <w:snapToGrid w:val="0"/>
                <w:kern w:val="0"/>
                <w:sz w:val="22"/>
                <w:szCs w:val="21"/>
              </w:rPr>
            </w:pPr>
            <w:r>
              <w:rPr>
                <w:rFonts w:ascii="Times New Roman" w:hAnsi="Times New Roman" w:eastAsia="仿宋_GB2312" w:cs="Arial"/>
                <w:bCs/>
                <w:snapToGrid w:val="0"/>
                <w:kern w:val="0"/>
                <w:sz w:val="22"/>
                <w:szCs w:val="21"/>
              </w:rPr>
              <w:t>安全生产标准化为二级的，加5分；</w:t>
            </w:r>
          </w:p>
        </w:tc>
        <w:tc>
          <w:tcPr>
            <w:tcW w:w="5103" w:type="dxa"/>
          </w:tcPr>
          <w:p w14:paraId="70B42627">
            <w:pPr>
              <w:spacing w:line="280" w:lineRule="exact"/>
              <w:textAlignment w:val="baseline"/>
              <w:rPr>
                <w:rFonts w:ascii="Times New Roman" w:hAnsi="Times New Roman" w:eastAsia="仿宋_GB2312" w:cs="Arial"/>
                <w:snapToGrid w:val="0"/>
                <w:kern w:val="0"/>
                <w:sz w:val="22"/>
                <w:szCs w:val="21"/>
              </w:rPr>
            </w:pPr>
          </w:p>
        </w:tc>
        <w:tc>
          <w:tcPr>
            <w:tcW w:w="1311" w:type="dxa"/>
          </w:tcPr>
          <w:p w14:paraId="4A2897D5">
            <w:pPr>
              <w:spacing w:line="280" w:lineRule="exact"/>
              <w:textAlignment w:val="baseline"/>
              <w:rPr>
                <w:rFonts w:ascii="Times New Roman" w:hAnsi="Times New Roman" w:eastAsia="仿宋_GB2312" w:cs="Arial"/>
                <w:snapToGrid w:val="0"/>
                <w:kern w:val="0"/>
                <w:sz w:val="22"/>
                <w:szCs w:val="21"/>
              </w:rPr>
            </w:pPr>
          </w:p>
        </w:tc>
      </w:tr>
      <w:tr w14:paraId="7D9D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105" w:type="dxa"/>
            <w:vMerge w:val="continue"/>
            <w:vAlign w:val="center"/>
          </w:tcPr>
          <w:p w14:paraId="7D1AF18B">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0DB15603">
            <w:pPr>
              <w:spacing w:line="280" w:lineRule="exact"/>
              <w:textAlignment w:val="baseline"/>
              <w:rPr>
                <w:rFonts w:ascii="Times New Roman" w:hAnsi="Times New Roman" w:eastAsia="仿宋_GB2312" w:cs="Arial"/>
                <w:snapToGrid w:val="0"/>
                <w:kern w:val="0"/>
                <w:sz w:val="22"/>
                <w:szCs w:val="21"/>
              </w:rPr>
            </w:pPr>
          </w:p>
        </w:tc>
        <w:tc>
          <w:tcPr>
            <w:tcW w:w="4678" w:type="dxa"/>
            <w:vAlign w:val="center"/>
          </w:tcPr>
          <w:p w14:paraId="673D75F2">
            <w:pPr>
              <w:spacing w:line="280" w:lineRule="exact"/>
              <w:textAlignment w:val="baseline"/>
              <w:rPr>
                <w:rFonts w:ascii="Times New Roman" w:hAnsi="Times New Roman" w:eastAsia="仿宋_GB2312" w:cs="Arial"/>
                <w:bCs/>
                <w:snapToGrid w:val="0"/>
                <w:kern w:val="0"/>
                <w:sz w:val="22"/>
                <w:szCs w:val="21"/>
              </w:rPr>
            </w:pPr>
            <w:r>
              <w:rPr>
                <w:rFonts w:ascii="Times New Roman" w:hAnsi="Times New Roman" w:eastAsia="仿宋_GB2312" w:cs="Arial"/>
                <w:bCs/>
                <w:snapToGrid w:val="0"/>
                <w:kern w:val="0"/>
                <w:sz w:val="22"/>
                <w:szCs w:val="21"/>
              </w:rPr>
              <w:t>安全生产标准化为三级的，加2分。</w:t>
            </w:r>
          </w:p>
        </w:tc>
        <w:tc>
          <w:tcPr>
            <w:tcW w:w="5103" w:type="dxa"/>
          </w:tcPr>
          <w:p w14:paraId="3BE2C258">
            <w:pPr>
              <w:spacing w:line="280" w:lineRule="exact"/>
              <w:textAlignment w:val="baseline"/>
              <w:rPr>
                <w:rFonts w:ascii="Times New Roman" w:hAnsi="Times New Roman" w:eastAsia="仿宋_GB2312" w:cs="Arial"/>
                <w:snapToGrid w:val="0"/>
                <w:kern w:val="0"/>
                <w:sz w:val="22"/>
                <w:szCs w:val="21"/>
              </w:rPr>
            </w:pPr>
          </w:p>
        </w:tc>
        <w:tc>
          <w:tcPr>
            <w:tcW w:w="1311" w:type="dxa"/>
          </w:tcPr>
          <w:p w14:paraId="0546865C">
            <w:pPr>
              <w:spacing w:line="280" w:lineRule="exact"/>
              <w:textAlignment w:val="baseline"/>
              <w:rPr>
                <w:rFonts w:ascii="Times New Roman" w:hAnsi="Times New Roman" w:eastAsia="仿宋_GB2312" w:cs="Arial"/>
                <w:snapToGrid w:val="0"/>
                <w:kern w:val="0"/>
                <w:sz w:val="22"/>
                <w:szCs w:val="21"/>
              </w:rPr>
            </w:pPr>
          </w:p>
        </w:tc>
      </w:tr>
      <w:tr w14:paraId="1594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105" w:type="dxa"/>
            <w:vMerge w:val="continue"/>
            <w:vAlign w:val="center"/>
          </w:tcPr>
          <w:p w14:paraId="114CEDB0">
            <w:pPr>
              <w:spacing w:line="280" w:lineRule="exact"/>
              <w:textAlignment w:val="baseline"/>
              <w:rPr>
                <w:rFonts w:ascii="Times New Roman" w:hAnsi="Times New Roman" w:eastAsia="仿宋_GB2312" w:cs="Arial"/>
                <w:snapToGrid w:val="0"/>
                <w:kern w:val="0"/>
                <w:sz w:val="22"/>
                <w:szCs w:val="21"/>
              </w:rPr>
            </w:pPr>
          </w:p>
        </w:tc>
        <w:tc>
          <w:tcPr>
            <w:tcW w:w="2268" w:type="dxa"/>
            <w:vMerge w:val="restart"/>
            <w:vAlign w:val="center"/>
          </w:tcPr>
          <w:p w14:paraId="4F472D9D">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安全事故情况</w:t>
            </w:r>
          </w:p>
          <w:p w14:paraId="78ADAE1B">
            <w:pPr>
              <w:spacing w:line="280" w:lineRule="exact"/>
              <w:textAlignment w:val="baseline"/>
              <w:rPr>
                <w:rFonts w:ascii="Times New Roman" w:hAnsi="Times New Roman" w:eastAsia="仿宋_GB2312" w:cs="Arial"/>
                <w:snapToGrid w:val="0"/>
                <w:kern w:val="0"/>
                <w:sz w:val="22"/>
                <w:szCs w:val="21"/>
                <w:lang w:eastAsia="en-US"/>
              </w:rPr>
            </w:pPr>
            <w:r>
              <w:rPr>
                <w:rFonts w:ascii="Times New Roman" w:hAnsi="Times New Roman" w:eastAsia="仿宋_GB2312" w:cs="Arial"/>
                <w:snapToGrid w:val="0"/>
                <w:kern w:val="0"/>
                <w:sz w:val="22"/>
                <w:szCs w:val="21"/>
                <w:lang w:eastAsia="en-US"/>
              </w:rPr>
              <w:t>（10分）</w:t>
            </w:r>
          </w:p>
        </w:tc>
        <w:tc>
          <w:tcPr>
            <w:tcW w:w="4678" w:type="dxa"/>
            <w:vAlign w:val="center"/>
          </w:tcPr>
          <w:p w14:paraId="39FD4C5A">
            <w:pPr>
              <w:spacing w:line="280" w:lineRule="exact"/>
              <w:textAlignment w:val="baseline"/>
              <w:rPr>
                <w:rFonts w:ascii="Times New Roman" w:hAnsi="Times New Roman" w:eastAsia="仿宋_GB2312" w:cs="Arial"/>
                <w:snapToGrid w:val="0"/>
                <w:kern w:val="0"/>
                <w:sz w:val="22"/>
                <w:szCs w:val="21"/>
              </w:rPr>
            </w:pPr>
            <w:r>
              <w:rPr>
                <w:rFonts w:ascii="Times New Roman" w:hAnsi="Times New Roman" w:eastAsia="仿宋_GB2312" w:cs="Arial"/>
                <w:snapToGrid w:val="0"/>
                <w:kern w:val="0"/>
                <w:sz w:val="22"/>
                <w:szCs w:val="21"/>
              </w:rPr>
              <w:t>三年内发生过1起较大安全事故的，扣10分；</w:t>
            </w:r>
          </w:p>
        </w:tc>
        <w:tc>
          <w:tcPr>
            <w:tcW w:w="5103" w:type="dxa"/>
          </w:tcPr>
          <w:p w14:paraId="4566ECFD">
            <w:pPr>
              <w:spacing w:line="280" w:lineRule="exact"/>
              <w:textAlignment w:val="baseline"/>
              <w:rPr>
                <w:rFonts w:ascii="Times New Roman" w:hAnsi="Times New Roman" w:eastAsia="仿宋_GB2312" w:cs="Arial"/>
                <w:snapToGrid w:val="0"/>
                <w:kern w:val="0"/>
                <w:sz w:val="22"/>
                <w:szCs w:val="21"/>
              </w:rPr>
            </w:pPr>
          </w:p>
        </w:tc>
        <w:tc>
          <w:tcPr>
            <w:tcW w:w="1311" w:type="dxa"/>
          </w:tcPr>
          <w:p w14:paraId="189E8D04">
            <w:pPr>
              <w:spacing w:line="280" w:lineRule="exact"/>
              <w:textAlignment w:val="baseline"/>
              <w:rPr>
                <w:rFonts w:ascii="Times New Roman" w:hAnsi="Times New Roman" w:eastAsia="仿宋_GB2312" w:cs="Arial"/>
                <w:snapToGrid w:val="0"/>
                <w:kern w:val="0"/>
                <w:sz w:val="22"/>
                <w:szCs w:val="21"/>
              </w:rPr>
            </w:pPr>
          </w:p>
        </w:tc>
      </w:tr>
      <w:tr w14:paraId="517F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5" w:hRule="atLeast"/>
          <w:jc w:val="center"/>
        </w:trPr>
        <w:tc>
          <w:tcPr>
            <w:tcW w:w="1105" w:type="dxa"/>
            <w:vMerge w:val="continue"/>
            <w:vAlign w:val="center"/>
          </w:tcPr>
          <w:p w14:paraId="7D86D145">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38172E3E">
            <w:pPr>
              <w:spacing w:line="280" w:lineRule="exact"/>
              <w:textAlignment w:val="baseline"/>
              <w:rPr>
                <w:rFonts w:ascii="Times New Roman" w:hAnsi="Times New Roman" w:eastAsia="仿宋_GB2312" w:cs="Arial"/>
                <w:b/>
                <w:snapToGrid w:val="0"/>
                <w:kern w:val="0"/>
                <w:sz w:val="22"/>
                <w:szCs w:val="21"/>
              </w:rPr>
            </w:pPr>
          </w:p>
        </w:tc>
        <w:tc>
          <w:tcPr>
            <w:tcW w:w="4678" w:type="dxa"/>
            <w:vAlign w:val="center"/>
          </w:tcPr>
          <w:p w14:paraId="6C55C2D5">
            <w:pPr>
              <w:spacing w:line="280" w:lineRule="exact"/>
              <w:textAlignment w:val="baseline"/>
              <w:rPr>
                <w:rFonts w:ascii="Times New Roman" w:hAnsi="Times New Roman" w:eastAsia="仿宋_GB2312" w:cs="Arial"/>
                <w:b/>
                <w:snapToGrid w:val="0"/>
                <w:kern w:val="0"/>
                <w:sz w:val="22"/>
                <w:szCs w:val="21"/>
              </w:rPr>
            </w:pPr>
            <w:r>
              <w:rPr>
                <w:rFonts w:ascii="Times New Roman" w:hAnsi="Times New Roman" w:eastAsia="仿宋_GB2312" w:cs="Arial"/>
                <w:snapToGrid w:val="0"/>
                <w:kern w:val="0"/>
                <w:sz w:val="22"/>
                <w:szCs w:val="21"/>
              </w:rPr>
              <w:t>三年内发生过1起安全事故造成1-2人死亡的，扣8分；</w:t>
            </w:r>
          </w:p>
        </w:tc>
        <w:tc>
          <w:tcPr>
            <w:tcW w:w="5103" w:type="dxa"/>
          </w:tcPr>
          <w:p w14:paraId="31205C11">
            <w:pPr>
              <w:spacing w:line="280" w:lineRule="exact"/>
              <w:textAlignment w:val="baseline"/>
              <w:rPr>
                <w:rFonts w:ascii="Times New Roman" w:hAnsi="Times New Roman" w:eastAsia="仿宋_GB2312" w:cs="Arial"/>
                <w:snapToGrid w:val="0"/>
                <w:kern w:val="0"/>
                <w:sz w:val="22"/>
                <w:szCs w:val="21"/>
              </w:rPr>
            </w:pPr>
          </w:p>
        </w:tc>
        <w:tc>
          <w:tcPr>
            <w:tcW w:w="1311" w:type="dxa"/>
          </w:tcPr>
          <w:p w14:paraId="4178C73A">
            <w:pPr>
              <w:spacing w:line="280" w:lineRule="exact"/>
              <w:textAlignment w:val="baseline"/>
              <w:rPr>
                <w:rFonts w:ascii="Times New Roman" w:hAnsi="Times New Roman" w:eastAsia="仿宋_GB2312" w:cs="Arial"/>
                <w:snapToGrid w:val="0"/>
                <w:kern w:val="0"/>
                <w:sz w:val="22"/>
                <w:szCs w:val="21"/>
              </w:rPr>
            </w:pPr>
          </w:p>
        </w:tc>
      </w:tr>
      <w:tr w14:paraId="5D1D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105" w:type="dxa"/>
            <w:vMerge w:val="continue"/>
            <w:vAlign w:val="center"/>
          </w:tcPr>
          <w:p w14:paraId="2E1ED5C3">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6FFB587A">
            <w:pPr>
              <w:spacing w:line="280" w:lineRule="exact"/>
              <w:textAlignment w:val="baseline"/>
              <w:rPr>
                <w:rFonts w:ascii="Times New Roman" w:hAnsi="Times New Roman" w:eastAsia="仿宋_GB2312" w:cs="Arial"/>
                <w:b/>
                <w:snapToGrid w:val="0"/>
                <w:kern w:val="0"/>
                <w:sz w:val="22"/>
                <w:szCs w:val="21"/>
              </w:rPr>
            </w:pPr>
          </w:p>
        </w:tc>
        <w:tc>
          <w:tcPr>
            <w:tcW w:w="4678" w:type="dxa"/>
            <w:vAlign w:val="center"/>
          </w:tcPr>
          <w:p w14:paraId="187E3AD5">
            <w:pPr>
              <w:spacing w:line="280" w:lineRule="exact"/>
              <w:textAlignment w:val="baseline"/>
              <w:rPr>
                <w:rFonts w:ascii="Times New Roman" w:hAnsi="Times New Roman" w:eastAsia="仿宋_GB2312" w:cs="Arial"/>
                <w:b/>
                <w:snapToGrid w:val="0"/>
                <w:kern w:val="0"/>
                <w:sz w:val="22"/>
                <w:szCs w:val="21"/>
              </w:rPr>
            </w:pPr>
            <w:r>
              <w:rPr>
                <w:rFonts w:ascii="Times New Roman" w:hAnsi="Times New Roman" w:eastAsia="仿宋_GB2312" w:cs="Arial"/>
                <w:snapToGrid w:val="0"/>
                <w:kern w:val="0"/>
                <w:sz w:val="22"/>
                <w:szCs w:val="21"/>
              </w:rPr>
              <w:t>三年内发生过爆炸、着火、中毒等具有社会影响的安全事故，但未造成人员伤亡的，扣5分；</w:t>
            </w:r>
          </w:p>
        </w:tc>
        <w:tc>
          <w:tcPr>
            <w:tcW w:w="5103" w:type="dxa"/>
          </w:tcPr>
          <w:p w14:paraId="3DA3B041">
            <w:pPr>
              <w:spacing w:line="280" w:lineRule="exact"/>
              <w:textAlignment w:val="baseline"/>
              <w:rPr>
                <w:rFonts w:ascii="Times New Roman" w:hAnsi="Times New Roman" w:eastAsia="仿宋_GB2312" w:cs="Arial"/>
                <w:snapToGrid w:val="0"/>
                <w:kern w:val="0"/>
                <w:sz w:val="22"/>
                <w:szCs w:val="21"/>
              </w:rPr>
            </w:pPr>
          </w:p>
        </w:tc>
        <w:tc>
          <w:tcPr>
            <w:tcW w:w="1311" w:type="dxa"/>
          </w:tcPr>
          <w:p w14:paraId="4BAD9444">
            <w:pPr>
              <w:spacing w:line="280" w:lineRule="exact"/>
              <w:textAlignment w:val="baseline"/>
              <w:rPr>
                <w:rFonts w:ascii="Times New Roman" w:hAnsi="Times New Roman" w:eastAsia="仿宋_GB2312" w:cs="Arial"/>
                <w:snapToGrid w:val="0"/>
                <w:kern w:val="0"/>
                <w:sz w:val="22"/>
                <w:szCs w:val="21"/>
              </w:rPr>
            </w:pPr>
          </w:p>
        </w:tc>
      </w:tr>
      <w:tr w14:paraId="0D71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exact"/>
          <w:jc w:val="center"/>
        </w:trPr>
        <w:tc>
          <w:tcPr>
            <w:tcW w:w="1105" w:type="dxa"/>
            <w:vMerge w:val="continue"/>
            <w:vAlign w:val="center"/>
          </w:tcPr>
          <w:p w14:paraId="5AA94641">
            <w:pPr>
              <w:spacing w:line="280" w:lineRule="exact"/>
              <w:textAlignment w:val="baseline"/>
              <w:rPr>
                <w:rFonts w:ascii="Times New Roman" w:hAnsi="Times New Roman" w:eastAsia="仿宋_GB2312" w:cs="Arial"/>
                <w:snapToGrid w:val="0"/>
                <w:kern w:val="0"/>
                <w:sz w:val="22"/>
                <w:szCs w:val="21"/>
              </w:rPr>
            </w:pPr>
          </w:p>
        </w:tc>
        <w:tc>
          <w:tcPr>
            <w:tcW w:w="2268" w:type="dxa"/>
            <w:vMerge w:val="continue"/>
            <w:vAlign w:val="center"/>
          </w:tcPr>
          <w:p w14:paraId="2AF9138A">
            <w:pPr>
              <w:spacing w:line="280" w:lineRule="exact"/>
              <w:textAlignment w:val="baseline"/>
              <w:rPr>
                <w:rFonts w:ascii="Times New Roman" w:hAnsi="Times New Roman" w:eastAsia="仿宋_GB2312" w:cs="Arial"/>
                <w:b/>
                <w:snapToGrid w:val="0"/>
                <w:kern w:val="0"/>
                <w:sz w:val="22"/>
                <w:szCs w:val="21"/>
              </w:rPr>
            </w:pPr>
          </w:p>
        </w:tc>
        <w:tc>
          <w:tcPr>
            <w:tcW w:w="4678" w:type="dxa"/>
            <w:vAlign w:val="center"/>
          </w:tcPr>
          <w:p w14:paraId="306F6C80">
            <w:pPr>
              <w:spacing w:line="280" w:lineRule="exact"/>
              <w:textAlignment w:val="baseline"/>
              <w:rPr>
                <w:rFonts w:ascii="Times New Roman" w:hAnsi="Times New Roman" w:eastAsia="仿宋_GB2312" w:cs="Arial"/>
                <w:b/>
                <w:snapToGrid w:val="0"/>
                <w:kern w:val="0"/>
                <w:sz w:val="22"/>
                <w:szCs w:val="21"/>
              </w:rPr>
            </w:pPr>
            <w:r>
              <w:rPr>
                <w:rFonts w:ascii="Times New Roman" w:hAnsi="Times New Roman" w:eastAsia="仿宋_GB2312" w:cs="Arial"/>
                <w:bCs/>
                <w:snapToGrid w:val="0"/>
                <w:kern w:val="0"/>
                <w:sz w:val="22"/>
                <w:szCs w:val="21"/>
              </w:rPr>
              <w:t>五年内未发生安全事故的，加5分。</w:t>
            </w:r>
          </w:p>
        </w:tc>
        <w:tc>
          <w:tcPr>
            <w:tcW w:w="5103" w:type="dxa"/>
          </w:tcPr>
          <w:p w14:paraId="3DA23C66">
            <w:pPr>
              <w:spacing w:line="280" w:lineRule="exact"/>
              <w:textAlignment w:val="baseline"/>
              <w:rPr>
                <w:rFonts w:ascii="Times New Roman" w:hAnsi="Times New Roman" w:eastAsia="仿宋_GB2312" w:cs="Arial"/>
                <w:snapToGrid w:val="0"/>
                <w:kern w:val="0"/>
                <w:sz w:val="22"/>
                <w:szCs w:val="21"/>
              </w:rPr>
            </w:pPr>
          </w:p>
        </w:tc>
        <w:tc>
          <w:tcPr>
            <w:tcW w:w="1311" w:type="dxa"/>
          </w:tcPr>
          <w:p w14:paraId="13F3DCFD">
            <w:pPr>
              <w:spacing w:line="280" w:lineRule="exact"/>
              <w:textAlignment w:val="baseline"/>
              <w:rPr>
                <w:rFonts w:ascii="Times New Roman" w:hAnsi="Times New Roman" w:eastAsia="仿宋_GB2312" w:cs="Arial"/>
                <w:snapToGrid w:val="0"/>
                <w:kern w:val="0"/>
                <w:sz w:val="22"/>
                <w:szCs w:val="21"/>
              </w:rPr>
            </w:pPr>
          </w:p>
        </w:tc>
      </w:tr>
      <w:tr w14:paraId="268F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1105" w:type="dxa"/>
          </w:tcPr>
          <w:p w14:paraId="59D853CE">
            <w:pPr>
              <w:spacing w:line="280" w:lineRule="exact"/>
              <w:textAlignment w:val="baseline"/>
              <w:rPr>
                <w:rFonts w:ascii="Times New Roman" w:hAnsi="Times New Roman" w:eastAsia="黑体" w:cs="Arial"/>
                <w:snapToGrid w:val="0"/>
                <w:kern w:val="0"/>
                <w:sz w:val="28"/>
                <w:szCs w:val="28"/>
              </w:rPr>
            </w:pPr>
          </w:p>
        </w:tc>
        <w:tc>
          <w:tcPr>
            <w:tcW w:w="13360" w:type="dxa"/>
            <w:gridSpan w:val="4"/>
            <w:vAlign w:val="center"/>
          </w:tcPr>
          <w:p w14:paraId="5B13ED9C">
            <w:pPr>
              <w:spacing w:line="280" w:lineRule="exact"/>
              <w:textAlignment w:val="baseline"/>
              <w:rPr>
                <w:rFonts w:ascii="Times New Roman" w:hAnsi="Times New Roman" w:eastAsia="黑体" w:cs="Arial"/>
                <w:snapToGrid w:val="0"/>
                <w:kern w:val="0"/>
                <w:sz w:val="28"/>
                <w:szCs w:val="28"/>
              </w:rPr>
            </w:pPr>
            <w:r>
              <w:rPr>
                <w:rFonts w:ascii="Times New Roman" w:hAnsi="Times New Roman" w:eastAsia="黑体" w:cs="Arial"/>
                <w:snapToGrid w:val="0"/>
                <w:kern w:val="0"/>
                <w:sz w:val="28"/>
                <w:szCs w:val="28"/>
              </w:rPr>
              <w:t>存在下列情况之一的企业直接判定为红色（最高风险等级）</w:t>
            </w:r>
          </w:p>
        </w:tc>
      </w:tr>
      <w:tr w14:paraId="55E7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5" w:hRule="atLeast"/>
          <w:jc w:val="center"/>
        </w:trPr>
        <w:tc>
          <w:tcPr>
            <w:tcW w:w="8051" w:type="dxa"/>
            <w:gridSpan w:val="3"/>
            <w:vAlign w:val="center"/>
          </w:tcPr>
          <w:p w14:paraId="66CDD45E">
            <w:pPr>
              <w:spacing w:line="280" w:lineRule="exact"/>
              <w:rPr>
                <w:rFonts w:ascii="Times New Roman" w:hAnsi="Times New Roman" w:eastAsia="仿宋_GB2312" w:cs="Arial"/>
                <w:b/>
                <w:snapToGrid w:val="0"/>
                <w:kern w:val="0"/>
                <w:sz w:val="22"/>
                <w:szCs w:val="21"/>
              </w:rPr>
            </w:pPr>
            <w:r>
              <w:rPr>
                <w:rFonts w:ascii="Times New Roman" w:hAnsi="Times New Roman" w:eastAsia="仿宋_GB2312" w:cs="Arial"/>
                <w:b/>
                <w:snapToGrid w:val="0"/>
                <w:spacing w:val="-6"/>
                <w:kern w:val="0"/>
                <w:sz w:val="22"/>
                <w:szCs w:val="21"/>
              </w:rPr>
              <w:t>新开发的危险化学品生产工艺未经小试、中试和工业化试验直接进行工业化生产的；</w:t>
            </w:r>
          </w:p>
        </w:tc>
        <w:tc>
          <w:tcPr>
            <w:tcW w:w="5103" w:type="dxa"/>
          </w:tcPr>
          <w:p w14:paraId="015907B3">
            <w:pPr>
              <w:spacing w:line="280" w:lineRule="exact"/>
              <w:textAlignment w:val="baseline"/>
              <w:rPr>
                <w:rFonts w:ascii="Times New Roman" w:hAnsi="Times New Roman" w:eastAsia="仿宋_GB2312" w:cs="Arial"/>
                <w:snapToGrid w:val="0"/>
                <w:kern w:val="0"/>
                <w:sz w:val="22"/>
                <w:szCs w:val="21"/>
              </w:rPr>
            </w:pPr>
          </w:p>
        </w:tc>
        <w:tc>
          <w:tcPr>
            <w:tcW w:w="1311" w:type="dxa"/>
          </w:tcPr>
          <w:p w14:paraId="4F890092">
            <w:pPr>
              <w:spacing w:line="280" w:lineRule="exact"/>
              <w:textAlignment w:val="baseline"/>
              <w:rPr>
                <w:rFonts w:ascii="Times New Roman" w:hAnsi="Times New Roman" w:eastAsia="仿宋_GB2312" w:cs="Arial"/>
                <w:snapToGrid w:val="0"/>
                <w:kern w:val="0"/>
                <w:sz w:val="22"/>
                <w:szCs w:val="21"/>
              </w:rPr>
            </w:pPr>
          </w:p>
        </w:tc>
      </w:tr>
      <w:tr w14:paraId="5D1E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8051" w:type="dxa"/>
            <w:gridSpan w:val="3"/>
            <w:vAlign w:val="center"/>
          </w:tcPr>
          <w:p w14:paraId="34751856">
            <w:pPr>
              <w:spacing w:line="280" w:lineRule="exact"/>
              <w:textAlignment w:val="baseline"/>
              <w:rPr>
                <w:rFonts w:ascii="Times New Roman" w:hAnsi="Times New Roman" w:eastAsia="仿宋_GB2312" w:cs="Arial"/>
                <w:b/>
                <w:snapToGrid w:val="0"/>
                <w:kern w:val="0"/>
                <w:sz w:val="22"/>
                <w:szCs w:val="21"/>
              </w:rPr>
            </w:pPr>
            <w:r>
              <w:rPr>
                <w:rFonts w:ascii="Times New Roman" w:hAnsi="Times New Roman" w:eastAsia="仿宋_GB2312" w:cs="Arial"/>
                <w:b/>
                <w:snapToGrid w:val="0"/>
                <w:kern w:val="0"/>
                <w:sz w:val="22"/>
                <w:szCs w:val="21"/>
              </w:rPr>
              <w:t>在役化工装置未经正规设计且未进行安全设计诊断的；</w:t>
            </w:r>
          </w:p>
        </w:tc>
        <w:tc>
          <w:tcPr>
            <w:tcW w:w="5103" w:type="dxa"/>
          </w:tcPr>
          <w:p w14:paraId="0B335983">
            <w:pPr>
              <w:spacing w:line="280" w:lineRule="exact"/>
              <w:textAlignment w:val="baseline"/>
              <w:rPr>
                <w:rFonts w:ascii="Times New Roman" w:hAnsi="Times New Roman" w:eastAsia="仿宋_GB2312" w:cs="Arial"/>
                <w:snapToGrid w:val="0"/>
                <w:kern w:val="0"/>
                <w:sz w:val="22"/>
                <w:szCs w:val="21"/>
              </w:rPr>
            </w:pPr>
          </w:p>
        </w:tc>
        <w:tc>
          <w:tcPr>
            <w:tcW w:w="1311" w:type="dxa"/>
          </w:tcPr>
          <w:p w14:paraId="4BFDA7E4">
            <w:pPr>
              <w:spacing w:line="280" w:lineRule="exact"/>
              <w:textAlignment w:val="baseline"/>
              <w:rPr>
                <w:rFonts w:ascii="Times New Roman" w:hAnsi="Times New Roman" w:eastAsia="仿宋_GB2312" w:cs="Arial"/>
                <w:snapToGrid w:val="0"/>
                <w:kern w:val="0"/>
                <w:sz w:val="22"/>
                <w:szCs w:val="21"/>
              </w:rPr>
            </w:pPr>
          </w:p>
        </w:tc>
      </w:tr>
      <w:tr w14:paraId="350F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8051" w:type="dxa"/>
            <w:gridSpan w:val="3"/>
            <w:vAlign w:val="center"/>
          </w:tcPr>
          <w:p w14:paraId="0042A265">
            <w:pPr>
              <w:spacing w:line="280" w:lineRule="exact"/>
              <w:textAlignment w:val="baseline"/>
              <w:rPr>
                <w:rFonts w:ascii="Times New Roman" w:hAnsi="Times New Roman" w:eastAsia="仿宋_GB2312" w:cs="Arial"/>
                <w:b/>
                <w:snapToGrid w:val="0"/>
                <w:kern w:val="0"/>
                <w:sz w:val="22"/>
                <w:szCs w:val="21"/>
              </w:rPr>
            </w:pPr>
            <w:r>
              <w:rPr>
                <w:rFonts w:ascii="Times New Roman" w:hAnsi="Times New Roman" w:eastAsia="仿宋_GB2312" w:cs="Arial"/>
                <w:b/>
                <w:snapToGrid w:val="0"/>
                <w:kern w:val="0"/>
                <w:sz w:val="22"/>
                <w:szCs w:val="21"/>
              </w:rPr>
              <w:t>危险化学品特种作业人员未持有效证件上岗或者未达到高中以上文化程度的；</w:t>
            </w:r>
          </w:p>
        </w:tc>
        <w:tc>
          <w:tcPr>
            <w:tcW w:w="5103" w:type="dxa"/>
          </w:tcPr>
          <w:p w14:paraId="175CC00E">
            <w:pPr>
              <w:spacing w:line="280" w:lineRule="exact"/>
              <w:textAlignment w:val="baseline"/>
              <w:rPr>
                <w:rFonts w:ascii="Times New Roman" w:hAnsi="Times New Roman" w:eastAsia="仿宋_GB2312" w:cs="Arial"/>
                <w:snapToGrid w:val="0"/>
                <w:kern w:val="0"/>
                <w:sz w:val="22"/>
                <w:szCs w:val="21"/>
              </w:rPr>
            </w:pPr>
          </w:p>
        </w:tc>
        <w:tc>
          <w:tcPr>
            <w:tcW w:w="1311" w:type="dxa"/>
          </w:tcPr>
          <w:p w14:paraId="5C4097E0">
            <w:pPr>
              <w:spacing w:line="280" w:lineRule="exact"/>
              <w:textAlignment w:val="baseline"/>
              <w:rPr>
                <w:rFonts w:ascii="Times New Roman" w:hAnsi="Times New Roman" w:eastAsia="仿宋_GB2312" w:cs="Arial"/>
                <w:snapToGrid w:val="0"/>
                <w:kern w:val="0"/>
                <w:sz w:val="22"/>
                <w:szCs w:val="21"/>
              </w:rPr>
            </w:pPr>
          </w:p>
        </w:tc>
      </w:tr>
      <w:tr w14:paraId="5255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8051" w:type="dxa"/>
            <w:gridSpan w:val="3"/>
            <w:vAlign w:val="center"/>
          </w:tcPr>
          <w:p w14:paraId="2968DEA6">
            <w:pPr>
              <w:spacing w:line="280" w:lineRule="exact"/>
              <w:rPr>
                <w:rFonts w:ascii="Times New Roman" w:hAnsi="Times New Roman" w:eastAsia="仿宋_GB2312" w:cs="Arial"/>
                <w:b/>
                <w:snapToGrid w:val="0"/>
                <w:kern w:val="0"/>
                <w:sz w:val="22"/>
                <w:szCs w:val="21"/>
              </w:rPr>
            </w:pPr>
            <w:r>
              <w:rPr>
                <w:rFonts w:ascii="Times New Roman" w:hAnsi="Times New Roman" w:eastAsia="仿宋_GB2312" w:cs="Arial"/>
                <w:b/>
                <w:snapToGrid w:val="0"/>
                <w:kern w:val="0"/>
                <w:sz w:val="22"/>
                <w:szCs w:val="21"/>
              </w:rPr>
              <w:t>三年内发生过重大以上安全事故的，或者三年内发生2起较大安全事故，或者近一年内发生2起以上亡人一般安全事故的。</w:t>
            </w:r>
          </w:p>
        </w:tc>
        <w:tc>
          <w:tcPr>
            <w:tcW w:w="5103" w:type="dxa"/>
          </w:tcPr>
          <w:p w14:paraId="37325189">
            <w:pPr>
              <w:spacing w:line="280" w:lineRule="exact"/>
              <w:textAlignment w:val="baseline"/>
              <w:rPr>
                <w:rFonts w:ascii="Times New Roman" w:hAnsi="Times New Roman" w:eastAsia="仿宋_GB2312" w:cs="Arial"/>
                <w:snapToGrid w:val="0"/>
                <w:kern w:val="0"/>
                <w:sz w:val="22"/>
                <w:szCs w:val="21"/>
              </w:rPr>
            </w:pPr>
          </w:p>
        </w:tc>
        <w:tc>
          <w:tcPr>
            <w:tcW w:w="1311" w:type="dxa"/>
          </w:tcPr>
          <w:p w14:paraId="206EB656">
            <w:pPr>
              <w:spacing w:line="280" w:lineRule="exact"/>
              <w:textAlignment w:val="baseline"/>
              <w:rPr>
                <w:rFonts w:ascii="Times New Roman" w:hAnsi="Times New Roman" w:eastAsia="仿宋_GB2312" w:cs="Arial"/>
                <w:snapToGrid w:val="0"/>
                <w:kern w:val="0"/>
                <w:sz w:val="22"/>
                <w:szCs w:val="21"/>
              </w:rPr>
            </w:pPr>
          </w:p>
        </w:tc>
      </w:tr>
      <w:tr w14:paraId="3F4F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45" w:hRule="atLeast"/>
          <w:jc w:val="center"/>
        </w:trPr>
        <w:tc>
          <w:tcPr>
            <w:tcW w:w="14465" w:type="dxa"/>
            <w:gridSpan w:val="5"/>
          </w:tcPr>
          <w:p w14:paraId="3CA3ECC9">
            <w:pPr>
              <w:spacing w:line="280" w:lineRule="exact"/>
              <w:textAlignment w:val="baseline"/>
              <w:rPr>
                <w:rFonts w:ascii="Times New Roman" w:hAnsi="Times New Roman" w:eastAsia="仿宋_GB2312" w:cs="Arial"/>
                <w:snapToGrid w:val="0"/>
                <w:kern w:val="0"/>
                <w:sz w:val="22"/>
                <w:szCs w:val="30"/>
              </w:rPr>
            </w:pPr>
            <w:r>
              <w:rPr>
                <w:rFonts w:ascii="Times New Roman" w:hAnsi="Times New Roman" w:eastAsia="仿宋_GB2312" w:cs="Arial"/>
                <w:snapToGrid w:val="0"/>
                <w:kern w:val="0"/>
                <w:sz w:val="22"/>
                <w:szCs w:val="30"/>
              </w:rPr>
              <w:t>备注：</w:t>
            </w:r>
          </w:p>
          <w:p w14:paraId="77BFA2F3">
            <w:pPr>
              <w:spacing w:line="280" w:lineRule="exact"/>
              <w:textAlignment w:val="baseline"/>
              <w:rPr>
                <w:rFonts w:ascii="Times New Roman" w:hAnsi="Times New Roman" w:eastAsia="楷体_GB2312" w:cs="Arial"/>
                <w:bCs/>
                <w:snapToGrid w:val="0"/>
                <w:kern w:val="0"/>
                <w:sz w:val="22"/>
                <w:szCs w:val="30"/>
              </w:rPr>
            </w:pPr>
            <w:r>
              <w:rPr>
                <w:rFonts w:ascii="Times New Roman" w:hAnsi="Times New Roman" w:eastAsia="楷体_GB2312" w:cs="Arial"/>
                <w:bCs/>
                <w:snapToGrid w:val="0"/>
                <w:kern w:val="0"/>
                <w:sz w:val="22"/>
                <w:szCs w:val="30"/>
              </w:rPr>
              <w:t>1.安全风险从高到低依次对应为红色、橙色、黄色、蓝色。总分在90分以上（含90分）的为蓝色；75分（含75分）至89分的为黄色；60分（含60分）至74分的为橙色；60分以下的为红色。</w:t>
            </w:r>
          </w:p>
          <w:p w14:paraId="0DDB2C82">
            <w:pPr>
              <w:spacing w:line="280" w:lineRule="exact"/>
              <w:textAlignment w:val="baseline"/>
              <w:rPr>
                <w:rFonts w:ascii="Times New Roman" w:hAnsi="Times New Roman" w:eastAsia="楷体_GB2312" w:cs="Arial"/>
                <w:bCs/>
                <w:snapToGrid w:val="0"/>
                <w:kern w:val="0"/>
                <w:sz w:val="22"/>
                <w:szCs w:val="30"/>
              </w:rPr>
            </w:pPr>
            <w:r>
              <w:rPr>
                <w:rFonts w:ascii="Times New Roman" w:hAnsi="Times New Roman" w:eastAsia="楷体_GB2312" w:cs="Arial"/>
                <w:bCs/>
                <w:snapToGrid w:val="0"/>
                <w:kern w:val="0"/>
                <w:sz w:val="22"/>
                <w:szCs w:val="30"/>
              </w:rPr>
              <w:t>2.每个项目分值扣完为止，最低为0分。</w:t>
            </w:r>
          </w:p>
          <w:p w14:paraId="2C471DD1">
            <w:pPr>
              <w:spacing w:line="280" w:lineRule="exact"/>
              <w:rPr>
                <w:rFonts w:ascii="Times New Roman" w:hAnsi="Times New Roman" w:eastAsia="楷体_GB2312" w:cs="Arial"/>
                <w:bCs/>
                <w:snapToGrid w:val="0"/>
                <w:kern w:val="0"/>
                <w:sz w:val="22"/>
                <w:szCs w:val="30"/>
              </w:rPr>
            </w:pPr>
            <w:r>
              <w:rPr>
                <w:rFonts w:ascii="Times New Roman" w:hAnsi="Times New Roman" w:eastAsia="楷体_GB2312" w:cs="Arial"/>
                <w:bCs/>
                <w:snapToGrid w:val="0"/>
                <w:kern w:val="0"/>
                <w:sz w:val="22"/>
                <w:szCs w:val="30"/>
              </w:rPr>
              <w:t>3.储存企业指带储存的经营企业。</w:t>
            </w:r>
          </w:p>
        </w:tc>
      </w:tr>
    </w:tbl>
    <w:p w14:paraId="6D38D301">
      <w:pPr>
        <w:rPr>
          <w:rFonts w:ascii="Times New Roman"/>
        </w:rPr>
        <w:sectPr>
          <w:pgSz w:w="16838" w:h="11906" w:orient="landscape"/>
          <w:pgMar w:top="1800" w:right="1440" w:bottom="1800" w:left="1440" w:header="851" w:footer="992" w:gutter="0"/>
          <w:cols w:space="720" w:num="1"/>
          <w:docGrid w:type="lines" w:linePitch="312" w:charSpace="0"/>
        </w:sectPr>
      </w:pPr>
    </w:p>
    <w:p w14:paraId="3803CE3E">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16" w:name="_Toc806894646"/>
      <w:r>
        <w:rPr>
          <w:rFonts w:ascii="Times New Roman" w:hAnsi="Times New Roman" w:eastAsia="方正小标宋简体" w:cs="Arial"/>
          <w:snapToGrid w:val="0"/>
          <w:kern w:val="0"/>
          <w:sz w:val="44"/>
          <w:szCs w:val="21"/>
        </w:rPr>
        <w:t>安全生产隐患排查治理制度</w:t>
      </w:r>
      <w:bookmarkEnd w:id="16"/>
    </w:p>
    <w:p w14:paraId="050BE430">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43DB9B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3F0B594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进一步落实化工园区安全管理责任，强化化工园区对各生产企业的管理控制和全过程、全方位、全覆盖的化工园区安全管理，将事故预防、隐患治理工作科学化、信息化、标准化，杜绝化工园区各企业生产安全事故的发生，根据《中华人民共和国安全生产法》《危险化学品安全管理条例》《国务院安委会办公室关于实施遏制重特大事故工作指南构建双重预防机制的意见》《危险化学品重大危险源辨识》《化工园区安全风险排查治理导则》</w:t>
      </w:r>
      <w:bookmarkStart w:id="17" w:name="OLE_LINK4"/>
      <w:r>
        <w:rPr>
          <w:rFonts w:ascii="Times New Roman" w:hAnsi="Times New Roman" w:eastAsia="仿宋" w:cs="Arial"/>
          <w:snapToGrid w:val="0"/>
          <w:kern w:val="0"/>
          <w:sz w:val="32"/>
          <w:szCs w:val="21"/>
        </w:rPr>
        <w:t>《危险化学品企业安全风险隐患排查治理导则》</w:t>
      </w:r>
      <w:bookmarkEnd w:id="17"/>
      <w:r>
        <w:rPr>
          <w:rFonts w:ascii="Times New Roman" w:hAnsi="Times New Roman" w:eastAsia="仿宋" w:cs="Arial"/>
          <w:snapToGrid w:val="0"/>
          <w:kern w:val="0"/>
          <w:sz w:val="32"/>
          <w:szCs w:val="21"/>
        </w:rPr>
        <w:t>等法律法规、文件要求，特制定常德经济技术开发区（枫树岗化工片区）（以下简称“化工园区”）安全生产隐患排查治理制度。</w:t>
      </w:r>
    </w:p>
    <w:p w14:paraId="316C0B6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本制度适用于化工园区内企业管理。化工园区外的工业企业可参照执行。</w:t>
      </w:r>
    </w:p>
    <w:p w14:paraId="18FE1A6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工作职责</w:t>
      </w:r>
    </w:p>
    <w:p w14:paraId="6747ACC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1、产业发展局（安全监管局）职责：负责安全生产隐患排查治理制度的修订，开展安全生产事故隐患排查治理和日常监督管理工作。</w:t>
      </w:r>
    </w:p>
    <w:p w14:paraId="43BCDD9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2、企业职责：生产经营单位应当建立健全事故隐患排查治理制度，主要负责人对本单位事故隐患排查治理工作全面负责。</w:t>
      </w:r>
    </w:p>
    <w:p w14:paraId="3F8E78CC">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安全生产事故隐患定义</w:t>
      </w:r>
    </w:p>
    <w:p w14:paraId="57BCFCC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安全生产事故隐患（以下简称事故隐患），是指生产经营单位违反安全生产法律法规、规章、标准、规程和安全生产管理制度的制度，或者因其他因素在生产经营活动中存在可能导致事故发生的物的危险状态、人的不安全行为和管理上的缺陷。</w:t>
      </w:r>
    </w:p>
    <w:p w14:paraId="08395F5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1、危及安全生产的不安全因素或重大险情；</w:t>
      </w:r>
    </w:p>
    <w:p w14:paraId="1C0C582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2、可能导致事故发生和危害扩大的设计缺陷、工艺缺陷、设备缺陷等；</w:t>
      </w:r>
    </w:p>
    <w:p w14:paraId="209F13E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3、建设、施工、检修过程中可能发生的各种能量伤害；</w:t>
      </w:r>
    </w:p>
    <w:p w14:paraId="11CA89A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4、停工、生产、开工阶段可能发生的泄漏、火灾、爆炸、中毒；</w:t>
      </w:r>
    </w:p>
    <w:p w14:paraId="220FF9F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5、可能造成职业病、职业中毒的劳动环境和作业条件；</w:t>
      </w:r>
    </w:p>
    <w:p w14:paraId="59F4CC2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6、在敏感地区进行作业活动可能导致的重大污染；</w:t>
      </w:r>
    </w:p>
    <w:p w14:paraId="1F48A4B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7、丢弃、废弃、拆除与处理活动（包括停用报废装置设备的拆除，废弃危险化学品的处理等）；</w:t>
      </w:r>
    </w:p>
    <w:p w14:paraId="40E41BA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8、可能造成环境污染和生态破坏的活动、过程、产品和服务；</w:t>
      </w:r>
    </w:p>
    <w:p w14:paraId="0A05DCB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9、以往生产活动遗留下来的潜在危害和影响。</w:t>
      </w:r>
    </w:p>
    <w:p w14:paraId="1DF031EB">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事故隐患排查及分类</w:t>
      </w:r>
    </w:p>
    <w:p w14:paraId="22B7C00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产业发展局（安全监管局）根据本部门安全监督管理工作职责，合理地制定年度监督检查计划，确定检查重点。年度检查监督计划应结合《安全风险分级管控制度》要求进行安排。</w:t>
      </w:r>
    </w:p>
    <w:p w14:paraId="7E4E236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检查频次、检查重点等方面实行差异化管理。</w:t>
      </w:r>
    </w:p>
    <w:p w14:paraId="16B1315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1、对蓝色级别企业每年检查不少于1次，鼓励企业强化自主管理；</w:t>
      </w:r>
    </w:p>
    <w:p w14:paraId="26BE811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2、对黄色级别企业每半年检查不少于1次，加强政策辅导宣讲和指导服务，促进企业提升安全管理水平；</w:t>
      </w:r>
    </w:p>
    <w:p w14:paraId="756B28D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3、对橙色级别企业每季度检查不少于1次，必要时可适当增加频次，推动企业改善安全生产条件；</w:t>
      </w:r>
    </w:p>
    <w:p w14:paraId="2B09D57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4、对红色级别企业每月检查不少于1次，进行重点监管检查，督促企业采取有效的安全风险控制措施，努力降低安全生产风险；</w:t>
      </w:r>
    </w:p>
    <w:p w14:paraId="334FBDC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5、对涉及“两重点一重大”企业实施“五个必查”：新改扩建项目安全设施设计必查、自动化控制系统运行必查、安全间距合规性必查、特种作业人员持证必查、应急预案演练记录必查。</w:t>
      </w:r>
    </w:p>
    <w:p w14:paraId="152F687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专家服务。产业发展局（安全监管局）根据工作需要和监管重点每年度适时组织第三方或安全专家开展安全监管隐患排查，第三方单位或安全专家根据检查结果对园区内企业事故隐患排查治理情况进行统计分析，针对存在的问题制定相应的对策措施。</w:t>
      </w:r>
    </w:p>
    <w:p w14:paraId="56C64390">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重大隐患排查治理</w:t>
      </w:r>
    </w:p>
    <w:p w14:paraId="0F1AD1F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鉴于重大事故隐患危害性大、整改难度高，可能引发重特大事故，需进行更为严格、规范的管理。本部分对重大事故隐患的辨识、报告、治理、验收等流程作出专项规定：</w:t>
      </w:r>
    </w:p>
    <w:p w14:paraId="12F5C4B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1、‌辨识‌</w:t>
      </w:r>
    </w:p>
    <w:p w14:paraId="7988DEC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（1）产业发展局（安全监管局）承担化工园区企业重大事故隐患辨识的监督职责，应依据国家及地方相关法规标准，结合企业生产工艺、设备设施、安全管理现状，定期组织开展重大事故隐患的排查辨识。</w:t>
      </w:r>
    </w:p>
    <w:p w14:paraId="12D8200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（2）产业发展局（安全监管局）在检查过程中对初步判定为重大事故隐患的事项，‌必须组织内部专业技术人员或聘请具备资质的安全评价机构、注册安全工程师等第三方技术力量进行复核评估确认‌。</w:t>
      </w:r>
    </w:p>
    <w:p w14:paraId="0851D0B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2、报告‌</w:t>
      </w:r>
    </w:p>
    <w:p w14:paraId="45C0AEF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经确认的重大事故隐患，产业发展局（安全监管局）要立即向常德市应急管理部门报告。</w:t>
      </w:r>
    </w:p>
    <w:p w14:paraId="0C05BD5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3、治理</w:t>
      </w:r>
    </w:p>
    <w:p w14:paraId="533E34A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（1）产业发展局（安全监管局）要督促企业主要负责人亲自组织制定重大事故隐患治理方案。</w:t>
      </w:r>
    </w:p>
    <w:p w14:paraId="147700C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（2）企业对重大事故隐患的治理方案应经过企业技术负责人和安全负责人审核，并报产业发展局（安全监管局）备案。涉及复杂技术难题的，应组织专家论证。</w:t>
      </w:r>
    </w:p>
    <w:p w14:paraId="346498E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（3）产业发展局（安全监管局）在企业‌治理重大事故隐患的过程中，要定期了解企业治理的进展情况，对重大事故隐患治理实行跟踪监控。</w:t>
      </w:r>
    </w:p>
    <w:p w14:paraId="124B610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（4）对需局部停产停业或全部停产停业治理的重大隐患，产业发展局（安全监管局）督促企业必须严格执行停产停业决定，撤出危险区域内人员，设置警示标志，并落实安全监控和应急值守措施。</w:t>
      </w:r>
    </w:p>
    <w:p w14:paraId="70D6852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（5）针对暂时难以停产停业的相关装置、设施、设备，产业发展局（安全监管局）督促企业必须制定并落实可靠的安全保障措施和应急预案，加强维护保养和巡查频次。</w:t>
      </w:r>
    </w:p>
    <w:p w14:paraId="70BF6F8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（6）产业发展局（安全监管局）根据治理难度和风险状况，增加现场检查频次或派驻专家指导。</w:t>
      </w:r>
    </w:p>
    <w:p w14:paraId="7B257A3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4、‌验收‌</w:t>
      </w:r>
    </w:p>
    <w:p w14:paraId="67CE351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重大事故隐患治理完成后，经企业组织内部验收‌，确认隐患已消除。产业发展局（安全监管局）根据企业治理方案执行情况、自验报告、整改前后对比资料、相关检测检验报告等材料，适情‌组织行业相关主管部门及安全专家组成联合验收组‌，进行现场核查和评估。</w:t>
      </w:r>
    </w:p>
    <w:p w14:paraId="6CD6CA1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（2）验收合格的，同意恢复相关生产经营活动。</w:t>
      </w:r>
    </w:p>
    <w:p w14:paraId="0713599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（3）验收不合格的，产业发展局（安全监管局）责令企业继续整改或重新制定治理方案，并依法给予相应处理。对整改无望或拒不整改的，按相关规定严肃处理直至提请关闭。</w:t>
      </w:r>
    </w:p>
    <w:p w14:paraId="0C61380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5、‌档案管理‌</w:t>
      </w:r>
    </w:p>
    <w:p w14:paraId="08ADFD5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（1）产业发展局（安全监管局）应建立重大事故隐患专项档案。档案应包括隐患基本信息、评估确认材料、治理方案、过程监控记录、验收申请、验收报告等全过程的详细资料。</w:t>
      </w:r>
    </w:p>
    <w:p w14:paraId="15DBD17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（2）重大事故隐患档案应长期保存。</w:t>
      </w:r>
    </w:p>
    <w:p w14:paraId="2CFE7454">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第五章  生产经营单位职责</w:t>
      </w:r>
    </w:p>
    <w:p w14:paraId="38C18EA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 xml:space="preserve">第九条 </w:t>
      </w:r>
      <w:r>
        <w:rPr>
          <w:rFonts w:ascii="Times New Roman" w:hAnsi="Times New Roman" w:eastAsia="仿宋" w:cs="Arial"/>
          <w:snapToGrid w:val="0"/>
          <w:kern w:val="0"/>
          <w:sz w:val="32"/>
          <w:szCs w:val="21"/>
        </w:rPr>
        <w:t xml:space="preserve"> 生产经营单位是事故隐患排查、治理和防控的责任主体。生产经营单位应当建立健全事故隐患排查治理和建档监控等制度，逐级建立并落实从主要负责人到每个从业人员的隐患排查治理和责任制。</w:t>
      </w:r>
    </w:p>
    <w:p w14:paraId="748AC28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生产经营单位应当定期组织安全生产管理人员和其他相关人员排查本单位的事故隐患。力量不足时应聘请第三方技术力量进行事故隐患排查。对排查出的事故隐患，应当按照事故隐患的等级进行登记，建立事故隐患信息档案，并按照职责分工实施隐患治理。</w:t>
      </w:r>
    </w:p>
    <w:p w14:paraId="0A56C7A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监督检查人员依法履行事故隐患监督检查职责时，生产经营单位应当积极配合，不得拒绝和阻挠。</w:t>
      </w:r>
    </w:p>
    <w:p w14:paraId="3E356A0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对于一般事故隐患，由生产经营单位负责人或者有关人员立即组织整改。</w:t>
      </w:r>
    </w:p>
    <w:p w14:paraId="2231F9D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对于重大事故隐患，由生产经营单位主要负责人组织制定并实施事故隐患治理方案。重大事故隐患治理方案应当包括以下内容：</w:t>
      </w:r>
    </w:p>
    <w:p w14:paraId="7249AE4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1、治理的目标和任务；</w:t>
      </w:r>
    </w:p>
    <w:p w14:paraId="0FAEB99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2、采取的方法和措施；</w:t>
      </w:r>
    </w:p>
    <w:p w14:paraId="3D12EF3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3、经费和物资的落实；</w:t>
      </w:r>
    </w:p>
    <w:p w14:paraId="1A70A3A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4、负责治理的机构和人员；</w:t>
      </w:r>
    </w:p>
    <w:p w14:paraId="6E43ACE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5、治理的时限和要求；</w:t>
      </w:r>
    </w:p>
    <w:p w14:paraId="354D660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6、安全措施和应急预案。</w:t>
      </w:r>
    </w:p>
    <w:p w14:paraId="754FC5E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生产经营单位在事故隐患治理过程中，应当采取相应的安全防范措施，防止事故发生。事故隐患排除前或者排除过程中无法保证安全的，应当从危险区域内撤出作业人员，并疏散可能危及的其他人员，设置警示标志，暂时停产停业或者停止使用；对暂时难以停产或者停止使用的相关生产储存装置、设施、设备，应当加强维护和保养，防止事故发生。</w:t>
      </w:r>
    </w:p>
    <w:p w14:paraId="1068F57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需停产治理的重大事故隐患经治理后符合安全生产条件的，生产经营单位应向产业发展局（安全监管局）提出恢复生产的书面申请，经审查同意后，方可恢复生产经营。申请报告应当包括治理方案的内容、整改落实情况和安全评价机构或安全专家出具的复核确认意见等。</w:t>
      </w:r>
    </w:p>
    <w:p w14:paraId="259D53C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生产经营单位在隐患整改结束后，应及时向产业发展局（安全监管局）报送整改报告。</w:t>
      </w:r>
    </w:p>
    <w:p w14:paraId="1FA3138B">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第六章  服务、监督与处罚</w:t>
      </w:r>
    </w:p>
    <w:p w14:paraId="4E317BB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第十六条</w:t>
      </w:r>
      <w:r>
        <w:rPr>
          <w:rFonts w:ascii="Times New Roman" w:hAnsi="Times New Roman" w:eastAsia="仿宋" w:cs="Arial"/>
          <w:snapToGrid w:val="0"/>
          <w:kern w:val="0"/>
          <w:sz w:val="32"/>
          <w:szCs w:val="21"/>
        </w:rPr>
        <w:t xml:space="preserve">  产业发展局（安全监管局）应当指导、监督生产经营单位按照有关法律法规、规章、标准和规程的要求，建立健全事故隐患排查治理等各项制度。</w:t>
      </w:r>
    </w:p>
    <w:p w14:paraId="5B63C22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第十七条</w:t>
      </w:r>
      <w:r>
        <w:rPr>
          <w:rFonts w:ascii="Times New Roman" w:hAnsi="Times New Roman" w:eastAsia="仿宋" w:cs="Arial"/>
          <w:snapToGrid w:val="0"/>
          <w:kern w:val="0"/>
          <w:sz w:val="32"/>
          <w:szCs w:val="21"/>
        </w:rPr>
        <w:t xml:space="preserve">  产业发展局（安全监管局）做好对生产经营单位事故隐患排查治理情况开展的监督检查，配合查处事故隐患排查治理的违法行为及其责任者。发现属于其他有关部门职责范围内的重大事故隐患的，应该及时将有关资料移送有管辖权的有关部门，并记录备查。</w:t>
      </w:r>
    </w:p>
    <w:p w14:paraId="1D1BD4C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第十八条</w:t>
      </w:r>
      <w:r>
        <w:rPr>
          <w:rFonts w:ascii="Times New Roman" w:hAnsi="Times New Roman" w:eastAsia="仿宋" w:cs="Arial"/>
          <w:snapToGrid w:val="0"/>
          <w:kern w:val="0"/>
          <w:sz w:val="32"/>
          <w:szCs w:val="21"/>
        </w:rPr>
        <w:t xml:space="preserve">  检查部门对检查中发现的事故隐患应及时下达事故隐患整改通知书，明确整改内容、整改期限；被检查单位应按照整改通知要求制定整改方案，细化整改措施，明确整改时限，落实责任单位和责任人等，在规定时间内完成整改；必要时，对重大事故隐患由常德经济技术开发区安全生产管理委员会实行挂牌督办。</w:t>
      </w:r>
    </w:p>
    <w:p w14:paraId="4FBF30E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第十九条</w:t>
      </w:r>
      <w:r>
        <w:rPr>
          <w:rFonts w:ascii="Times New Roman" w:hAnsi="Times New Roman" w:eastAsia="仿宋" w:cs="Arial"/>
          <w:snapToGrid w:val="0"/>
          <w:kern w:val="0"/>
          <w:sz w:val="32"/>
          <w:szCs w:val="21"/>
        </w:rPr>
        <w:t xml:space="preserve">  对检查中发现的事故隐患，应按照“编号登记、限期整改、跟踪督查、复查销号”的要求，实施全过程跟踪。对未在规定期限内按要求整改的生产经营单位，由相关部门依法给予行政处罚并责令停产停业整顿。</w:t>
      </w:r>
    </w:p>
    <w:p w14:paraId="74C51BB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第二十条</w:t>
      </w:r>
      <w:r>
        <w:rPr>
          <w:rFonts w:ascii="Times New Roman" w:hAnsi="Times New Roman" w:eastAsia="仿宋" w:cs="Arial"/>
          <w:snapToGrid w:val="0"/>
          <w:kern w:val="0"/>
          <w:sz w:val="32"/>
          <w:szCs w:val="21"/>
        </w:rPr>
        <w:t xml:space="preserve">  已经取得安全生产许可证的生产经营单位，在其被挂牌督办的重大事故隐患治理结束前，产业发展局（安全监管局）应当加强监督检查。必要时，可以提请原许可证颁发机关依法暂扣其安全生产许可证。</w:t>
      </w:r>
    </w:p>
    <w:p w14:paraId="48C4FB9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第二十一条</w:t>
      </w:r>
      <w:r>
        <w:rPr>
          <w:rFonts w:ascii="Times New Roman" w:hAnsi="Times New Roman" w:eastAsia="仿宋" w:cs="Arial"/>
          <w:snapToGrid w:val="0"/>
          <w:kern w:val="0"/>
          <w:sz w:val="32"/>
          <w:szCs w:val="21"/>
        </w:rPr>
        <w:t xml:space="preserve">  对挂牌督办并采取全部或者局部停产停业治理的重大事故隐患，产业发展局（安全监管局）收到生产经营单位恢复生产的申请报告后，应当在7日内进行现场核查，审查合格的，对事故隐患进行核销，同意恢复生产经营；审查不合格的，依法责令改正或者提请上级部门下达停产整改通知书。对整改无望或者生产经营单位拒不执行整改措施的，依法实施行政处罚；不具备安全生产条件的，依法提请上级部门按照规定予以关闭。</w:t>
      </w:r>
    </w:p>
    <w:p w14:paraId="47F5C8D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第二十二条</w:t>
      </w:r>
      <w:r>
        <w:rPr>
          <w:rFonts w:ascii="Times New Roman" w:hAnsi="Times New Roman" w:eastAsia="仿宋" w:cs="Arial"/>
          <w:snapToGrid w:val="0"/>
          <w:kern w:val="0"/>
          <w:sz w:val="32"/>
          <w:szCs w:val="21"/>
        </w:rPr>
        <w:t xml:space="preserve">  生产经营单位及其主要负责人未履行事故隐患排查治理职责，导致发生生产安全事故的，依法给予行政处罚。</w:t>
      </w:r>
    </w:p>
    <w:p w14:paraId="3B25F3C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A0540A7">
      <w:pPr>
        <w:ind w:firstLine="640"/>
        <w:sectPr>
          <w:pgSz w:w="11906" w:h="16838"/>
          <w:pgMar w:top="1440" w:right="1800" w:bottom="1440" w:left="1800" w:header="851" w:footer="992" w:gutter="0"/>
          <w:cols w:space="720" w:num="1"/>
          <w:docGrid w:type="lines" w:linePitch="312" w:charSpace="0"/>
        </w:sectPr>
      </w:pPr>
    </w:p>
    <w:p w14:paraId="768E2513">
      <w:pPr>
        <w:keepNext/>
        <w:keepLines/>
        <w:adjustRightInd w:val="0"/>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18" w:name="_Toc1581251713"/>
      <w:bookmarkStart w:id="19" w:name="_Toc885745740"/>
      <w:bookmarkStart w:id="20" w:name="_Toc21613"/>
      <w:bookmarkStart w:id="21" w:name="_Toc2021931169"/>
      <w:r>
        <w:rPr>
          <w:rFonts w:ascii="Times New Roman" w:hAnsi="Times New Roman" w:eastAsia="方正小标宋简体" w:cs="Arial"/>
          <w:snapToGrid w:val="0"/>
          <w:kern w:val="0"/>
          <w:sz w:val="44"/>
          <w:szCs w:val="21"/>
        </w:rPr>
        <w:t>重大危险源安全管理制度</w:t>
      </w:r>
      <w:bookmarkEnd w:id="18"/>
      <w:bookmarkEnd w:id="19"/>
      <w:bookmarkEnd w:id="20"/>
      <w:bookmarkEnd w:id="21"/>
    </w:p>
    <w:p w14:paraId="46314502">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B314859">
      <w:pPr>
        <w:keepNext/>
        <w:keepLines/>
        <w:adjustRightInd w:val="0"/>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5CB16A61">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为认真贯彻“安全第一，预防第一，综合治理”的方针，加强对重大危险源的管理，预防</w:t>
      </w:r>
      <w:r>
        <w:rPr>
          <w:rFonts w:hint="eastAsia" w:ascii="Times New Roman" w:hAnsi="Times New Roman" w:eastAsia="仿宋" w:cs="Arial"/>
          <w:snapToGrid w:val="0"/>
          <w:kern w:val="0"/>
          <w:sz w:val="32"/>
          <w:szCs w:val="21"/>
        </w:rPr>
        <w:t>重特大</w:t>
      </w:r>
      <w:r>
        <w:rPr>
          <w:rFonts w:ascii="Times New Roman" w:hAnsi="Times New Roman" w:eastAsia="仿宋" w:cs="Arial"/>
          <w:snapToGrid w:val="0"/>
          <w:kern w:val="0"/>
          <w:sz w:val="32"/>
          <w:szCs w:val="21"/>
        </w:rPr>
        <w:t>事故的发生，根据《安全生产法》等有关法律法规，结合常德经济技术开发区枫树岗化工片区（以下简称“化工园区”）实际</w:t>
      </w:r>
      <w:r>
        <w:rPr>
          <w:rFonts w:hint="eastAsia" w:ascii="Times New Roman" w:hAnsi="Times New Roman" w:eastAsia="仿宋" w:cs="Arial"/>
          <w:snapToGrid w:val="0"/>
          <w:kern w:val="0"/>
          <w:sz w:val="32"/>
          <w:szCs w:val="21"/>
        </w:rPr>
        <w:t>情况，特制定本</w:t>
      </w:r>
      <w:r>
        <w:rPr>
          <w:rFonts w:ascii="Times New Roman" w:hAnsi="Times New Roman" w:eastAsia="仿宋" w:cs="Arial"/>
          <w:snapToGrid w:val="0"/>
          <w:kern w:val="0"/>
          <w:sz w:val="32"/>
          <w:szCs w:val="21"/>
        </w:rPr>
        <w:t>制度。</w:t>
      </w:r>
    </w:p>
    <w:p w14:paraId="1D4AE262">
      <w:pPr>
        <w:adjustRightInd w:val="0"/>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 xml:space="preserve">第二条  </w:t>
      </w:r>
      <w:r>
        <w:rPr>
          <w:rFonts w:ascii="Times New Roman" w:hAnsi="Times New Roman" w:eastAsia="仿宋" w:cs="Arial"/>
          <w:snapToGrid w:val="0"/>
          <w:kern w:val="0"/>
          <w:sz w:val="32"/>
          <w:szCs w:val="21"/>
        </w:rPr>
        <w:t>本制度适用于化工园区范围内从事危险化学品生产、储存、使用和经营的企业（以下统称危险化学品企业）的危险化学品重大危险源（以下简称重大危险源）安全管理。</w:t>
      </w:r>
    </w:p>
    <w:p w14:paraId="5CDB8697">
      <w:pPr>
        <w:adjustRightInd w:val="0"/>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 xml:space="preserve">第三条  </w:t>
      </w:r>
      <w:r>
        <w:rPr>
          <w:rFonts w:ascii="Times New Roman" w:hAnsi="Times New Roman" w:eastAsia="仿宋" w:cs="Arial"/>
          <w:snapToGrid w:val="0"/>
          <w:kern w:val="0"/>
          <w:sz w:val="32"/>
          <w:szCs w:val="21"/>
        </w:rPr>
        <w:t>产业发展局（安全监管局）应加强化工园区内重大危险源的安全监督管理，采取有效措施防范化解重大安全风险，降低多米诺效应的影响。</w:t>
      </w:r>
    </w:p>
    <w:p w14:paraId="6CC74983">
      <w:pPr>
        <w:adjustRightInd w:val="0"/>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 xml:space="preserve">第四条  </w:t>
      </w:r>
      <w:r>
        <w:rPr>
          <w:rFonts w:ascii="Times New Roman" w:hAnsi="Times New Roman" w:eastAsia="仿宋" w:cs="Arial"/>
          <w:snapToGrid w:val="0"/>
          <w:kern w:val="0"/>
          <w:sz w:val="32"/>
          <w:szCs w:val="21"/>
        </w:rPr>
        <w:t>危险化学品企业对本企业重大危险源安全管理负主体责任，其主要负责人是第一责任人，对本企业的重大危险源安全管理工作全面负责，并保证重大危险源安全生产所必需安全投入的有效实施。</w:t>
      </w:r>
    </w:p>
    <w:p w14:paraId="345C0DB1">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危险化学品企业重大危险源安全管理职责执行现行有关法律法规和标准规定。</w:t>
      </w:r>
    </w:p>
    <w:p w14:paraId="4A8616BE">
      <w:pPr>
        <w:keepNext/>
        <w:keepLines/>
        <w:adjustRightInd w:val="0"/>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安全管理</w:t>
      </w:r>
    </w:p>
    <w:p w14:paraId="15234FE4">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危险化学品企业应按照法律法规规定开展重大危险源辨识、分级和安全评估，经产业发展局（安全监管局）备案后，在安全风险智能化管控平台填报重大危险源相关信息，并上传评估/评价报告、备案表等资料。</w:t>
      </w:r>
    </w:p>
    <w:p w14:paraId="06BCA1A4">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有下列情形之一的，危险化学品企业应对重大危险源重新进行辨识、分级、安全评估及登记备案。</w:t>
      </w:r>
    </w:p>
    <w:p w14:paraId="0D91D2D1">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1、重大危险源安全评估已满三年的。</w:t>
      </w:r>
    </w:p>
    <w:p w14:paraId="2E516548">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2、构成重大危险源的生产或者储存单元（含装置、设施或者场所）进行新建、改建、扩建的。</w:t>
      </w:r>
    </w:p>
    <w:p w14:paraId="03A74E55">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3、危险化学品种类、数量、生产、使用工艺或者储存方式及重要设备、设施等发生变化，影响重大危险源级别或者风险程度的。</w:t>
      </w:r>
    </w:p>
    <w:p w14:paraId="4474B7D2">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4、重大危险源周边生产安全环境因素发生变化，影响重大危险源级别和风险程度的。</w:t>
      </w:r>
    </w:p>
    <w:p w14:paraId="4CBCBBD2">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5、发生危险化学品事故造成人员死亡，或者3人以上重伤，或者10人以上受伤，或者影响到公共安全的。</w:t>
      </w:r>
    </w:p>
    <w:p w14:paraId="7F7E3A88">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6、有关重大危险源辨识和安全评估的法律法规、国家标准、行业标准发生变化的。</w:t>
      </w:r>
    </w:p>
    <w:p w14:paraId="28986C0B">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重大危险源企业应加强安全包保责任落实和在线监测预警，在执行相关法律法规和规</w:t>
      </w:r>
      <w:r>
        <w:rPr>
          <w:rFonts w:hint="eastAsia" w:ascii="Times New Roman" w:hAnsi="Times New Roman" w:eastAsia="仿宋" w:cs="Arial"/>
          <w:snapToGrid w:val="0"/>
          <w:kern w:val="0"/>
          <w:sz w:val="32"/>
          <w:szCs w:val="21"/>
        </w:rPr>
        <w:t>范性</w:t>
      </w:r>
      <w:r>
        <w:rPr>
          <w:rFonts w:ascii="Times New Roman" w:hAnsi="Times New Roman" w:eastAsia="仿宋" w:cs="Arial"/>
          <w:snapToGrid w:val="0"/>
          <w:kern w:val="0"/>
          <w:sz w:val="32"/>
          <w:szCs w:val="21"/>
        </w:rPr>
        <w:t>文件的基础上，执行《安全风险智能化管控平台管理制度》第三章规定。</w:t>
      </w:r>
    </w:p>
    <w:p w14:paraId="7A75A68D">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产业发展局（安全监管局）应加强安全风险智能化管控平台重大危险源管理模块应用，按照相关规定开展在线巡查抽查。在线巡查抽查应符合《安全风险智能化管控平台运行管理制度》第三章规定。</w:t>
      </w:r>
    </w:p>
    <w:p w14:paraId="0E837725">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产业发展局（安全监管局）应督促重大危险源企业建立人员定位系统，实现风险自动识别和及时预警。人员定位系统应用应符合《安全风险智能化管控平台管理制度》第三章。</w:t>
      </w:r>
    </w:p>
    <w:p w14:paraId="647E8D19">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危险化学品企业应在构成重大危险源的生产装置和储存设施开停车、大检修前，按规定进行安全风险自查评估，采取有效措施确保安全，并落实开停车和大检修报备制度，报备内容包括但不限于开停车手续的实施日期、作业范围和内容、采取的安全措施、开停车方案、应急预案、装置（系统）检查验收和员工教育培训等。</w:t>
      </w:r>
    </w:p>
    <w:p w14:paraId="65F7DCEF">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危险化学品企业重大危险源开停车、大检修报备应符合以下程序：</w:t>
      </w:r>
    </w:p>
    <w:p w14:paraId="70E3A965">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1、企业在开停车、大检修的5个工作日前在安全风险智能化管控平台填报信息，上传相关资料，内容应完整、准确、真实。</w:t>
      </w:r>
    </w:p>
    <w:p w14:paraId="68E66919">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2、产业发展局（安全监管局）平台应用人员在2个工</w:t>
      </w:r>
      <w:r>
        <w:rPr>
          <w:rFonts w:hint="eastAsia" w:ascii="Times New Roman" w:hAnsi="Times New Roman" w:eastAsia="仿宋" w:cs="Arial"/>
          <w:snapToGrid w:val="0"/>
          <w:kern w:val="0"/>
          <w:sz w:val="32"/>
          <w:szCs w:val="21"/>
        </w:rPr>
        <w:t>作日</w:t>
      </w:r>
      <w:r>
        <w:rPr>
          <w:rFonts w:ascii="Times New Roman" w:hAnsi="Times New Roman" w:eastAsia="仿宋" w:cs="Arial"/>
          <w:snapToGrid w:val="0"/>
          <w:kern w:val="0"/>
          <w:sz w:val="32"/>
          <w:szCs w:val="21"/>
        </w:rPr>
        <w:t>内完成报备信息线上审核，经审核无误的，报局分管领导提出批准意见；审核未通过的，告知申请人原因，并指导完善。</w:t>
      </w:r>
    </w:p>
    <w:p w14:paraId="6A5AC304">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3、经审核通过的，产业发展局（安全监管局）分管领导安排专业安全监管人员视情况联合市应急管理部门开展现场抽查，并按照“谁核查、谁复核”的原则开展事后复核。</w:t>
      </w:r>
    </w:p>
    <w:p w14:paraId="36F84F9D">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4、开停车和大检修现场恢复至少达到作业质量达标、安全装置可靠、现场整洁规范、记录完整准确等标准。</w:t>
      </w:r>
    </w:p>
    <w:p w14:paraId="6F1307BC">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构成重大危险源的生产装置和储存设施被依法责令停产停业整顿后开车的，应经作出停产停业整顿决定的应急管理部门复查同意，方可开车。</w:t>
      </w:r>
    </w:p>
    <w:p w14:paraId="481C9EFF">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企业应每年至少开展一次专项应急预案演练，每半年至少开展一次现场处置方案演练。</w:t>
      </w:r>
    </w:p>
    <w:p w14:paraId="0D0C8577">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应急预案演练结束后，应对应急预案演练效果进行评估，评价应急预案的适用性和可操作性，分析存在的问题，提出修订意见，并及时修订完善。</w:t>
      </w:r>
    </w:p>
    <w:p w14:paraId="3468DE21">
      <w:pPr>
        <w:adjustRightInd w:val="0"/>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产业发展局（安全监管局）应督促指导企业对重大危险源及时、逐项进行建档管理，并在重大危险源变化时及时审核、修订重大危险源档案，做到“一源一册”，档案应至少包括以下内容：</w:t>
      </w:r>
    </w:p>
    <w:p w14:paraId="361E5ECC">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1、辨识、分级记录。</w:t>
      </w:r>
    </w:p>
    <w:p w14:paraId="46278489">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2、重大危险源基本特征表。</w:t>
      </w:r>
    </w:p>
    <w:p w14:paraId="75146018">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3、涉及的所有化学品安全技术说明书。</w:t>
      </w:r>
    </w:p>
    <w:p w14:paraId="29B7813D">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4、区域位置图、平面布置图、工艺流程图和主要设备一览表。</w:t>
      </w:r>
    </w:p>
    <w:p w14:paraId="7FE5D933">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5、安全包保责任制度、安全风险分级管控和隐患排查治理制度等重大危险源安全管理规章制度及安全操作规程。6、安全监测监控系统、措施说明、检测、检验结果，以及有关数据接入监测预警系统情况。</w:t>
      </w:r>
    </w:p>
    <w:p w14:paraId="2FCA63C7">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7、重大危险源事故应急预案、评审意见、演练情况资料和评估报告。</w:t>
      </w:r>
    </w:p>
    <w:p w14:paraId="026292A7">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8、安全评估报告或者安全评价报告。</w:t>
      </w:r>
    </w:p>
    <w:p w14:paraId="1AA0BD7A">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9、重大危险源的主要负责人、技术负责人、操作负责人姓名、对应安全包保责</w:t>
      </w:r>
      <w:r>
        <w:rPr>
          <w:rFonts w:hint="eastAsia" w:ascii="Times New Roman" w:hAnsi="Times New Roman" w:eastAsia="仿宋" w:cs="Arial"/>
          <w:snapToGrid w:val="0"/>
          <w:kern w:val="0"/>
          <w:sz w:val="32"/>
          <w:szCs w:val="21"/>
        </w:rPr>
        <w:t>任人</w:t>
      </w:r>
      <w:r>
        <w:rPr>
          <w:rFonts w:ascii="Times New Roman" w:hAnsi="Times New Roman" w:eastAsia="仿宋" w:cs="Arial"/>
          <w:snapToGrid w:val="0"/>
          <w:kern w:val="0"/>
          <w:sz w:val="32"/>
          <w:szCs w:val="21"/>
        </w:rPr>
        <w:t>、联系方式及其包保履职记录。</w:t>
      </w:r>
    </w:p>
    <w:p w14:paraId="2391BCA1">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10、重大危险源安全警示牌和安全包保责任制公示牌的设置情况。</w:t>
      </w:r>
    </w:p>
    <w:p w14:paraId="28FE25A9">
      <w:pPr>
        <w:adjustRightInd w:val="0"/>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11、重大危险源安全风险分级情况及相应的管控措施。</w:t>
      </w:r>
    </w:p>
    <w:p w14:paraId="0C257080">
      <w:pPr>
        <w:rPr>
          <w:rFonts w:hint="eastAsia"/>
        </w:rPr>
        <w:sectPr>
          <w:pgSz w:w="11906" w:h="16838"/>
          <w:pgMar w:top="1440" w:right="1800" w:bottom="1440" w:left="1800" w:header="851" w:footer="992" w:gutter="0"/>
          <w:cols w:space="720" w:num="1"/>
          <w:docGrid w:type="lines" w:linePitch="312" w:charSpace="0"/>
        </w:sectPr>
      </w:pPr>
    </w:p>
    <w:p w14:paraId="1359A2D6">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22" w:name="_Toc1792099504"/>
      <w:r>
        <w:rPr>
          <w:rFonts w:ascii="Times New Roman" w:hAnsi="Times New Roman" w:eastAsia="方正小标宋简体" w:cs="Arial"/>
          <w:snapToGrid w:val="0"/>
          <w:kern w:val="0"/>
          <w:sz w:val="44"/>
          <w:szCs w:val="21"/>
        </w:rPr>
        <w:t>安全生产台账管理制度</w:t>
      </w:r>
      <w:bookmarkEnd w:id="22"/>
    </w:p>
    <w:p w14:paraId="70C8B864">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F56CD8F">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2018E34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从严规范常德经济技术开发区枫树岗化工片区（以下简称“化工园区”）安全生产文件档案的管理，确保文件档案的完整性、合理性、科学性，使其为今后安全生产工作开展提供参考资料和文献，特制定本制度。</w:t>
      </w:r>
    </w:p>
    <w:p w14:paraId="75D31B9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产业发展局（安全监管局）负责安全生产台账归档管理，并保证台账保存完好。</w:t>
      </w:r>
    </w:p>
    <w:p w14:paraId="3ED5532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管理内容</w:t>
      </w:r>
    </w:p>
    <w:p w14:paraId="18E4ECE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台账管理内容：</w:t>
      </w:r>
    </w:p>
    <w:p w14:paraId="2160D73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1、国家有关安全生产法律法规、标准规范及其他要求。</w:t>
      </w:r>
    </w:p>
    <w:p w14:paraId="1B2D6AD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2、上级主管部门安全生产文件、批复文件、领导指示材料及会议资料等。</w:t>
      </w:r>
    </w:p>
    <w:p w14:paraId="3869933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3、园区安全生产文件、安全生产管理制度、安全学习资料、领导指示材料等。</w:t>
      </w:r>
    </w:p>
    <w:p w14:paraId="4541E3F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4、安全生产工作计划、总结、报告等。</w:t>
      </w:r>
    </w:p>
    <w:p w14:paraId="0BD3A16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5、各种安全培训教育、安全活动记录、安全管理台账、事故报告、安全通报等。</w:t>
      </w:r>
    </w:p>
    <w:p w14:paraId="50E2922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6、相关承包商抽查检查、评估等资料。</w:t>
      </w:r>
    </w:p>
    <w:p w14:paraId="1F0DB77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7、其他需要收集的资料。</w:t>
      </w:r>
    </w:p>
    <w:p w14:paraId="6C43124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档案管理：</w:t>
      </w:r>
    </w:p>
    <w:p w14:paraId="6421691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1、文件资料应根据其相互联系、保存价值分类立卷，保证档案的齐全、完整，能反映安全生产主要情况，以便保管和利用。</w:t>
      </w:r>
    </w:p>
    <w:p w14:paraId="70CA5B4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2、应根据文件资料的重要性，分永久保管和短期保管两种进行整理，分类归档。</w:t>
      </w:r>
    </w:p>
    <w:p w14:paraId="1E1C48D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档案借阅：</w:t>
      </w:r>
    </w:p>
    <w:p w14:paraId="3E2289B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1、文件资料档案借阅，必须有借阅手续，借阅档案要注意保护，不得丢失、损坏、涂改，要如期归还，到期不能归还者，要说明情况，并办理续借手续。</w:t>
      </w:r>
    </w:p>
    <w:p w14:paraId="4E09FAC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2、借阅的档案要注意保密，未经许可，不得随意公开、发表或转借他人。</w:t>
      </w:r>
    </w:p>
    <w:p w14:paraId="6FE5D70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3、归还档案时，</w:t>
      </w:r>
      <w:r>
        <w:rPr>
          <w:rFonts w:hint="eastAsia" w:ascii="Times New Roman" w:hAnsi="Times New Roman" w:eastAsia="仿宋" w:cs="Arial"/>
          <w:snapToGrid w:val="0"/>
          <w:kern w:val="0"/>
          <w:sz w:val="32"/>
          <w:szCs w:val="21"/>
        </w:rPr>
        <w:t>由</w:t>
      </w:r>
      <w:r>
        <w:rPr>
          <w:rFonts w:ascii="Times New Roman" w:hAnsi="Times New Roman" w:eastAsia="仿宋" w:cs="Arial"/>
          <w:snapToGrid w:val="0"/>
          <w:kern w:val="0"/>
          <w:sz w:val="32"/>
          <w:szCs w:val="21"/>
        </w:rPr>
        <w:t>档案管理人员当面查点清楚，并在借阅登记本上注销。</w:t>
      </w:r>
    </w:p>
    <w:p w14:paraId="5F77906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对过期并失去保存价值的文件资料，经相关负责人批准，可以定期销毁，必要时做好销毁记录。</w:t>
      </w:r>
    </w:p>
    <w:p w14:paraId="08EC4765">
      <w:pPr>
        <w:ind w:firstLine="640"/>
        <w:sectPr>
          <w:pgSz w:w="11906" w:h="16838"/>
          <w:pgMar w:top="1440" w:right="1800" w:bottom="1440" w:left="1800" w:header="851" w:footer="992" w:gutter="0"/>
          <w:cols w:space="720" w:num="1"/>
          <w:docGrid w:type="lines" w:linePitch="312" w:charSpace="0"/>
        </w:sectPr>
      </w:pPr>
    </w:p>
    <w:p w14:paraId="6B7B9E18">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23" w:name="_Toc531094554"/>
      <w:r>
        <w:rPr>
          <w:rFonts w:ascii="Times New Roman" w:hAnsi="Times New Roman" w:eastAsia="方正小标宋简体" w:cs="Arial"/>
          <w:snapToGrid w:val="0"/>
          <w:kern w:val="0"/>
          <w:sz w:val="44"/>
          <w:szCs w:val="21"/>
        </w:rPr>
        <w:t>安全宣传教育培训制度</w:t>
      </w:r>
      <w:bookmarkEnd w:id="23"/>
    </w:p>
    <w:p w14:paraId="006CE599">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CB0E131">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58BC00F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为加强和规范常德经济技术开发区枫树岗化工片区（以下简称“化工园区”）安全教育培训工作，提高从业人员安全素</w:t>
      </w:r>
      <w:r>
        <w:rPr>
          <w:rFonts w:hint="eastAsia" w:ascii="Times New Roman" w:hAnsi="Times New Roman" w:eastAsia="仿宋" w:cs="Arial"/>
          <w:snapToGrid w:val="0"/>
          <w:kern w:val="0"/>
          <w:sz w:val="32"/>
          <w:szCs w:val="21"/>
        </w:rPr>
        <w:t>质和</w:t>
      </w:r>
      <w:r>
        <w:rPr>
          <w:rFonts w:ascii="Times New Roman" w:hAnsi="Times New Roman" w:eastAsia="仿宋" w:cs="Arial"/>
          <w:snapToGrid w:val="0"/>
          <w:kern w:val="0"/>
          <w:sz w:val="32"/>
          <w:szCs w:val="21"/>
        </w:rPr>
        <w:t>增强职工的安全意识和安全防护能力，防范伤亡事故和增加应急处置能力，特制定本制度。</w:t>
      </w:r>
    </w:p>
    <w:p w14:paraId="3F7F271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本制度适用于化工园区管理范围内的所有从业人员，包括各行业监管部门安全监管人员、企业主要负责人、安全生产管理人员、特种作业人员和其他从业人员等。化工园区外的工业企业可参照执行。</w:t>
      </w:r>
    </w:p>
    <w:p w14:paraId="0C0C02F0">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安全教育培训职责</w:t>
      </w:r>
    </w:p>
    <w:p w14:paraId="43D979A5">
      <w:pPr>
        <w:snapToGrid w:val="0"/>
        <w:spacing w:line="600" w:lineRule="exact"/>
        <w:ind w:firstLine="643" w:firstLineChars="200"/>
        <w:jc w:val="center"/>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产业发展局（安全监管局）负责化工园区安全教育培训综合协调工作，根据园区内企业及相关从业人员的培训需求，编制年度安全培训方案、培训计划，并监督实施。</w:t>
      </w:r>
    </w:p>
    <w:p w14:paraId="091C7B3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产业发展局（安全监管局）负责组织化工园区安全监管人员及所辖工业企业安全教育培训。</w:t>
      </w:r>
    </w:p>
    <w:p w14:paraId="24AFE9B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安全监管人员教育培训</w:t>
      </w:r>
    </w:p>
    <w:p w14:paraId="0BA6BBB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安全监管人员培训包括但不限于以下内容：</w:t>
      </w:r>
    </w:p>
    <w:p w14:paraId="167B72C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1、牢固树立安全发展理念。</w:t>
      </w:r>
    </w:p>
    <w:p w14:paraId="18F02C3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2、安全生产法律法规和专业知识。</w:t>
      </w:r>
    </w:p>
    <w:p w14:paraId="50DC281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3、安全预防控制体系业务。</w:t>
      </w:r>
    </w:p>
    <w:p w14:paraId="28FB07D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4、生产安全事故应急救援业务。</w:t>
      </w:r>
    </w:p>
    <w:p w14:paraId="4167DAB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5、生产安全事故调查处置与整改业务。</w:t>
      </w:r>
    </w:p>
    <w:p w14:paraId="483F10C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安全监管人员培训方式包括但不限于专题辅导讲座、案例警示教育、领导干部和“一线典型”上讲台、走出去请进来、线上线下结合、交流研讨互学、情景模拟演练、现场教学观摩、专题知识测试等。</w:t>
      </w:r>
    </w:p>
    <w:p w14:paraId="36744C4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安全监管人员应按照年度安全教育培训计划参加跟班培训。</w:t>
      </w:r>
    </w:p>
    <w:p w14:paraId="269F4EC2">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生产经营单位安全教育培训</w:t>
      </w:r>
    </w:p>
    <w:p w14:paraId="489D31D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生产经营单位对本企业安全教育培训负主体责任，应严格遵守安全教育培训有关法律法规和标准规范，培训学时、培训内容等要求执行本行业领域法律法规规定。 </w:t>
      </w:r>
    </w:p>
    <w:p w14:paraId="518D8B8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生产经营单位安全教育培训任务包括但不限于以下内容：</w:t>
      </w:r>
    </w:p>
    <w:p w14:paraId="3E2F6B8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全员安全培训。重点围绕安全生产规章制度和操作规程、必备的安全生产知识、本岗位的安全操作技能、事故应急处理措施等内容，对在岗人员开展安全培训。未经安全生产教育和培训合格的从业人员，不得上岗作业。</w:t>
      </w:r>
    </w:p>
    <w:p w14:paraId="3C3CE29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2、岗前安全培训。对新录用员工（含临时工、合同工、劳务工、轮换工、协议工等）进行岗前安全培训，保证其具备本岗位安全操作、自救互救以及应急处置所需的知识和技能。</w:t>
      </w:r>
    </w:p>
    <w:p w14:paraId="06CCF4A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3、从业资格培训。严格落实持证上岗制度，坚决杜绝无证上岗现象。</w:t>
      </w:r>
    </w:p>
    <w:p w14:paraId="7FD2569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4、应急处置培训。开展覆盖全员的常态化、实战化应急处置训（演）练，确保从业人员熟知安全出口和应急疏散路线、掌握逃生自救互救能力。</w:t>
      </w:r>
    </w:p>
    <w:p w14:paraId="4350302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5、实际操作培训。结合工作环境及危险因素、设备设施安全操作、个人防护用品使用和维护等内容， 开展体验式、互动式、案例式岗位实操培训，增强培训针对性。</w:t>
      </w:r>
    </w:p>
    <w:p w14:paraId="7655020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生产经营单位应按照“一企一册、一期一档、一人一档”的原则，如实记录安全生产培训时间、培训内容、参加人员、学时以及考核结果等情况并建档备查。委托安全培训机构进行安全培训的，应保存服务合同等档案。</w:t>
      </w:r>
    </w:p>
    <w:p w14:paraId="363C35B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产业发展局（安全监管局）每年应组织危化、工贸生产经营单位主要负责人、安全生产管理人员进行安全培训。</w:t>
      </w:r>
    </w:p>
    <w:p w14:paraId="3EE57F8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产业发展局（安全监管局）应依据相关法律法规定期检查监管领域生产经营单位的安全教育培训工作落实情况，包括建立和实施安全教育培训制度、年度教育培训计划落实情况，安全培训经费投入和使用情况，主要负责人、安全生产管理人员、特种作业人员培训和持证上岗情况，应用新工艺、新技术、新材料、新设备及转岗前从业人员培训情况，其他从业人员安全教育培训情况；建立档案、记录培训考核情况等。</w:t>
      </w:r>
    </w:p>
    <w:p w14:paraId="055A33E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检查中发现安全教育培训违法违规行为的，应及时移交行业监管执法部门依法处理。</w:t>
      </w:r>
    </w:p>
    <w:p w14:paraId="708651A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产业发展局（安全监管局）与实训基地签订协议，与实训基地商定针对性的培训课程，采用理论、实操、考核评估的方式，定期组织相关人员进行培训及学习。</w:t>
      </w:r>
    </w:p>
    <w:p w14:paraId="6BF65B1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第五章  安全生产宣传教育</w:t>
      </w:r>
    </w:p>
    <w:p w14:paraId="6512484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产业发展局（安全监管局）应加强安全宣传教育，宣传任务包括但不限于以下内容：</w:t>
      </w:r>
    </w:p>
    <w:p w14:paraId="096B45B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1、习近平总书记关于安全生产、防灾减灾、应急管理等重要论述和重要指示精神。</w:t>
      </w:r>
    </w:p>
    <w:p w14:paraId="735EAF0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2、湖南省和常德市关于安全生产行动部署。</w:t>
      </w:r>
    </w:p>
    <w:p w14:paraId="126EBF0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3、安全生产法律法规和制度标准。</w:t>
      </w:r>
    </w:p>
    <w:p w14:paraId="3DA3044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4、各行业领域安全知识和全社会安全常识。</w:t>
      </w:r>
    </w:p>
    <w:p w14:paraId="31E8BD8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5、化工园区主要安全风险和各类有效安全措施等。</w:t>
      </w:r>
    </w:p>
    <w:p w14:paraId="48BB25A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产业发展局（安全监管局）应结合每个时期的特点，对化工园区企业认真组织开展“安全生产月”等群众性安全生产教育活动。运用事故现场分析会、安全生产现场推进会以及简报、标语等形式，开展丰富多彩的群众性安全生产科普教育，普及安全知识。</w:t>
      </w:r>
    </w:p>
    <w:p w14:paraId="4E9F5F9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第十六条</w:t>
      </w:r>
      <w:r>
        <w:rPr>
          <w:rFonts w:ascii="Times New Roman" w:hAnsi="Times New Roman" w:eastAsia="仿宋" w:cs="Arial"/>
          <w:snapToGrid w:val="0"/>
          <w:kern w:val="0"/>
          <w:sz w:val="32"/>
          <w:szCs w:val="21"/>
        </w:rPr>
        <w:t xml:space="preserve">  化工园区内发生重伤以上安全事故或恶性未遂生产安全事故时，产业发展局（安全监管局）应组织有关人员进行事故现场教育，吸取教训，防止类似事故发生。</w:t>
      </w:r>
    </w:p>
    <w:p w14:paraId="5321FB7E">
      <w:pPr>
        <w:ind w:firstLine="640"/>
        <w:sectPr>
          <w:pgSz w:w="11906" w:h="16838"/>
          <w:pgMar w:top="1440" w:right="1800" w:bottom="1440" w:left="1800" w:header="851" w:footer="992" w:gutter="0"/>
          <w:cols w:space="720" w:num="1"/>
          <w:docGrid w:type="lines" w:linePitch="312" w:charSpace="0"/>
        </w:sectPr>
      </w:pPr>
    </w:p>
    <w:p w14:paraId="59B9E4FE">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24" w:name="_Toc1392707384"/>
      <w:r>
        <w:rPr>
          <w:rFonts w:ascii="Times New Roman" w:hAnsi="Times New Roman" w:eastAsia="方正小标宋简体" w:cs="Arial"/>
          <w:snapToGrid w:val="0"/>
          <w:kern w:val="0"/>
          <w:sz w:val="44"/>
          <w:szCs w:val="21"/>
        </w:rPr>
        <w:t>生产安全事故及重大事项报告和处理制度</w:t>
      </w:r>
      <w:bookmarkEnd w:id="24"/>
    </w:p>
    <w:p w14:paraId="4B92C46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885A558">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1A24F976">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为建立健全高效灵敏的信息反应机制，及时了解掌握常德经济技术开发区枫树岗化工片区（以下简称“化工园区”）安全生产动态情况，采取相应对策，处置已发生的和可能发生的各类险情，特制定本制度。</w:t>
      </w:r>
    </w:p>
    <w:p w14:paraId="1782EB34">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生产安全事故和重大事项包括：</w:t>
      </w:r>
    </w:p>
    <w:p w14:paraId="1485DA5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1、导致死亡1人以上（含1人）或重伤3人以上（含3人）的各类生产安全事故。</w:t>
      </w:r>
    </w:p>
    <w:p w14:paraId="6E1735F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2、已发生的各类安全生产险情。</w:t>
      </w:r>
    </w:p>
    <w:p w14:paraId="0B7F360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3、严重影响安全生产的其他突发性事件。</w:t>
      </w:r>
    </w:p>
    <w:p w14:paraId="2A49766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4、可能导致重大事故或重大险情发生的各类安全生产隐患。</w:t>
      </w:r>
    </w:p>
    <w:p w14:paraId="5F50138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5、履行监督管理职责中遇到的需要相关职能部门联合执法的重要事项。</w:t>
      </w:r>
    </w:p>
    <w:p w14:paraId="1E0AE2A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6、其他涉及安全生产的重要事项。</w:t>
      </w:r>
    </w:p>
    <w:p w14:paraId="22A65074">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生产安全事故和重大事项报告处置程序</w:t>
      </w:r>
    </w:p>
    <w:p w14:paraId="61692A8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产业发展局（安全监管局</w:t>
      </w:r>
      <w:r>
        <w:rPr>
          <w:rFonts w:hint="eastAsia" w:ascii="Times New Roman" w:hAnsi="Times New Roman" w:eastAsia="仿宋" w:cs="Arial"/>
          <w:snapToGrid w:val="0"/>
          <w:kern w:val="0"/>
          <w:sz w:val="32"/>
          <w:szCs w:val="21"/>
        </w:rPr>
        <w:t>）</w:t>
      </w:r>
      <w:r>
        <w:rPr>
          <w:rFonts w:ascii="Times New Roman" w:hAnsi="Times New Roman" w:eastAsia="仿宋" w:cs="Arial"/>
          <w:snapToGrid w:val="0"/>
          <w:kern w:val="0"/>
          <w:sz w:val="32"/>
          <w:szCs w:val="21"/>
        </w:rPr>
        <w:t>接到生产安全事故报告后，应迅速作出相应处置，并立即报区工委管委和常德市相关部门。</w:t>
      </w:r>
    </w:p>
    <w:p w14:paraId="1A92A78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1、一般事故、重大险情、重大突发性事件应迅速报告区工委管委，迅速赶赴现场。较大事故以上按照要求逐级上报；</w:t>
      </w:r>
    </w:p>
    <w:p w14:paraId="073208B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2、其他事故、险情、突发性事件应提出相应处置措施并落实区级责任部门予以处置；</w:t>
      </w:r>
    </w:p>
    <w:p w14:paraId="2585151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3、需多个部门协调处理的重要事项，应及时提请区工委管委召开专题工作会议，会商研究对策，落实区级责任部门予以处置。</w:t>
      </w:r>
    </w:p>
    <w:p w14:paraId="7D861D0A">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化工园区内企事业单位发生生产安全事故后，常德经济技术开发区管理委员会及其相关职能部门应当按照《常德经济技术开发区（枫树岗化工片区）生产安全事故应急预案》、《常德经济技术开发区（枫树岗化工片区）突发环境事故应急预案》迅速采取有效措施，组织抢救，防止事故扩大，并保护好事故现场。企事业单位发生一起重伤1人以上事故的，产业发展局（安全监管局）分管领导必须立即赶赴现场；企事业单位发生死亡或重伤2人以上事故的，产业发展局（安全监管局）主要领导、分管领导必须立即赶赴现场，并按相关规定报区工委管委。</w:t>
      </w:r>
    </w:p>
    <w:p w14:paraId="1D15101B">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产业发展局（安全监管局）要建立完整的事故档案资料。</w:t>
      </w:r>
    </w:p>
    <w:p w14:paraId="4C179ED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其  他</w:t>
      </w:r>
    </w:p>
    <w:p w14:paraId="41369A4B">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报送生产安全事故和重大事项信息必须情况准确、要素齐备，既要报发生的情况，也要报发生情况后采取的措施；特别紧急的可先电话报告，再尽快补报书面材料。报告事故应当包括下列内容：</w:t>
      </w:r>
    </w:p>
    <w:p w14:paraId="66C9FB7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1、事故发生单位概况；</w:t>
      </w:r>
    </w:p>
    <w:p w14:paraId="6DC03A3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2、事故发生的时间、地点以及事故现场情况；</w:t>
      </w:r>
    </w:p>
    <w:p w14:paraId="0285A50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3、事故的简要经过；</w:t>
      </w:r>
    </w:p>
    <w:p w14:paraId="5C19943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4、事故已经造成或者可能造成的伤亡人数（包括下落不明的人数）和初步估计的直接经济损失；</w:t>
      </w:r>
    </w:p>
    <w:p w14:paraId="5C57566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5、事故发生后</w:t>
      </w:r>
      <w:r>
        <w:rPr>
          <w:rFonts w:hint="eastAsia" w:ascii="Times New Roman" w:hAnsi="Times New Roman" w:eastAsia="仿宋" w:cs="Arial"/>
          <w:snapToGrid w:val="0"/>
          <w:kern w:val="0"/>
          <w:sz w:val="32"/>
          <w:szCs w:val="21"/>
        </w:rPr>
        <w:t>已</w:t>
      </w:r>
      <w:r>
        <w:rPr>
          <w:rFonts w:ascii="Times New Roman" w:hAnsi="Times New Roman" w:eastAsia="仿宋" w:cs="Arial"/>
          <w:snapToGrid w:val="0"/>
          <w:kern w:val="0"/>
          <w:sz w:val="32"/>
          <w:szCs w:val="21"/>
        </w:rPr>
        <w:t>采取的措施及事故的控制情况；</w:t>
      </w:r>
    </w:p>
    <w:p w14:paraId="1D99764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6、其他应当报告的情况。</w:t>
      </w:r>
    </w:p>
    <w:p w14:paraId="235BF7C9">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生产安全事故和重大事项信息报送后，各相关部门要及时续报相关处置情况。</w:t>
      </w:r>
    </w:p>
    <w:p w14:paraId="1A3D9A03">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对生产安全事故和重大事项信息，凡因瞒报、漏报、迟报而延误时机，严重影响安全生产工作，甚至造成重大损失和严重社会影响，将视情节轻重追究相关部门和人员的责任。</w:t>
      </w:r>
    </w:p>
    <w:p w14:paraId="484A1D36">
      <w:pPr>
        <w:ind w:firstLine="640"/>
        <w:sectPr>
          <w:pgSz w:w="11906" w:h="16838"/>
          <w:pgMar w:top="1440" w:right="1800" w:bottom="1440" w:left="1800" w:header="851" w:footer="992" w:gutter="0"/>
          <w:cols w:space="720" w:num="1"/>
          <w:docGrid w:type="lines" w:linePitch="312" w:charSpace="0"/>
        </w:sectPr>
      </w:pPr>
    </w:p>
    <w:p w14:paraId="5E4F7C54">
      <w:pPr>
        <w:spacing w:line="580" w:lineRule="exact"/>
        <w:jc w:val="center"/>
        <w:outlineLvl w:val="1"/>
        <w:rPr>
          <w:rFonts w:ascii="Times New Roman" w:hAnsi="Times New Roman" w:eastAsia="方正小标宋简体" w:cs="Arial"/>
          <w:sz w:val="44"/>
          <w:szCs w:val="44"/>
        </w:rPr>
      </w:pPr>
      <w:bookmarkStart w:id="25" w:name="_Toc55371320"/>
      <w:r>
        <w:rPr>
          <w:rFonts w:ascii="Times New Roman" w:hAnsi="Times New Roman" w:eastAsia="方正小标宋简体" w:cs="Arial"/>
          <w:sz w:val="44"/>
          <w:szCs w:val="44"/>
        </w:rPr>
        <w:t>安全生产考核制度</w:t>
      </w:r>
      <w:bookmarkEnd w:id="25"/>
    </w:p>
    <w:p w14:paraId="2A6188F2">
      <w:pPr>
        <w:spacing w:line="580" w:lineRule="exact"/>
        <w:rPr>
          <w:rFonts w:ascii="Times New Roman" w:hAnsi="Times New Roman" w:eastAsia="黑体" w:cs="Arial"/>
          <w:sz w:val="32"/>
          <w:szCs w:val="32"/>
        </w:rPr>
      </w:pPr>
    </w:p>
    <w:p w14:paraId="7ACF6B00">
      <w:pPr>
        <w:spacing w:line="580" w:lineRule="exact"/>
        <w:jc w:val="center"/>
        <w:rPr>
          <w:rFonts w:ascii="Times New Roman" w:hAnsi="Times New Roman" w:eastAsia="黑体" w:cs="Arial"/>
          <w:sz w:val="32"/>
          <w:szCs w:val="32"/>
        </w:rPr>
      </w:pPr>
      <w:r>
        <w:rPr>
          <w:rFonts w:ascii="Times New Roman" w:hAnsi="Times New Roman" w:eastAsia="黑体" w:cs="Arial"/>
          <w:sz w:val="32"/>
          <w:szCs w:val="32"/>
        </w:rPr>
        <w:t>第一章 总则</w:t>
      </w:r>
    </w:p>
    <w:p w14:paraId="0248DCF5">
      <w:pPr>
        <w:spacing w:line="58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第一条 考核目的</w:t>
      </w:r>
    </w:p>
    <w:p w14:paraId="40516384">
      <w:pPr>
        <w:spacing w:line="58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为全面落实安全生产监管责任，规范工贸安全监管科（以下简称“工贸科”）、危险化学品安全监管科（以下简称“危化科”）、综合科三个科室的岗位履职行为，强化监管效能，防范化解重大安全风险，杜绝生产安全责任事故，结合本局科室职责分工与工作实际，制定本制度。</w:t>
      </w:r>
    </w:p>
    <w:p w14:paraId="0D63A7DC">
      <w:pPr>
        <w:spacing w:line="58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第二条 适用范围</w:t>
      </w:r>
    </w:p>
    <w:p w14:paraId="432B526D">
      <w:pPr>
        <w:spacing w:line="580" w:lineRule="exact"/>
        <w:ind w:firstLine="640" w:firstLineChars="200"/>
        <w:rPr>
          <w:rFonts w:ascii="Times New Roman" w:hAnsi="Times New Roman" w:eastAsia="宋体" w:cs="Arial"/>
          <w:sz w:val="32"/>
          <w:szCs w:val="32"/>
        </w:rPr>
      </w:pPr>
      <w:r>
        <w:rPr>
          <w:rFonts w:ascii="Times New Roman" w:hAnsi="Times New Roman" w:eastAsia="仿宋_GB2312" w:cs="Arial"/>
          <w:sz w:val="32"/>
          <w:szCs w:val="32"/>
        </w:rPr>
        <w:t>本制度适用于本局工贸科、危化科、综合科全体在岗工作人员，产业发展局（安全生产监管局）分管负责人为本局考核第一责任人，对整体考核结果负总责。</w:t>
      </w:r>
    </w:p>
    <w:p w14:paraId="7005FF94">
      <w:pPr>
        <w:spacing w:line="58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第三条 考核原则</w:t>
      </w:r>
    </w:p>
    <w:p w14:paraId="312AC4C1">
      <w:pPr>
        <w:spacing w:line="58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1.权责一致、精准适配：紧扣各科室核心监管职责，差异化设置考核指标，匹配对应监管领域的风险等级与工作要求。</w:t>
      </w:r>
    </w:p>
    <w:p w14:paraId="50CB00D8">
      <w:pPr>
        <w:spacing w:line="58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2.客观公正、量化可考：以工作实绩为核心，考核指标全部量化，避免主观评价，全程公开透明。</w:t>
      </w:r>
    </w:p>
    <w:p w14:paraId="16EC4B6B">
      <w:pPr>
        <w:spacing w:line="58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3.底线思维、一票否决：严守安全生产与党风廉政红线，对触碰底线行为实行一票否决。</w:t>
      </w:r>
    </w:p>
    <w:p w14:paraId="0215FF66">
      <w:pPr>
        <w:spacing w:line="58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第四条 考核依据</w:t>
      </w:r>
    </w:p>
    <w:p w14:paraId="20F39006">
      <w:pPr>
        <w:spacing w:line="58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《中华人民共和国安全生产法》《危险化学品安全管理条例》《工贸企业粉尘防爆安全规定》《化工园区安全风险排查治理导则》等法律法规，以及上级应急管理部门、区工委管委工作部署，“三定” 方案明确的科室职责。</w:t>
      </w:r>
    </w:p>
    <w:p w14:paraId="3AE8F0DA">
      <w:pPr>
        <w:spacing w:line="580" w:lineRule="exact"/>
        <w:jc w:val="center"/>
        <w:rPr>
          <w:rFonts w:ascii="Times New Roman" w:hAnsi="Times New Roman" w:eastAsia="黑体" w:cs="Arial"/>
          <w:sz w:val="32"/>
          <w:szCs w:val="32"/>
        </w:rPr>
      </w:pPr>
      <w:r>
        <w:rPr>
          <w:rFonts w:ascii="Times New Roman" w:hAnsi="Times New Roman" w:eastAsia="黑体" w:cs="Arial"/>
          <w:sz w:val="32"/>
          <w:szCs w:val="32"/>
        </w:rPr>
        <w:t>第二章 职责边界与考核权重</w:t>
      </w:r>
    </w:p>
    <w:p w14:paraId="156CAE4B">
      <w:pPr>
        <w:spacing w:line="58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第五条 核心职责边界</w:t>
      </w:r>
    </w:p>
    <w:p w14:paraId="05673796">
      <w:pPr>
        <w:spacing w:line="580" w:lineRule="exact"/>
        <w:ind w:firstLine="643" w:firstLineChars="200"/>
        <w:rPr>
          <w:rFonts w:ascii="Times New Roman" w:hAnsi="Times New Roman" w:eastAsia="仿宋_GB2312" w:cs="Arial"/>
          <w:sz w:val="32"/>
          <w:szCs w:val="32"/>
        </w:rPr>
      </w:pPr>
      <w:r>
        <w:rPr>
          <w:rFonts w:ascii="Times New Roman" w:hAnsi="Times New Roman" w:eastAsia="仿宋_GB2312" w:cs="Arial"/>
          <w:b/>
          <w:bCs/>
          <w:sz w:val="32"/>
          <w:szCs w:val="32"/>
        </w:rPr>
        <w:t>工贸科：</w:t>
      </w:r>
      <w:r>
        <w:rPr>
          <w:rFonts w:ascii="Times New Roman" w:hAnsi="Times New Roman" w:eastAsia="仿宋_GB2312" w:cs="Arial"/>
          <w:sz w:val="32"/>
          <w:szCs w:val="32"/>
        </w:rPr>
        <w:t>负责辖区内冶金、有色、建材、机械、轻工、纺织、烟草、商贸八大工贸行业安全生产监督管理工作，重点管控粉尘涉爆、有限空间、涉氨制冷、冶金煤气等高风险环节，推动工贸企业落实安全生产主体责任，开展专项整治、执法检查、隐患闭环管理等工作。</w:t>
      </w:r>
    </w:p>
    <w:p w14:paraId="63CC1BC7">
      <w:pPr>
        <w:spacing w:line="580" w:lineRule="exact"/>
        <w:ind w:firstLine="643" w:firstLineChars="200"/>
        <w:rPr>
          <w:rFonts w:ascii="Times New Roman" w:hAnsi="Times New Roman" w:eastAsia="仿宋_GB2312" w:cs="Arial"/>
          <w:sz w:val="32"/>
          <w:szCs w:val="32"/>
        </w:rPr>
      </w:pPr>
      <w:r>
        <w:rPr>
          <w:rFonts w:ascii="Times New Roman" w:hAnsi="Times New Roman" w:eastAsia="仿宋_GB2312" w:cs="Arial"/>
          <w:b/>
          <w:bCs/>
          <w:sz w:val="32"/>
          <w:szCs w:val="32"/>
        </w:rPr>
        <w:t>危化科：</w:t>
      </w:r>
      <w:r>
        <w:rPr>
          <w:rFonts w:ascii="Times New Roman" w:hAnsi="Times New Roman" w:eastAsia="仿宋_GB2312" w:cs="Arial"/>
          <w:sz w:val="32"/>
          <w:szCs w:val="32"/>
        </w:rPr>
        <w:t>负责化工园区内危险化学品生产、经营、储存、使用、运输环节全链条安全监管，统筹易制毒、易制爆化学品安全管理，负责全区危化品行业重大危险源宏观管控、行政许可初审复核、行业安全风险研判等工作。</w:t>
      </w:r>
    </w:p>
    <w:p w14:paraId="28529A87">
      <w:pPr>
        <w:spacing w:line="580" w:lineRule="exact"/>
        <w:ind w:firstLine="643" w:firstLineChars="200"/>
        <w:rPr>
          <w:rFonts w:ascii="Times New Roman" w:hAnsi="Times New Roman" w:eastAsia="仿宋_GB2312" w:cs="Arial"/>
          <w:sz w:val="32"/>
          <w:szCs w:val="32"/>
        </w:rPr>
      </w:pPr>
      <w:r>
        <w:rPr>
          <w:rFonts w:ascii="Times New Roman" w:hAnsi="Times New Roman" w:eastAsia="仿宋_GB2312" w:cs="Arial"/>
          <w:b/>
          <w:bCs/>
          <w:sz w:val="32"/>
          <w:szCs w:val="32"/>
        </w:rPr>
        <w:t>综合科：</w:t>
      </w:r>
      <w:r>
        <w:rPr>
          <w:rFonts w:ascii="Times New Roman" w:hAnsi="Times New Roman" w:eastAsia="仿宋_GB2312" w:cs="Arial"/>
          <w:sz w:val="32"/>
          <w:szCs w:val="32"/>
        </w:rPr>
        <w:t>负责化工园区整体性安全风险管控与能力建设，化工园区内化工、危化品企业全生命周期安全监管，入园项目安全准入审查、化工园区智能化监管平台运维、化工园区应急体系建设、化工园内企业执法检查与隐患治理等工作。</w:t>
      </w:r>
    </w:p>
    <w:p w14:paraId="03FF02D7">
      <w:pPr>
        <w:spacing w:line="58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第六条 考核权重设置</w:t>
      </w:r>
    </w:p>
    <w:p w14:paraId="691CA4C1">
      <w:pPr>
        <w:spacing w:line="58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考核实行百分制，由通用考核指标（40分）、“科室专项业务考核指标（60分）” 两部分构成，同步设置加分项、减分项与一票否决项，最终考核得分 = 基础得分（通用 + 专项）+ 加分 - 减分，上不封顶、下不保底。</w:t>
      </w:r>
    </w:p>
    <w:p w14:paraId="0AE9783A">
      <w:pPr>
        <w:spacing w:line="600" w:lineRule="exact"/>
        <w:ind w:firstLine="640" w:firstLineChars="200"/>
        <w:rPr>
          <w:rFonts w:ascii="Times New Roman" w:hAnsi="Times New Roman" w:eastAsia="黑体" w:cs="Arial"/>
          <w:sz w:val="32"/>
          <w:szCs w:val="32"/>
        </w:rPr>
      </w:pPr>
    </w:p>
    <w:p w14:paraId="39B60311">
      <w:pPr>
        <w:spacing w:line="600" w:lineRule="exact"/>
        <w:ind w:firstLine="640" w:firstLineChars="200"/>
        <w:jc w:val="center"/>
        <w:rPr>
          <w:rFonts w:ascii="Times New Roman" w:hAnsi="Times New Roman" w:eastAsia="黑体" w:cs="Arial"/>
          <w:sz w:val="32"/>
          <w:szCs w:val="32"/>
        </w:rPr>
      </w:pPr>
      <w:r>
        <w:rPr>
          <w:rFonts w:ascii="Times New Roman" w:hAnsi="Times New Roman" w:eastAsia="黑体" w:cs="Arial"/>
          <w:sz w:val="32"/>
          <w:szCs w:val="32"/>
        </w:rPr>
        <w:t>第三章 通用考核指标（40 分，全科室统一适用）</w:t>
      </w:r>
    </w:p>
    <w:p w14:paraId="16A06D48">
      <w:pPr>
        <w:spacing w:line="600" w:lineRule="exact"/>
        <w:ind w:firstLine="640" w:firstLineChars="200"/>
        <w:rPr>
          <w:rFonts w:ascii="Times New Roman" w:hAnsi="Times New Roman" w:eastAsia="黑体" w:cs="Arial"/>
          <w:sz w:val="32"/>
          <w:szCs w:val="32"/>
        </w:rPr>
      </w:pPr>
    </w:p>
    <w:tbl>
      <w:tblPr>
        <w:tblStyle w:val="2"/>
        <w:tblW w:w="0" w:type="auto"/>
        <w:tblInd w:w="105" w:type="dxa"/>
        <w:tblLayout w:type="fixed"/>
        <w:tblCellMar>
          <w:top w:w="15" w:type="dxa"/>
          <w:left w:w="15" w:type="dxa"/>
          <w:bottom w:w="15" w:type="dxa"/>
          <w:right w:w="15" w:type="dxa"/>
        </w:tblCellMar>
      </w:tblPr>
      <w:tblGrid>
        <w:gridCol w:w="1694"/>
        <w:gridCol w:w="947"/>
        <w:gridCol w:w="5905"/>
      </w:tblGrid>
      <w:tr w14:paraId="3E364FA0">
        <w:tblPrEx>
          <w:tblCellMar>
            <w:top w:w="15" w:type="dxa"/>
            <w:left w:w="15" w:type="dxa"/>
            <w:bottom w:w="15" w:type="dxa"/>
            <w:right w:w="15" w:type="dxa"/>
          </w:tblCellMar>
        </w:tblPrEx>
        <w:trPr>
          <w:tblHeader/>
        </w:trPr>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38D2F49">
            <w:pPr>
              <w:widowControl/>
              <w:spacing w:line="240" w:lineRule="auto"/>
              <w:jc w:val="center"/>
              <w:rPr>
                <w:rFonts w:ascii="Times New Roman" w:hAnsi="Times New Roman" w:eastAsia="仿宋_GB2312" w:cs="Arial"/>
                <w:b/>
                <w:bCs/>
              </w:rPr>
            </w:pPr>
            <w:r>
              <w:rPr>
                <w:rFonts w:ascii="Times New Roman" w:hAnsi="Times New Roman" w:eastAsia="仿宋_GB2312" w:cs="Arial"/>
                <w:b/>
                <w:bCs/>
                <w:kern w:val="0"/>
                <w:sz w:val="24"/>
              </w:rPr>
              <w:t>考核模块</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A5BCBF9">
            <w:pPr>
              <w:widowControl/>
              <w:spacing w:line="240" w:lineRule="auto"/>
              <w:jc w:val="center"/>
              <w:rPr>
                <w:rFonts w:ascii="Times New Roman" w:hAnsi="Times New Roman" w:eastAsia="仿宋_GB2312" w:cs="Arial"/>
                <w:b/>
                <w:bCs/>
              </w:rPr>
            </w:pPr>
            <w:r>
              <w:rPr>
                <w:rFonts w:ascii="Times New Roman" w:hAnsi="Times New Roman" w:eastAsia="仿宋_GB2312" w:cs="Arial"/>
                <w:b/>
                <w:bCs/>
                <w:kern w:val="0"/>
                <w:sz w:val="24"/>
              </w:rPr>
              <w:t>分值</w:t>
            </w:r>
          </w:p>
        </w:tc>
        <w:tc>
          <w:tcPr>
            <w:tcW w:w="59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EAD0219">
            <w:pPr>
              <w:widowControl/>
              <w:spacing w:line="240" w:lineRule="auto"/>
              <w:jc w:val="center"/>
              <w:rPr>
                <w:rFonts w:ascii="Times New Roman" w:hAnsi="Times New Roman" w:eastAsia="仿宋_GB2312" w:cs="Arial"/>
                <w:b/>
                <w:bCs/>
              </w:rPr>
            </w:pPr>
            <w:r>
              <w:rPr>
                <w:rFonts w:ascii="Times New Roman" w:hAnsi="Times New Roman" w:eastAsia="仿宋_GB2312" w:cs="Arial"/>
                <w:b/>
                <w:bCs/>
                <w:kern w:val="0"/>
                <w:sz w:val="24"/>
              </w:rPr>
              <w:t>考核内容与评分标准</w:t>
            </w:r>
          </w:p>
        </w:tc>
      </w:tr>
      <w:tr w14:paraId="5F8BDA7F">
        <w:tblPrEx>
          <w:tblCellMar>
            <w:top w:w="15" w:type="dxa"/>
            <w:left w:w="15" w:type="dxa"/>
            <w:bottom w:w="15" w:type="dxa"/>
            <w:right w:w="15" w:type="dxa"/>
          </w:tblCellMar>
        </w:tblPrEx>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4997F19">
            <w:pPr>
              <w:widowControl/>
              <w:spacing w:line="240" w:lineRule="auto"/>
              <w:rPr>
                <w:rFonts w:ascii="Times New Roman" w:hAnsi="Times New Roman" w:eastAsia="仿宋_GB2312" w:cs="Arial"/>
              </w:rPr>
            </w:pPr>
            <w:r>
              <w:rPr>
                <w:rFonts w:ascii="Times New Roman" w:hAnsi="Times New Roman" w:eastAsia="仿宋_GB2312" w:cs="Arial"/>
                <w:kern w:val="0"/>
                <w:sz w:val="24"/>
              </w:rPr>
              <w:t>政治建设与党风廉政</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FADB0FB">
            <w:pPr>
              <w:widowControl/>
              <w:spacing w:line="240" w:lineRule="auto"/>
              <w:rPr>
                <w:rFonts w:ascii="Times New Roman" w:hAnsi="Times New Roman" w:eastAsia="仿宋_GB2312" w:cs="Arial"/>
              </w:rPr>
            </w:pPr>
            <w:r>
              <w:rPr>
                <w:rFonts w:ascii="Times New Roman" w:hAnsi="Times New Roman" w:eastAsia="仿宋_GB2312" w:cs="Arial"/>
                <w:kern w:val="0"/>
                <w:sz w:val="24"/>
              </w:rPr>
              <w:t>10 分</w:t>
            </w:r>
          </w:p>
        </w:tc>
        <w:tc>
          <w:tcPr>
            <w:tcW w:w="59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6B7149">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 完成党建学习、意识形态工作要求，落实 “三会一课”等制度，缺项每次扣 2 分；</w:t>
            </w:r>
          </w:p>
          <w:p w14:paraId="15E5F123">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2.严格遵守中央八项规定精神与廉洁自律准则，无违规执法、吃拿卡要、收受管理服务对象礼品礼金等行为，出现轻微违规行为此项不得分，情节严重触发一票否决；</w:t>
            </w:r>
          </w:p>
          <w:p w14:paraId="3160899B">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3.严格执行保密规定，发生失泄密事件此项不得分，情节严重触发一票否决。</w:t>
            </w:r>
          </w:p>
        </w:tc>
      </w:tr>
      <w:tr w14:paraId="61207F9B">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4A1627">
            <w:pPr>
              <w:widowControl/>
              <w:spacing w:line="240" w:lineRule="auto"/>
              <w:rPr>
                <w:rFonts w:ascii="Times New Roman" w:hAnsi="Times New Roman" w:eastAsia="仿宋_GB2312" w:cs="Arial"/>
              </w:rPr>
            </w:pPr>
            <w:r>
              <w:rPr>
                <w:rFonts w:ascii="Times New Roman" w:hAnsi="Times New Roman" w:eastAsia="仿宋_GB2312" w:cs="Arial"/>
                <w:kern w:val="0"/>
                <w:sz w:val="24"/>
              </w:rPr>
              <w:t>日常管理与政令落实</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C408BBF">
            <w:pPr>
              <w:widowControl/>
              <w:spacing w:line="240" w:lineRule="auto"/>
              <w:rPr>
                <w:rFonts w:ascii="Times New Roman" w:hAnsi="Times New Roman" w:eastAsia="仿宋_GB2312" w:cs="Arial"/>
              </w:rPr>
            </w:pPr>
            <w:r>
              <w:rPr>
                <w:rFonts w:ascii="Times New Roman" w:hAnsi="Times New Roman" w:eastAsia="仿宋_GB2312" w:cs="Arial"/>
                <w:kern w:val="0"/>
                <w:sz w:val="24"/>
              </w:rPr>
              <w:t>10 分</w:t>
            </w:r>
          </w:p>
        </w:tc>
        <w:tc>
          <w:tcPr>
            <w:tcW w:w="59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33DCCFD">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1.严格遵守考勤、值班值守纪律，无故脱岗、迟到早退每次扣 1 分，值班脱岗每次扣 5 分；</w:t>
            </w:r>
          </w:p>
          <w:p w14:paraId="24EE055D">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2.按时完成上级及局党组部署的各项工作、会议决议、公文办理任务，迟报、漏报每次扣 2 分，未落实每次扣 5 分；</w:t>
            </w:r>
          </w:p>
          <w:p w14:paraId="5A509993">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3.监管台账、执法档案、工作报表规范完整、按时报送，错报、漏报、迟报每次扣 1 分，档案严重缺失此项不得分。</w:t>
            </w:r>
          </w:p>
        </w:tc>
      </w:tr>
      <w:tr w14:paraId="7768C7AE">
        <w:trPr>
          <w:trHeight w:val="2240" w:hRule="atLeast"/>
        </w:trPr>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6CC4A08">
            <w:pPr>
              <w:widowControl/>
              <w:spacing w:line="240" w:lineRule="auto"/>
              <w:rPr>
                <w:rFonts w:ascii="Times New Roman" w:hAnsi="Times New Roman" w:eastAsia="仿宋_GB2312" w:cs="Arial"/>
              </w:rPr>
            </w:pPr>
            <w:r>
              <w:rPr>
                <w:rFonts w:ascii="Times New Roman" w:hAnsi="Times New Roman" w:eastAsia="仿宋_GB2312" w:cs="Arial"/>
                <w:kern w:val="0"/>
                <w:sz w:val="24"/>
              </w:rPr>
              <w:t>应急处置与事故管理</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640DDE3">
            <w:pPr>
              <w:widowControl/>
              <w:spacing w:line="240" w:lineRule="auto"/>
              <w:rPr>
                <w:rFonts w:ascii="Times New Roman" w:hAnsi="Times New Roman" w:eastAsia="仿宋_GB2312" w:cs="Arial"/>
              </w:rPr>
            </w:pPr>
            <w:r>
              <w:rPr>
                <w:rFonts w:ascii="Times New Roman" w:hAnsi="Times New Roman" w:eastAsia="仿宋_GB2312" w:cs="Arial"/>
                <w:kern w:val="0"/>
                <w:sz w:val="24"/>
              </w:rPr>
              <w:t>10 分</w:t>
            </w:r>
          </w:p>
        </w:tc>
        <w:tc>
          <w:tcPr>
            <w:tcW w:w="59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18D2429">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1.严格执行生产安全事故信息报送制度，迟报、漏报事故信息每次扣 5 分，瞒报触发一票否决；</w:t>
            </w:r>
          </w:p>
          <w:p w14:paraId="6EB0F270">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2.事故发生后按要求快速响应、赶赴现场、配合处置，履职不到位每次扣 3-10 分；</w:t>
            </w:r>
          </w:p>
          <w:p w14:paraId="15519FB6">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3.按要求完成事故调查配合、善后处理、整改督办工作，未落实每项扣 3 分。</w:t>
            </w:r>
          </w:p>
        </w:tc>
      </w:tr>
      <w:tr w14:paraId="3E84988F">
        <w:tblPrEx>
          <w:tblCellMar>
            <w:top w:w="15" w:type="dxa"/>
            <w:left w:w="15" w:type="dxa"/>
            <w:bottom w:w="15" w:type="dxa"/>
            <w:right w:w="15" w:type="dxa"/>
          </w:tblCellMar>
        </w:tblPrEx>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9C151C1">
            <w:pPr>
              <w:widowControl/>
              <w:spacing w:line="240" w:lineRule="auto"/>
              <w:rPr>
                <w:rFonts w:ascii="Times New Roman" w:hAnsi="Times New Roman" w:eastAsia="仿宋_GB2312" w:cs="Arial"/>
              </w:rPr>
            </w:pPr>
            <w:r>
              <w:rPr>
                <w:rFonts w:ascii="Times New Roman" w:hAnsi="Times New Roman" w:eastAsia="仿宋_GB2312" w:cs="Arial"/>
                <w:kern w:val="0"/>
                <w:sz w:val="24"/>
              </w:rPr>
              <w:t>普法宣传与群众工作</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86A102F">
            <w:pPr>
              <w:widowControl/>
              <w:spacing w:line="240" w:lineRule="auto"/>
              <w:rPr>
                <w:rFonts w:ascii="Times New Roman" w:hAnsi="Times New Roman" w:eastAsia="仿宋_GB2312" w:cs="Arial"/>
              </w:rPr>
            </w:pPr>
            <w:r>
              <w:rPr>
                <w:rFonts w:ascii="Times New Roman" w:hAnsi="Times New Roman" w:eastAsia="仿宋_GB2312" w:cs="Arial"/>
                <w:kern w:val="0"/>
                <w:sz w:val="24"/>
              </w:rPr>
              <w:t>10 分</w:t>
            </w:r>
          </w:p>
        </w:tc>
        <w:tc>
          <w:tcPr>
            <w:tcW w:w="59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7FBC851">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1.完成安全生产月、普法宣传等年度宣传任务，未完成每项扣 3 分；</w:t>
            </w:r>
          </w:p>
          <w:p w14:paraId="1140C530">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2.安全生产举报投诉、信访件按时办结率 100%，每低 10% 扣 2 分，处置不当引发重复信访、负面舆情每次扣 5 分；</w:t>
            </w:r>
          </w:p>
          <w:p w14:paraId="7CD97C5B">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3.按要求完成监管企业从业人员安全培训督导工作，未落实每次扣 2 分。</w:t>
            </w:r>
          </w:p>
        </w:tc>
      </w:tr>
    </w:tbl>
    <w:p w14:paraId="7FDD7632">
      <w:pPr>
        <w:ind w:firstLine="640"/>
        <w:rPr>
          <w:rFonts w:eastAsia="黑体"/>
          <w:szCs w:val="32"/>
        </w:rPr>
        <w:sectPr>
          <w:pgSz w:w="11906" w:h="16838"/>
          <w:pgMar w:top="1440" w:right="1800" w:bottom="1440" w:left="1800" w:header="851" w:footer="992" w:gutter="0"/>
          <w:cols w:space="720" w:num="1"/>
          <w:docGrid w:type="lines" w:linePitch="312" w:charSpace="0"/>
        </w:sectPr>
      </w:pPr>
    </w:p>
    <w:p w14:paraId="6E0C4A9B">
      <w:pPr>
        <w:spacing w:line="600" w:lineRule="exact"/>
        <w:jc w:val="center"/>
        <w:rPr>
          <w:rFonts w:ascii="Times New Roman" w:hAnsi="Times New Roman" w:eastAsia="黑体" w:cs="Arial"/>
          <w:sz w:val="32"/>
          <w:szCs w:val="32"/>
        </w:rPr>
      </w:pPr>
      <w:r>
        <w:rPr>
          <w:rFonts w:ascii="Times New Roman" w:hAnsi="Times New Roman" w:eastAsia="黑体" w:cs="Arial"/>
          <w:sz w:val="32"/>
          <w:szCs w:val="32"/>
        </w:rPr>
        <w:t>第四章 科室专项业务考核指标</w:t>
      </w:r>
    </w:p>
    <w:p w14:paraId="6897129E">
      <w:pPr>
        <w:spacing w:line="600" w:lineRule="exact"/>
        <w:jc w:val="center"/>
        <w:rPr>
          <w:rFonts w:ascii="Times New Roman" w:hAnsi="Times New Roman" w:eastAsia="黑体" w:cs="Arial"/>
          <w:sz w:val="32"/>
          <w:szCs w:val="32"/>
        </w:rPr>
      </w:pPr>
      <w:r>
        <w:rPr>
          <w:rFonts w:ascii="Times New Roman" w:hAnsi="Times New Roman" w:eastAsia="黑体" w:cs="Arial"/>
          <w:sz w:val="32"/>
          <w:szCs w:val="32"/>
        </w:rPr>
        <w:t>（60 分，分科室差异化设置）</w:t>
      </w:r>
    </w:p>
    <w:p w14:paraId="06B23069">
      <w:pPr>
        <w:spacing w:line="600" w:lineRule="exact"/>
        <w:rPr>
          <w:rFonts w:ascii="Times New Roman" w:hAnsi="Times New Roman" w:eastAsia="楷体_GB2312" w:cs="Arial"/>
          <w:sz w:val="32"/>
          <w:szCs w:val="32"/>
        </w:rPr>
      </w:pPr>
    </w:p>
    <w:p w14:paraId="7CF7ED07">
      <w:pPr>
        <w:spacing w:line="600" w:lineRule="exact"/>
        <w:rPr>
          <w:rFonts w:ascii="Times New Roman" w:hAnsi="Times New Roman" w:eastAsia="楷体_GB2312" w:cs="Arial"/>
          <w:sz w:val="32"/>
          <w:szCs w:val="32"/>
        </w:rPr>
      </w:pPr>
      <w:r>
        <w:rPr>
          <w:rFonts w:ascii="Times New Roman" w:hAnsi="Times New Roman" w:eastAsia="楷体_GB2312" w:cs="Arial"/>
          <w:sz w:val="32"/>
          <w:szCs w:val="32"/>
        </w:rPr>
        <w:t>第一节 工贸科专项考核指标（60 分）</w:t>
      </w:r>
    </w:p>
    <w:p w14:paraId="4E4D3149">
      <w:pPr>
        <w:spacing w:line="600" w:lineRule="exact"/>
        <w:rPr>
          <w:rFonts w:ascii="Times New Roman" w:hAnsi="Times New Roman" w:eastAsia="楷体_GB2312" w:cs="Arial"/>
          <w:sz w:val="32"/>
          <w:szCs w:val="32"/>
        </w:rPr>
      </w:pPr>
    </w:p>
    <w:tbl>
      <w:tblPr>
        <w:tblStyle w:val="2"/>
        <w:tblW w:w="0" w:type="auto"/>
        <w:tblInd w:w="105" w:type="dxa"/>
        <w:tblLayout w:type="fixed"/>
        <w:tblCellMar>
          <w:top w:w="15" w:type="dxa"/>
          <w:left w:w="15" w:type="dxa"/>
          <w:bottom w:w="15" w:type="dxa"/>
          <w:right w:w="15" w:type="dxa"/>
        </w:tblCellMar>
      </w:tblPr>
      <w:tblGrid>
        <w:gridCol w:w="1714"/>
        <w:gridCol w:w="937"/>
        <w:gridCol w:w="5895"/>
      </w:tblGrid>
      <w:tr w14:paraId="16EDEEA9">
        <w:tblPrEx>
          <w:tblCellMar>
            <w:top w:w="15" w:type="dxa"/>
            <w:left w:w="15" w:type="dxa"/>
            <w:bottom w:w="15" w:type="dxa"/>
            <w:right w:w="15" w:type="dxa"/>
          </w:tblCellMar>
        </w:tblPrEx>
        <w:trPr>
          <w:tblHeader/>
        </w:trPr>
        <w:tc>
          <w:tcPr>
            <w:tcW w:w="171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2688E39">
            <w:pPr>
              <w:widowControl/>
              <w:spacing w:line="240" w:lineRule="auto"/>
              <w:rPr>
                <w:rFonts w:ascii="Times New Roman" w:hAnsi="Times New Roman" w:eastAsia="仿宋_GB2312" w:cs="Arial"/>
                <w:b/>
                <w:bCs/>
              </w:rPr>
            </w:pPr>
            <w:r>
              <w:rPr>
                <w:rFonts w:ascii="Times New Roman" w:hAnsi="Times New Roman" w:eastAsia="仿宋_GB2312" w:cs="Arial"/>
                <w:b/>
                <w:bCs/>
                <w:kern w:val="0"/>
                <w:sz w:val="24"/>
              </w:rPr>
              <w:t>考核模块</w:t>
            </w:r>
          </w:p>
        </w:tc>
        <w:tc>
          <w:tcPr>
            <w:tcW w:w="93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024C5E0">
            <w:pPr>
              <w:widowControl/>
              <w:spacing w:line="240" w:lineRule="auto"/>
              <w:rPr>
                <w:rFonts w:ascii="Times New Roman" w:hAnsi="Times New Roman" w:eastAsia="仿宋_GB2312" w:cs="Arial"/>
                <w:b/>
                <w:bCs/>
              </w:rPr>
            </w:pPr>
            <w:r>
              <w:rPr>
                <w:rFonts w:ascii="Times New Roman" w:hAnsi="Times New Roman" w:eastAsia="仿宋_GB2312" w:cs="Arial"/>
                <w:b/>
                <w:bCs/>
                <w:kern w:val="0"/>
                <w:sz w:val="24"/>
              </w:rPr>
              <w:t>分值</w:t>
            </w:r>
          </w:p>
        </w:tc>
        <w:tc>
          <w:tcPr>
            <w:tcW w:w="58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DC7D974">
            <w:pPr>
              <w:widowControl/>
              <w:spacing w:line="240" w:lineRule="auto"/>
              <w:rPr>
                <w:rFonts w:ascii="Times New Roman" w:hAnsi="Times New Roman" w:eastAsia="仿宋_GB2312" w:cs="Arial"/>
                <w:b/>
                <w:bCs/>
              </w:rPr>
            </w:pPr>
            <w:r>
              <w:rPr>
                <w:rFonts w:ascii="Times New Roman" w:hAnsi="Times New Roman" w:eastAsia="仿宋_GB2312" w:cs="Arial"/>
                <w:b/>
                <w:bCs/>
                <w:kern w:val="0"/>
                <w:sz w:val="24"/>
              </w:rPr>
              <w:t>考核内容与评分标准</w:t>
            </w:r>
          </w:p>
        </w:tc>
      </w:tr>
      <w:tr w14:paraId="4ADB023A">
        <w:tblPrEx>
          <w:tblCellMar>
            <w:top w:w="15" w:type="dxa"/>
            <w:left w:w="15" w:type="dxa"/>
            <w:bottom w:w="15" w:type="dxa"/>
            <w:right w:w="15" w:type="dxa"/>
          </w:tblCellMar>
        </w:tblPrEx>
        <w:trPr>
          <w:trHeight w:val="2058" w:hRule="atLeast"/>
        </w:trPr>
        <w:tc>
          <w:tcPr>
            <w:tcW w:w="171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0E98377">
            <w:pPr>
              <w:widowControl/>
              <w:spacing w:line="240" w:lineRule="auto"/>
              <w:rPr>
                <w:rFonts w:ascii="Times New Roman" w:hAnsi="Times New Roman" w:eastAsia="仿宋_GB2312" w:cs="Arial"/>
              </w:rPr>
            </w:pPr>
            <w:r>
              <w:rPr>
                <w:rFonts w:ascii="Times New Roman" w:hAnsi="Times New Roman" w:eastAsia="仿宋_GB2312" w:cs="Arial"/>
                <w:kern w:val="0"/>
                <w:sz w:val="24"/>
              </w:rPr>
              <w:t>日常监管与执法检查</w:t>
            </w:r>
          </w:p>
        </w:tc>
        <w:tc>
          <w:tcPr>
            <w:tcW w:w="93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9653D4D">
            <w:pPr>
              <w:widowControl/>
              <w:spacing w:line="240" w:lineRule="auto"/>
              <w:rPr>
                <w:rFonts w:ascii="Times New Roman" w:hAnsi="Times New Roman" w:eastAsia="仿宋_GB2312" w:cs="Arial"/>
              </w:rPr>
            </w:pPr>
            <w:r>
              <w:rPr>
                <w:rFonts w:ascii="Times New Roman" w:hAnsi="Times New Roman" w:eastAsia="仿宋_GB2312" w:cs="Arial"/>
                <w:kern w:val="0"/>
                <w:sz w:val="24"/>
              </w:rPr>
              <w:t>20 分</w:t>
            </w:r>
          </w:p>
        </w:tc>
        <w:tc>
          <w:tcPr>
            <w:tcW w:w="58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EDA158">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1.年度监督检查计划完成率 100%，每低 5% 扣 2 分，重点监管企业检查覆盖率未达 100% 此项不得分；</w:t>
            </w:r>
          </w:p>
          <w:p w14:paraId="065375CE">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2.检查发现的一般隐患闭环整改率 100%，每发现 1 条未闭环整改扣 1 分；重大隐患挂牌督办完成率 100%，每发现 1 条未按期清零扣 10 分。</w:t>
            </w:r>
          </w:p>
        </w:tc>
      </w:tr>
      <w:tr w14:paraId="24FDC7D8">
        <w:tblPrEx>
          <w:tblCellMar>
            <w:top w:w="15" w:type="dxa"/>
            <w:left w:w="15" w:type="dxa"/>
            <w:bottom w:w="15" w:type="dxa"/>
            <w:right w:w="15" w:type="dxa"/>
          </w:tblCellMar>
        </w:tblPrEx>
        <w:tc>
          <w:tcPr>
            <w:tcW w:w="171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EF15338">
            <w:pPr>
              <w:widowControl/>
              <w:spacing w:line="240" w:lineRule="auto"/>
              <w:rPr>
                <w:rFonts w:ascii="Times New Roman" w:hAnsi="Times New Roman" w:eastAsia="仿宋_GB2312" w:cs="Arial"/>
              </w:rPr>
            </w:pPr>
            <w:r>
              <w:rPr>
                <w:rFonts w:ascii="Times New Roman" w:hAnsi="Times New Roman" w:eastAsia="仿宋_GB2312" w:cs="Arial"/>
                <w:kern w:val="0"/>
                <w:sz w:val="24"/>
              </w:rPr>
              <w:t>专项整治与风险管控</w:t>
            </w:r>
          </w:p>
        </w:tc>
        <w:tc>
          <w:tcPr>
            <w:tcW w:w="93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12779E">
            <w:pPr>
              <w:widowControl/>
              <w:spacing w:line="240" w:lineRule="auto"/>
              <w:rPr>
                <w:rFonts w:ascii="Times New Roman" w:hAnsi="Times New Roman" w:eastAsia="仿宋_GB2312" w:cs="Arial"/>
              </w:rPr>
            </w:pPr>
            <w:r>
              <w:rPr>
                <w:rFonts w:ascii="Times New Roman" w:hAnsi="Times New Roman" w:eastAsia="仿宋_GB2312" w:cs="Arial"/>
                <w:kern w:val="0"/>
                <w:sz w:val="24"/>
              </w:rPr>
              <w:t>15 分</w:t>
            </w:r>
          </w:p>
        </w:tc>
        <w:tc>
          <w:tcPr>
            <w:tcW w:w="58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E83ADEF">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1.完成上级部署的工贸行业专项整治行动（粉尘涉爆、有限空间、涉氨制冷、冶金煤气等），未按要求完成每项扣 3 分，整治不到位被上级通报每次扣 5 分；</w:t>
            </w:r>
          </w:p>
          <w:p w14:paraId="0CB472E2">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2.规上工贸企业双重预防机制建设覆盖率 100%，每低 5% 扣 2 分；</w:t>
            </w:r>
          </w:p>
          <w:p w14:paraId="01A7FF67">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3.工贸企业安全生产标准化建设达标率完成年度目标，每低 5% 扣 2 分。</w:t>
            </w:r>
          </w:p>
        </w:tc>
      </w:tr>
      <w:tr w14:paraId="00914656">
        <w:tblPrEx>
          <w:tblCellMar>
            <w:top w:w="15" w:type="dxa"/>
            <w:left w:w="15" w:type="dxa"/>
            <w:bottom w:w="15" w:type="dxa"/>
            <w:right w:w="15" w:type="dxa"/>
          </w:tblCellMar>
        </w:tblPrEx>
        <w:trPr>
          <w:trHeight w:val="2843" w:hRule="atLeast"/>
        </w:trPr>
        <w:tc>
          <w:tcPr>
            <w:tcW w:w="171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6E87081">
            <w:pPr>
              <w:widowControl/>
              <w:spacing w:line="240" w:lineRule="auto"/>
              <w:rPr>
                <w:rFonts w:ascii="Times New Roman" w:hAnsi="Times New Roman" w:eastAsia="仿宋_GB2312" w:cs="Arial"/>
              </w:rPr>
            </w:pPr>
            <w:r>
              <w:rPr>
                <w:rFonts w:ascii="Times New Roman" w:hAnsi="Times New Roman" w:eastAsia="仿宋_GB2312" w:cs="Arial"/>
                <w:kern w:val="0"/>
                <w:sz w:val="24"/>
              </w:rPr>
              <w:t>主体责任落实督导</w:t>
            </w:r>
          </w:p>
        </w:tc>
        <w:tc>
          <w:tcPr>
            <w:tcW w:w="93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E30CB56">
            <w:pPr>
              <w:widowControl/>
              <w:spacing w:line="240" w:lineRule="auto"/>
              <w:rPr>
                <w:rFonts w:ascii="Times New Roman" w:hAnsi="Times New Roman" w:eastAsia="仿宋_GB2312" w:cs="Arial"/>
              </w:rPr>
            </w:pPr>
            <w:r>
              <w:rPr>
                <w:rFonts w:ascii="Times New Roman" w:hAnsi="Times New Roman" w:eastAsia="仿宋_GB2312" w:cs="Arial"/>
                <w:kern w:val="0"/>
                <w:sz w:val="24"/>
              </w:rPr>
              <w:t>10 分</w:t>
            </w:r>
          </w:p>
        </w:tc>
        <w:tc>
          <w:tcPr>
            <w:tcW w:w="58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0F56289">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1.完成工贸企业主要负责人、安全管理人员履职培训与考核督导，重点企业负责人年度考核覆盖率 100%，每低 10% 扣 2 分；</w:t>
            </w:r>
          </w:p>
          <w:p w14:paraId="60D1CF66">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2.特种作业人员持证上岗专项检查到位，每发现 1 起无证上岗、证件过期未整改扣 1 分；</w:t>
            </w:r>
          </w:p>
          <w:p w14:paraId="6C0E6DA5">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3.督促企业落实安全投入、安全管理制度建设，未按要求开展督导每次扣 2 分。</w:t>
            </w:r>
          </w:p>
        </w:tc>
      </w:tr>
      <w:tr w14:paraId="10E1B29B">
        <w:tblPrEx>
          <w:tblCellMar>
            <w:top w:w="15" w:type="dxa"/>
            <w:left w:w="15" w:type="dxa"/>
            <w:bottom w:w="15" w:type="dxa"/>
            <w:right w:w="15" w:type="dxa"/>
          </w:tblCellMar>
        </w:tblPrEx>
        <w:tc>
          <w:tcPr>
            <w:tcW w:w="171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43FA3A">
            <w:pPr>
              <w:widowControl/>
              <w:spacing w:line="240" w:lineRule="auto"/>
              <w:rPr>
                <w:rFonts w:ascii="Times New Roman" w:hAnsi="Times New Roman" w:eastAsia="仿宋_GB2312" w:cs="Arial"/>
              </w:rPr>
            </w:pPr>
            <w:r>
              <w:rPr>
                <w:rFonts w:ascii="Times New Roman" w:hAnsi="Times New Roman" w:eastAsia="仿宋_GB2312" w:cs="Arial"/>
                <w:kern w:val="0"/>
                <w:sz w:val="24"/>
              </w:rPr>
              <w:t>事故防控与基础管理</w:t>
            </w:r>
          </w:p>
        </w:tc>
        <w:tc>
          <w:tcPr>
            <w:tcW w:w="93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AE36AA0">
            <w:pPr>
              <w:widowControl/>
              <w:spacing w:line="240" w:lineRule="auto"/>
              <w:rPr>
                <w:rFonts w:ascii="Times New Roman" w:hAnsi="Times New Roman" w:eastAsia="仿宋_GB2312" w:cs="Arial"/>
              </w:rPr>
            </w:pPr>
            <w:r>
              <w:rPr>
                <w:rFonts w:ascii="Times New Roman" w:hAnsi="Times New Roman" w:eastAsia="仿宋_GB2312" w:cs="Arial"/>
                <w:kern w:val="0"/>
                <w:sz w:val="24"/>
              </w:rPr>
              <w:t>15 分</w:t>
            </w:r>
          </w:p>
        </w:tc>
        <w:tc>
          <w:tcPr>
            <w:tcW w:w="58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17E3C1C">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1.监管领域事故起数、死亡人数控制在年度下达指标内，每超 1 起一般事故扣 5 分，超指标此项不得分；</w:t>
            </w:r>
          </w:p>
          <w:p w14:paraId="12D50306">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2.监管企业 “一企一档” 完善率 100%，每发现 1 家档案缺失、信息错误扣 1 分。</w:t>
            </w:r>
          </w:p>
        </w:tc>
      </w:tr>
    </w:tbl>
    <w:p w14:paraId="3D8DAB57">
      <w:pPr>
        <w:ind w:firstLine="640"/>
        <w:rPr>
          <w:rFonts w:eastAsia="楷体_GB2312"/>
          <w:szCs w:val="32"/>
        </w:rPr>
        <w:sectPr>
          <w:pgSz w:w="11906" w:h="16838"/>
          <w:pgMar w:top="1440" w:right="1800" w:bottom="1440" w:left="1800" w:header="851" w:footer="992" w:gutter="0"/>
          <w:cols w:space="720" w:num="1"/>
          <w:docGrid w:type="lines" w:linePitch="312" w:charSpace="0"/>
        </w:sectPr>
      </w:pPr>
    </w:p>
    <w:p w14:paraId="7EF309EF">
      <w:pPr>
        <w:spacing w:line="600" w:lineRule="exact"/>
        <w:rPr>
          <w:rFonts w:ascii="Times New Roman" w:hAnsi="Times New Roman" w:eastAsia="楷体_GB2312" w:cs="Arial"/>
          <w:sz w:val="32"/>
          <w:szCs w:val="32"/>
        </w:rPr>
      </w:pPr>
    </w:p>
    <w:p w14:paraId="4CD11427">
      <w:pPr>
        <w:spacing w:line="600" w:lineRule="exact"/>
        <w:rPr>
          <w:rFonts w:ascii="Times New Roman" w:hAnsi="Times New Roman" w:eastAsia="楷体_GB2312" w:cs="Arial"/>
          <w:sz w:val="32"/>
          <w:szCs w:val="32"/>
        </w:rPr>
      </w:pPr>
      <w:r>
        <w:rPr>
          <w:rFonts w:ascii="Times New Roman" w:hAnsi="Times New Roman" w:eastAsia="楷体_GB2312" w:cs="Arial"/>
          <w:sz w:val="32"/>
          <w:szCs w:val="32"/>
        </w:rPr>
        <w:t>第二节 危化科专项考核指标（60 分）</w:t>
      </w:r>
    </w:p>
    <w:p w14:paraId="0BFEFF9A">
      <w:pPr>
        <w:spacing w:line="600" w:lineRule="exact"/>
        <w:rPr>
          <w:rFonts w:ascii="Times New Roman" w:hAnsi="Times New Roman" w:eastAsia="楷体_GB2312" w:cs="Arial"/>
          <w:sz w:val="32"/>
          <w:szCs w:val="32"/>
        </w:rPr>
      </w:pPr>
    </w:p>
    <w:tbl>
      <w:tblPr>
        <w:tblStyle w:val="2"/>
        <w:tblW w:w="0" w:type="auto"/>
        <w:tblInd w:w="105" w:type="dxa"/>
        <w:tblLayout w:type="fixed"/>
        <w:tblCellMar>
          <w:top w:w="15" w:type="dxa"/>
          <w:left w:w="15" w:type="dxa"/>
          <w:bottom w:w="15" w:type="dxa"/>
          <w:right w:w="15" w:type="dxa"/>
        </w:tblCellMar>
      </w:tblPr>
      <w:tblGrid>
        <w:gridCol w:w="1694"/>
        <w:gridCol w:w="935"/>
        <w:gridCol w:w="5936"/>
      </w:tblGrid>
      <w:tr w14:paraId="4221A390">
        <w:trPr>
          <w:tblHeader/>
        </w:trPr>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A06BD8">
            <w:pPr>
              <w:widowControl/>
              <w:spacing w:line="240" w:lineRule="auto"/>
              <w:rPr>
                <w:rFonts w:ascii="Times New Roman" w:hAnsi="Times New Roman" w:eastAsia="仿宋_GB2312" w:cs="Arial"/>
                <w:b/>
                <w:bCs/>
              </w:rPr>
            </w:pPr>
            <w:r>
              <w:rPr>
                <w:rFonts w:ascii="Times New Roman" w:hAnsi="Times New Roman" w:eastAsia="仿宋_GB2312" w:cs="Arial"/>
                <w:b/>
                <w:bCs/>
                <w:kern w:val="0"/>
                <w:sz w:val="24"/>
              </w:rPr>
              <w:t>考核模块</w:t>
            </w:r>
          </w:p>
        </w:tc>
        <w:tc>
          <w:tcPr>
            <w:tcW w:w="93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5562073">
            <w:pPr>
              <w:widowControl/>
              <w:spacing w:line="240" w:lineRule="auto"/>
              <w:rPr>
                <w:rFonts w:ascii="Times New Roman" w:hAnsi="Times New Roman" w:eastAsia="仿宋_GB2312" w:cs="Arial"/>
                <w:b/>
                <w:bCs/>
              </w:rPr>
            </w:pPr>
            <w:r>
              <w:rPr>
                <w:rFonts w:ascii="Times New Roman" w:hAnsi="Times New Roman" w:eastAsia="仿宋_GB2312" w:cs="Arial"/>
                <w:b/>
                <w:bCs/>
                <w:kern w:val="0"/>
                <w:sz w:val="24"/>
              </w:rPr>
              <w:t>分值</w:t>
            </w:r>
          </w:p>
        </w:tc>
        <w:tc>
          <w:tcPr>
            <w:tcW w:w="593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427B398">
            <w:pPr>
              <w:widowControl/>
              <w:spacing w:line="240" w:lineRule="auto"/>
              <w:rPr>
                <w:rFonts w:ascii="Times New Roman" w:hAnsi="Times New Roman" w:eastAsia="仿宋_GB2312" w:cs="Arial"/>
                <w:b/>
                <w:bCs/>
              </w:rPr>
            </w:pPr>
            <w:r>
              <w:rPr>
                <w:rFonts w:ascii="Times New Roman" w:hAnsi="Times New Roman" w:eastAsia="仿宋_GB2312" w:cs="Arial"/>
                <w:b/>
                <w:bCs/>
                <w:kern w:val="0"/>
                <w:sz w:val="24"/>
              </w:rPr>
              <w:t>考核内容与评分标准</w:t>
            </w:r>
          </w:p>
        </w:tc>
      </w:tr>
      <w:tr w14:paraId="5F29E081">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8CA0E2">
            <w:pPr>
              <w:widowControl/>
              <w:spacing w:line="240" w:lineRule="auto"/>
              <w:rPr>
                <w:rFonts w:ascii="Times New Roman" w:hAnsi="Times New Roman" w:eastAsia="仿宋_GB2312" w:cs="Arial"/>
              </w:rPr>
            </w:pPr>
            <w:r>
              <w:rPr>
                <w:rFonts w:ascii="Times New Roman" w:hAnsi="Times New Roman" w:eastAsia="仿宋_GB2312" w:cs="Arial"/>
                <w:kern w:val="0"/>
                <w:sz w:val="24"/>
              </w:rPr>
              <w:t>日常监管与执法检查</w:t>
            </w:r>
          </w:p>
        </w:tc>
        <w:tc>
          <w:tcPr>
            <w:tcW w:w="93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104C235">
            <w:pPr>
              <w:widowControl/>
              <w:spacing w:line="240" w:lineRule="auto"/>
              <w:rPr>
                <w:rFonts w:ascii="Times New Roman" w:hAnsi="Times New Roman" w:eastAsia="仿宋_GB2312" w:cs="Arial"/>
              </w:rPr>
            </w:pPr>
            <w:r>
              <w:rPr>
                <w:rFonts w:ascii="Times New Roman" w:hAnsi="Times New Roman" w:eastAsia="仿宋_GB2312" w:cs="Arial"/>
                <w:kern w:val="0"/>
                <w:sz w:val="24"/>
              </w:rPr>
              <w:t>20 分</w:t>
            </w:r>
          </w:p>
        </w:tc>
        <w:tc>
          <w:tcPr>
            <w:tcW w:w="593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E9B6FBA">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1.年度监督检查计划完成率 100%，危化品重大危险源企业、重点经营储存企业年度检查覆盖率 100%，每低 5% 扣 2 分，重点企业漏检此项不得分；</w:t>
            </w:r>
          </w:p>
          <w:p w14:paraId="0C1A11CF">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2.一般隐患闭环整改率 100%，每发现 1 条未闭环扣 1 分；重大隐患挂牌督办完成率 100%，每发现 1 条未按期清零扣 10 分。</w:t>
            </w:r>
          </w:p>
        </w:tc>
      </w:tr>
      <w:tr w14:paraId="40D6A802">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4969871">
            <w:pPr>
              <w:widowControl/>
              <w:spacing w:line="240" w:lineRule="auto"/>
              <w:rPr>
                <w:rFonts w:ascii="Times New Roman" w:hAnsi="Times New Roman" w:eastAsia="仿宋_GB2312" w:cs="Arial"/>
              </w:rPr>
            </w:pPr>
            <w:r>
              <w:rPr>
                <w:rFonts w:ascii="Times New Roman" w:hAnsi="Times New Roman" w:eastAsia="仿宋_GB2312" w:cs="Arial"/>
                <w:kern w:val="0"/>
                <w:sz w:val="24"/>
              </w:rPr>
              <w:t>专项整治与风险管控</w:t>
            </w:r>
          </w:p>
        </w:tc>
        <w:tc>
          <w:tcPr>
            <w:tcW w:w="93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0631041">
            <w:pPr>
              <w:widowControl/>
              <w:spacing w:line="240" w:lineRule="auto"/>
              <w:rPr>
                <w:rFonts w:ascii="Times New Roman" w:hAnsi="Times New Roman" w:eastAsia="仿宋_GB2312" w:cs="Arial"/>
              </w:rPr>
            </w:pPr>
            <w:r>
              <w:rPr>
                <w:rFonts w:ascii="Times New Roman" w:hAnsi="Times New Roman" w:eastAsia="仿宋_GB2312" w:cs="Arial"/>
                <w:kern w:val="0"/>
                <w:sz w:val="24"/>
              </w:rPr>
              <w:t>15 分</w:t>
            </w:r>
          </w:p>
        </w:tc>
        <w:tc>
          <w:tcPr>
            <w:tcW w:w="593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37341FC">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1.完成危化品安全专项整治年度任务，未按要求完成每项扣 3 分，整治不到位被上级通报每次扣 5 分；</w:t>
            </w:r>
          </w:p>
          <w:p w14:paraId="27B75F7B">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2.危化品重大危险源在线监测预警覆盖率、联网率 100%，每低 5% 扣 3 分；重大危险源企业双重预防机制建设覆盖率 100%，每低 5% 扣 2 分；</w:t>
            </w:r>
          </w:p>
        </w:tc>
      </w:tr>
      <w:tr w14:paraId="265BFF1F">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5F822A8">
            <w:pPr>
              <w:widowControl/>
              <w:spacing w:line="240" w:lineRule="auto"/>
              <w:rPr>
                <w:rFonts w:ascii="Times New Roman" w:hAnsi="Times New Roman" w:eastAsia="仿宋_GB2312" w:cs="Arial"/>
              </w:rPr>
            </w:pPr>
            <w:r>
              <w:rPr>
                <w:rFonts w:ascii="Times New Roman" w:hAnsi="Times New Roman" w:eastAsia="仿宋_GB2312" w:cs="Arial"/>
                <w:kern w:val="0"/>
                <w:sz w:val="24"/>
              </w:rPr>
              <w:t>许可管理与源头管控</w:t>
            </w:r>
          </w:p>
        </w:tc>
        <w:tc>
          <w:tcPr>
            <w:tcW w:w="93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5636EA">
            <w:pPr>
              <w:widowControl/>
              <w:spacing w:line="240" w:lineRule="auto"/>
              <w:rPr>
                <w:rFonts w:ascii="Times New Roman" w:hAnsi="Times New Roman" w:eastAsia="仿宋_GB2312" w:cs="Arial"/>
              </w:rPr>
            </w:pPr>
            <w:r>
              <w:rPr>
                <w:rFonts w:ascii="Times New Roman" w:hAnsi="Times New Roman" w:eastAsia="仿宋_GB2312" w:cs="Arial"/>
                <w:kern w:val="0"/>
                <w:sz w:val="24"/>
              </w:rPr>
              <w:t>10 分</w:t>
            </w:r>
          </w:p>
        </w:tc>
        <w:tc>
          <w:tcPr>
            <w:tcW w:w="593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85651B">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1.危化品相关行政许可初审、复核合规率、及时率 100%，出现材料审核不严、超期办理每次扣 3 分，许可档案完整规范，缺项每次扣 1 分；</w:t>
            </w:r>
          </w:p>
          <w:p w14:paraId="79849C30">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2.危化品新建、改建、扩建项目安全设施 “三同时” 监管到位，每发现 1 起未落实 “三同时” 擅自投产扣 5 分；</w:t>
            </w:r>
          </w:p>
          <w:p w14:paraId="6F68E667">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3.完成危化品企业登记年度任务，登记完成率 100%，每低 5% 扣 2 分。</w:t>
            </w:r>
          </w:p>
        </w:tc>
      </w:tr>
      <w:tr w14:paraId="5E7696B3">
        <w:tc>
          <w:tcPr>
            <w:tcW w:w="169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2570BEC">
            <w:pPr>
              <w:widowControl/>
              <w:spacing w:line="240" w:lineRule="auto"/>
              <w:rPr>
                <w:rFonts w:ascii="Times New Roman" w:hAnsi="Times New Roman" w:eastAsia="仿宋_GB2312" w:cs="Arial"/>
              </w:rPr>
            </w:pPr>
            <w:r>
              <w:rPr>
                <w:rFonts w:ascii="Times New Roman" w:hAnsi="Times New Roman" w:eastAsia="仿宋_GB2312" w:cs="Arial"/>
                <w:kern w:val="0"/>
                <w:sz w:val="24"/>
              </w:rPr>
              <w:t>事故防控与基础管理</w:t>
            </w:r>
          </w:p>
        </w:tc>
        <w:tc>
          <w:tcPr>
            <w:tcW w:w="93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713766">
            <w:pPr>
              <w:widowControl/>
              <w:spacing w:line="240" w:lineRule="auto"/>
              <w:rPr>
                <w:rFonts w:ascii="Times New Roman" w:hAnsi="Times New Roman" w:eastAsia="仿宋_GB2312" w:cs="Arial"/>
              </w:rPr>
            </w:pPr>
            <w:r>
              <w:rPr>
                <w:rFonts w:ascii="Times New Roman" w:hAnsi="Times New Roman" w:eastAsia="仿宋_GB2312" w:cs="Arial"/>
                <w:kern w:val="0"/>
                <w:sz w:val="24"/>
              </w:rPr>
              <w:t>15 分</w:t>
            </w:r>
          </w:p>
        </w:tc>
        <w:tc>
          <w:tcPr>
            <w:tcW w:w="593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26715A7">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 xml:space="preserve">1.监管领域事故起数、死亡人数控制在年度下达指标内，每超 1 起一般事故扣 5 分，超指标此项不得分；    </w:t>
            </w:r>
          </w:p>
          <w:p w14:paraId="67B67A16">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2. 督导企业完成应急预案修编与年度应急演练，未按要求开展督导每次扣 2 分；监管企业 “一企一档” 完善率 100%，每发现 1 家档案缺失扣 1 分。</w:t>
            </w:r>
          </w:p>
        </w:tc>
      </w:tr>
    </w:tbl>
    <w:p w14:paraId="068042C6">
      <w:pPr>
        <w:ind w:firstLine="640"/>
        <w:rPr>
          <w:rFonts w:eastAsia="楷体_GB2312"/>
          <w:szCs w:val="32"/>
        </w:rPr>
        <w:sectPr>
          <w:pgSz w:w="11906" w:h="16838"/>
          <w:pgMar w:top="1440" w:right="1800" w:bottom="1440" w:left="1800" w:header="851" w:footer="992" w:gutter="0"/>
          <w:cols w:space="720" w:num="1"/>
          <w:docGrid w:type="lines" w:linePitch="312" w:charSpace="0"/>
        </w:sectPr>
      </w:pPr>
    </w:p>
    <w:p w14:paraId="018E4F12">
      <w:pPr>
        <w:spacing w:line="600" w:lineRule="exact"/>
        <w:rPr>
          <w:rFonts w:ascii="Times New Roman" w:hAnsi="Times New Roman" w:eastAsia="楷体_GB2312" w:cs="Arial"/>
          <w:sz w:val="32"/>
          <w:szCs w:val="32"/>
        </w:rPr>
      </w:pPr>
    </w:p>
    <w:p w14:paraId="4B7C0E4D">
      <w:pPr>
        <w:spacing w:line="600" w:lineRule="exact"/>
        <w:rPr>
          <w:rFonts w:ascii="Times New Roman" w:hAnsi="Times New Roman" w:eastAsia="楷体_GB2312" w:cs="Arial"/>
          <w:sz w:val="32"/>
          <w:szCs w:val="32"/>
        </w:rPr>
      </w:pPr>
      <w:r>
        <w:rPr>
          <w:rFonts w:ascii="Times New Roman" w:hAnsi="Times New Roman" w:eastAsia="楷体_GB2312" w:cs="Arial"/>
          <w:sz w:val="32"/>
          <w:szCs w:val="32"/>
        </w:rPr>
        <w:t>第三节 综合科专项考核指标（60 分）</w:t>
      </w:r>
    </w:p>
    <w:p w14:paraId="713D729E">
      <w:pPr>
        <w:spacing w:line="600" w:lineRule="exact"/>
        <w:rPr>
          <w:rFonts w:ascii="Times New Roman" w:hAnsi="Times New Roman" w:eastAsia="楷体_GB2312" w:cs="Arial"/>
          <w:sz w:val="32"/>
          <w:szCs w:val="32"/>
        </w:rPr>
      </w:pPr>
    </w:p>
    <w:tbl>
      <w:tblPr>
        <w:tblStyle w:val="2"/>
        <w:tblW w:w="0" w:type="auto"/>
        <w:tblInd w:w="105" w:type="dxa"/>
        <w:tblLayout w:type="fixed"/>
        <w:tblCellMar>
          <w:top w:w="15" w:type="dxa"/>
          <w:left w:w="15" w:type="dxa"/>
          <w:bottom w:w="15" w:type="dxa"/>
          <w:right w:w="15" w:type="dxa"/>
        </w:tblCellMar>
      </w:tblPr>
      <w:tblGrid>
        <w:gridCol w:w="1670"/>
        <w:gridCol w:w="947"/>
        <w:gridCol w:w="5929"/>
      </w:tblGrid>
      <w:tr w14:paraId="5C190700">
        <w:tblPrEx>
          <w:tblCellMar>
            <w:top w:w="15" w:type="dxa"/>
            <w:left w:w="15" w:type="dxa"/>
            <w:bottom w:w="15" w:type="dxa"/>
            <w:right w:w="15" w:type="dxa"/>
          </w:tblCellMar>
        </w:tblPrEx>
        <w:trPr>
          <w:tblHeader/>
        </w:trPr>
        <w:tc>
          <w:tcPr>
            <w:tcW w:w="167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D630A1D">
            <w:pPr>
              <w:widowControl/>
              <w:spacing w:line="240" w:lineRule="auto"/>
              <w:rPr>
                <w:rFonts w:ascii="Times New Roman" w:hAnsi="Times New Roman" w:eastAsia="仿宋_GB2312" w:cs="Arial"/>
                <w:b/>
                <w:bCs/>
              </w:rPr>
            </w:pPr>
            <w:r>
              <w:rPr>
                <w:rFonts w:ascii="Times New Roman" w:hAnsi="Times New Roman" w:eastAsia="仿宋_GB2312" w:cs="Arial"/>
                <w:b/>
                <w:bCs/>
                <w:kern w:val="0"/>
                <w:sz w:val="24"/>
              </w:rPr>
              <w:t>考核模块</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B87D7F9">
            <w:pPr>
              <w:widowControl/>
              <w:spacing w:line="240" w:lineRule="auto"/>
              <w:rPr>
                <w:rFonts w:ascii="Times New Roman" w:hAnsi="Times New Roman" w:eastAsia="仿宋_GB2312" w:cs="Arial"/>
                <w:b/>
                <w:bCs/>
              </w:rPr>
            </w:pPr>
            <w:r>
              <w:rPr>
                <w:rFonts w:ascii="Times New Roman" w:hAnsi="Times New Roman" w:eastAsia="仿宋_GB2312" w:cs="Arial"/>
                <w:b/>
                <w:bCs/>
                <w:kern w:val="0"/>
                <w:sz w:val="24"/>
              </w:rPr>
              <w:t>分值</w:t>
            </w:r>
          </w:p>
        </w:tc>
        <w:tc>
          <w:tcPr>
            <w:tcW w:w="592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5753256">
            <w:pPr>
              <w:widowControl/>
              <w:spacing w:line="240" w:lineRule="auto"/>
              <w:rPr>
                <w:rFonts w:ascii="Times New Roman" w:hAnsi="Times New Roman" w:eastAsia="仿宋_GB2312" w:cs="Arial"/>
                <w:b/>
                <w:bCs/>
              </w:rPr>
            </w:pPr>
            <w:r>
              <w:rPr>
                <w:rFonts w:ascii="Times New Roman" w:hAnsi="Times New Roman" w:eastAsia="仿宋_GB2312" w:cs="Arial"/>
                <w:b/>
                <w:bCs/>
                <w:kern w:val="0"/>
                <w:sz w:val="24"/>
              </w:rPr>
              <w:t>考核内容与评分标准</w:t>
            </w:r>
          </w:p>
        </w:tc>
      </w:tr>
      <w:tr w14:paraId="66E05E5E">
        <w:tblPrEx>
          <w:tblCellMar>
            <w:top w:w="15" w:type="dxa"/>
            <w:left w:w="15" w:type="dxa"/>
            <w:bottom w:w="15" w:type="dxa"/>
            <w:right w:w="15" w:type="dxa"/>
          </w:tblCellMar>
        </w:tblPrEx>
        <w:tc>
          <w:tcPr>
            <w:tcW w:w="167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2E6B35">
            <w:pPr>
              <w:widowControl/>
              <w:spacing w:line="240" w:lineRule="auto"/>
              <w:rPr>
                <w:rFonts w:ascii="Times New Roman" w:hAnsi="Times New Roman" w:eastAsia="仿宋_GB2312" w:cs="Arial"/>
              </w:rPr>
            </w:pPr>
            <w:r>
              <w:rPr>
                <w:rFonts w:ascii="Times New Roman" w:hAnsi="Times New Roman" w:eastAsia="仿宋_GB2312" w:cs="Arial"/>
                <w:kern w:val="0"/>
                <w:sz w:val="24"/>
              </w:rPr>
              <w:t>园区整体安全管控</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AD3B2C9">
            <w:pPr>
              <w:widowControl/>
              <w:spacing w:line="240" w:lineRule="auto"/>
              <w:rPr>
                <w:rFonts w:ascii="Times New Roman" w:hAnsi="Times New Roman" w:eastAsia="仿宋_GB2312" w:cs="Arial"/>
              </w:rPr>
            </w:pPr>
            <w:r>
              <w:rPr>
                <w:rFonts w:ascii="Times New Roman" w:hAnsi="Times New Roman" w:eastAsia="仿宋_GB2312" w:cs="Arial"/>
                <w:kern w:val="0"/>
                <w:sz w:val="24"/>
              </w:rPr>
              <w:t>20 分</w:t>
            </w:r>
          </w:p>
        </w:tc>
        <w:tc>
          <w:tcPr>
            <w:tcW w:w="592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67E9D65">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1.完成化工园区安全风险等级复核与提升工作，未达到既定风险等级目标此项不得分；</w:t>
            </w:r>
          </w:p>
          <w:p w14:paraId="4268CD09">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2.园区封闭化管理、智能化监管平台稳定运行，功能达标，运行异常未及时整改每次扣 3 分；</w:t>
            </w:r>
          </w:p>
          <w:p w14:paraId="498EA597">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3.按要求完成园区整体性安全风险评估，公用工程、消防应急、安全防护配套设施完善，缺项、整改不到位每次扣 3 分；</w:t>
            </w:r>
          </w:p>
          <w:p w14:paraId="00736B19">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4.园区安全管理各项制度健全，未建立、未落实每项扣 2 分。</w:t>
            </w:r>
          </w:p>
        </w:tc>
      </w:tr>
      <w:tr w14:paraId="6A091A6A">
        <w:tblPrEx>
          <w:tblCellMar>
            <w:top w:w="15" w:type="dxa"/>
            <w:left w:w="15" w:type="dxa"/>
            <w:bottom w:w="15" w:type="dxa"/>
            <w:right w:w="15" w:type="dxa"/>
          </w:tblCellMar>
        </w:tblPrEx>
        <w:tc>
          <w:tcPr>
            <w:tcW w:w="167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8913682">
            <w:pPr>
              <w:widowControl/>
              <w:spacing w:line="240" w:lineRule="auto"/>
              <w:rPr>
                <w:rFonts w:ascii="Times New Roman" w:hAnsi="Times New Roman" w:eastAsia="仿宋_GB2312" w:cs="Arial"/>
              </w:rPr>
            </w:pPr>
            <w:r>
              <w:rPr>
                <w:rFonts w:ascii="Times New Roman" w:hAnsi="Times New Roman" w:eastAsia="仿宋_GB2312" w:cs="Arial"/>
                <w:kern w:val="0"/>
                <w:sz w:val="24"/>
              </w:rPr>
              <w:t>园内企业监管与执法</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5E4EFEC">
            <w:pPr>
              <w:widowControl/>
              <w:spacing w:line="240" w:lineRule="auto"/>
              <w:rPr>
                <w:rFonts w:ascii="Times New Roman" w:hAnsi="Times New Roman" w:eastAsia="仿宋_GB2312" w:cs="Arial"/>
              </w:rPr>
            </w:pPr>
            <w:r>
              <w:rPr>
                <w:rFonts w:ascii="Times New Roman" w:hAnsi="Times New Roman" w:eastAsia="仿宋_GB2312" w:cs="Arial"/>
                <w:kern w:val="0"/>
                <w:sz w:val="24"/>
              </w:rPr>
              <w:t>15 分</w:t>
            </w:r>
          </w:p>
        </w:tc>
        <w:tc>
          <w:tcPr>
            <w:tcW w:w="592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AD4EA48">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1.年度园区内企业监督检查计划完成率 100%，重点企业检查覆盖率 100%，每低 5% 扣 2 分；</w:t>
            </w:r>
          </w:p>
          <w:p w14:paraId="152C92D1">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2.企业隐患闭环整改率 100%，一般隐患每 1 条未闭环扣 1 分，重大隐患未按期清零每条扣 10 分；</w:t>
            </w:r>
          </w:p>
        </w:tc>
      </w:tr>
      <w:tr w14:paraId="24A69016">
        <w:tblPrEx>
          <w:tblCellMar>
            <w:top w:w="15" w:type="dxa"/>
            <w:left w:w="15" w:type="dxa"/>
            <w:bottom w:w="15" w:type="dxa"/>
            <w:right w:w="15" w:type="dxa"/>
          </w:tblCellMar>
        </w:tblPrEx>
        <w:tc>
          <w:tcPr>
            <w:tcW w:w="167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A474113">
            <w:pPr>
              <w:widowControl/>
              <w:spacing w:line="240" w:lineRule="auto"/>
              <w:rPr>
                <w:rFonts w:ascii="Times New Roman" w:hAnsi="Times New Roman" w:eastAsia="仿宋_GB2312" w:cs="Arial"/>
              </w:rPr>
            </w:pPr>
            <w:r>
              <w:rPr>
                <w:rFonts w:ascii="Times New Roman" w:hAnsi="Times New Roman" w:eastAsia="仿宋_GB2312" w:cs="Arial"/>
                <w:kern w:val="0"/>
                <w:sz w:val="24"/>
              </w:rPr>
              <w:t>源头管控与入园管理</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A987DAD">
            <w:pPr>
              <w:widowControl/>
              <w:spacing w:line="240" w:lineRule="auto"/>
              <w:rPr>
                <w:rFonts w:ascii="Times New Roman" w:hAnsi="Times New Roman" w:eastAsia="仿宋_GB2312" w:cs="Arial"/>
              </w:rPr>
            </w:pPr>
            <w:r>
              <w:rPr>
                <w:rFonts w:ascii="Times New Roman" w:hAnsi="Times New Roman" w:eastAsia="仿宋_GB2312" w:cs="Arial"/>
                <w:kern w:val="0"/>
                <w:sz w:val="24"/>
              </w:rPr>
              <w:t>10 分</w:t>
            </w:r>
          </w:p>
        </w:tc>
        <w:tc>
          <w:tcPr>
            <w:tcW w:w="592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71A0E6B">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1.入园项目安全准入审查合规率 100%，严格落实化工产业发展规划与禁限控目录，出现违规准入每次扣 5 分；</w:t>
            </w:r>
          </w:p>
          <w:p w14:paraId="6DA7FE07">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2.园内新建、改建、扩建项目安全设施 “三同时” 监管到位，每发现 1 起未落实 “三同时” 擅自建设、投产扣 5 分；</w:t>
            </w:r>
          </w:p>
          <w:p w14:paraId="60C9469B">
            <w:pPr>
              <w:widowControl/>
              <w:spacing w:line="240" w:lineRule="auto"/>
              <w:ind w:firstLine="420" w:firstLineChars="200"/>
              <w:rPr>
                <w:rFonts w:ascii="Times New Roman" w:hAnsi="Times New Roman" w:eastAsia="仿宋_GB2312" w:cs="Arial"/>
              </w:rPr>
            </w:pPr>
          </w:p>
        </w:tc>
      </w:tr>
      <w:tr w14:paraId="2E9734A8">
        <w:tblPrEx>
          <w:tblCellMar>
            <w:top w:w="15" w:type="dxa"/>
            <w:left w:w="15" w:type="dxa"/>
            <w:bottom w:w="15" w:type="dxa"/>
            <w:right w:w="15" w:type="dxa"/>
          </w:tblCellMar>
        </w:tblPrEx>
        <w:tc>
          <w:tcPr>
            <w:tcW w:w="167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F2656D">
            <w:pPr>
              <w:widowControl/>
              <w:spacing w:line="240" w:lineRule="auto"/>
              <w:rPr>
                <w:rFonts w:ascii="Times New Roman" w:hAnsi="Times New Roman" w:eastAsia="仿宋_GB2312" w:cs="Arial"/>
              </w:rPr>
            </w:pPr>
            <w:r>
              <w:rPr>
                <w:rFonts w:ascii="Times New Roman" w:hAnsi="Times New Roman" w:eastAsia="仿宋_GB2312" w:cs="Arial"/>
                <w:kern w:val="0"/>
                <w:sz w:val="24"/>
              </w:rPr>
              <w:t>园区应急体系与基础管理</w:t>
            </w:r>
          </w:p>
        </w:tc>
        <w:tc>
          <w:tcPr>
            <w:tcW w:w="94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229BA61">
            <w:pPr>
              <w:widowControl/>
              <w:spacing w:line="240" w:lineRule="auto"/>
              <w:rPr>
                <w:rFonts w:ascii="Times New Roman" w:hAnsi="Times New Roman" w:eastAsia="仿宋_GB2312" w:cs="Arial"/>
              </w:rPr>
            </w:pPr>
            <w:r>
              <w:rPr>
                <w:rFonts w:ascii="Times New Roman" w:hAnsi="Times New Roman" w:eastAsia="仿宋_GB2312" w:cs="Arial"/>
                <w:kern w:val="0"/>
                <w:sz w:val="24"/>
              </w:rPr>
              <w:t>15 分</w:t>
            </w:r>
          </w:p>
        </w:tc>
        <w:tc>
          <w:tcPr>
            <w:tcW w:w="592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5DFBC0F">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1.园区应急预案修编规范，年度综合性应急演练按期完成，未完成扣 5 分；园内企业应急演练督导到位，未落实每次扣 2 分；</w:t>
            </w:r>
          </w:p>
          <w:p w14:paraId="433E545B">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2.园区应急救援队伍、应急物资储备达标，缺项、不足未整改每次扣 3 分；</w:t>
            </w:r>
          </w:p>
          <w:p w14:paraId="49370DC9">
            <w:pPr>
              <w:widowControl/>
              <w:spacing w:line="240" w:lineRule="auto"/>
              <w:ind w:firstLine="480" w:firstLineChars="200"/>
              <w:rPr>
                <w:rFonts w:ascii="Times New Roman" w:hAnsi="Times New Roman" w:eastAsia="仿宋_GB2312" w:cs="Arial"/>
                <w:kern w:val="0"/>
                <w:sz w:val="24"/>
              </w:rPr>
            </w:pPr>
            <w:r>
              <w:rPr>
                <w:rFonts w:ascii="Times New Roman" w:hAnsi="Times New Roman" w:eastAsia="仿宋_GB2312" w:cs="Arial"/>
                <w:kern w:val="0"/>
                <w:sz w:val="24"/>
              </w:rPr>
              <w:t>3.园区内事故起数、死亡人数控制在年度下达指标内，每超 1 起一般事故扣 5 分，超指标此项不得分；</w:t>
            </w:r>
          </w:p>
          <w:p w14:paraId="6018B2FB">
            <w:pPr>
              <w:widowControl/>
              <w:spacing w:line="240" w:lineRule="auto"/>
              <w:ind w:firstLine="480" w:firstLineChars="200"/>
              <w:rPr>
                <w:rFonts w:ascii="Times New Roman" w:hAnsi="Times New Roman" w:eastAsia="仿宋_GB2312" w:cs="Arial"/>
              </w:rPr>
            </w:pPr>
            <w:r>
              <w:rPr>
                <w:rFonts w:ascii="Times New Roman" w:hAnsi="Times New Roman" w:eastAsia="仿宋_GB2312" w:cs="Arial"/>
                <w:kern w:val="0"/>
                <w:sz w:val="24"/>
              </w:rPr>
              <w:t>4.园区及企业监管档案完善率 100%，档案缺失、信息错误每次扣 1 分。</w:t>
            </w:r>
          </w:p>
        </w:tc>
      </w:tr>
    </w:tbl>
    <w:p w14:paraId="79CBD2F7">
      <w:pPr>
        <w:ind w:firstLine="640"/>
        <w:rPr>
          <w:rFonts w:eastAsia="黑体"/>
          <w:szCs w:val="32"/>
        </w:rPr>
        <w:sectPr>
          <w:pgSz w:w="11906" w:h="16838"/>
          <w:pgMar w:top="1440" w:right="1800" w:bottom="1440" w:left="1800" w:header="851" w:footer="992" w:gutter="0"/>
          <w:cols w:space="720" w:num="1"/>
          <w:docGrid w:type="lines" w:linePitch="312" w:charSpace="0"/>
        </w:sectPr>
      </w:pPr>
    </w:p>
    <w:p w14:paraId="1B6947F1">
      <w:pPr>
        <w:spacing w:line="600" w:lineRule="exact"/>
        <w:jc w:val="center"/>
        <w:rPr>
          <w:rFonts w:ascii="Times New Roman" w:hAnsi="Times New Roman" w:eastAsia="黑体" w:cs="Arial"/>
          <w:sz w:val="32"/>
          <w:szCs w:val="32"/>
        </w:rPr>
      </w:pPr>
      <w:r>
        <w:rPr>
          <w:rFonts w:ascii="Times New Roman" w:hAnsi="Times New Roman" w:eastAsia="黑体" w:cs="Arial"/>
          <w:sz w:val="32"/>
          <w:szCs w:val="32"/>
        </w:rPr>
        <w:t>第五章 一票否决、加分与减分项</w:t>
      </w:r>
    </w:p>
    <w:p w14:paraId="30F9A5EB">
      <w:pPr>
        <w:spacing w:line="60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第七条 一票否决项</w:t>
      </w:r>
    </w:p>
    <w:p w14:paraId="745EF924">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科室及工作人员出现以下情形之一的，年度考核直接评定为不合格，取消科室及个人全年评优评先资格：</w:t>
      </w:r>
    </w:p>
    <w:p w14:paraId="7A88D2EF">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1.监管领域发生较大及以上生产安全责任事故，且科室存在监管失职渎职行为的；</w:t>
      </w:r>
    </w:p>
    <w:p w14:paraId="6E111A93">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2.因监管不到位，重大事故隐患未及时发现、未督促整改，引发生产安全事故的；</w:t>
      </w:r>
    </w:p>
    <w:p w14:paraId="21356E11">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3.出现瞒报、谎报生产安全事故行为的；</w:t>
      </w:r>
    </w:p>
    <w:p w14:paraId="19CC54F9">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4.科室人员发生党风廉政违纪违法案件，被立案查处的；</w:t>
      </w:r>
    </w:p>
    <w:p w14:paraId="4EE4A348">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5.执法过程中出现重大程序违法、滥用职权，造成恶劣社会影响的；</w:t>
      </w:r>
    </w:p>
    <w:p w14:paraId="3458DE4B">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6.考核数据弄虚作假，情节严重的；</w:t>
      </w:r>
    </w:p>
    <w:p w14:paraId="5054B49E">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7.发生重大负面舆情，处置不当造成严重不良影响的。</w:t>
      </w:r>
    </w:p>
    <w:p w14:paraId="5CA1F547">
      <w:pPr>
        <w:spacing w:line="60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第八条 加分项（累计加分上不封顶）</w:t>
      </w:r>
    </w:p>
    <w:p w14:paraId="4C4B8380">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1.监管领域全年实现零生产安全责任事故的，加 10 分；专项工作、创新监管举措获市级及以上通报表扬、经验推广的，市级每次加 5 分，省级及以上每次加 10 分；</w:t>
      </w:r>
    </w:p>
    <w:p w14:paraId="0800B61F">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2.成功处置重大险情、重大隐患，有效避免较大及以上事故发生的，每次加 10 分；</w:t>
      </w:r>
    </w:p>
    <w:p w14:paraId="1E5776F7">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3.查办重大安全生产违法案件，被上级列为典型案例的，每次加 5 分；</w:t>
      </w:r>
    </w:p>
    <w:p w14:paraId="1C7BA1F2">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4.安全生产举报核查有功，破获重大非法违法生产经营案件的，每次加 3 分。</w:t>
      </w:r>
    </w:p>
    <w:p w14:paraId="4E008DF1">
      <w:pPr>
        <w:spacing w:line="60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第九条 减分项（累计扣分不保底）</w:t>
      </w:r>
    </w:p>
    <w:p w14:paraId="065225E7">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1.监管领域发生一般生产安全责任事故，每起扣 5-10 分；</w:t>
      </w:r>
    </w:p>
    <w:p w14:paraId="1884D01C">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2.被上级部门督查通报、挂牌督办的问题，未按期整改完成的，每次扣 5 分；</w:t>
      </w:r>
    </w:p>
    <w:p w14:paraId="3A3076B3">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3.未按要求完成上级部署的重点工作，被通报批评的，每次扣 3-5 分；</w:t>
      </w:r>
    </w:p>
    <w:p w14:paraId="7046712A">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4.执法文书、行政许可出现错误，被责令整改的，每次扣 2 分；</w:t>
      </w:r>
    </w:p>
    <w:p w14:paraId="597044AE">
      <w:pPr>
        <w:spacing w:line="600" w:lineRule="exact"/>
        <w:jc w:val="center"/>
        <w:rPr>
          <w:rFonts w:ascii="Times New Roman" w:hAnsi="Times New Roman" w:eastAsia="黑体" w:cs="Arial"/>
          <w:sz w:val="32"/>
          <w:szCs w:val="32"/>
        </w:rPr>
      </w:pPr>
      <w:r>
        <w:rPr>
          <w:rFonts w:ascii="Times New Roman" w:hAnsi="Times New Roman" w:eastAsia="黑体" w:cs="Arial"/>
          <w:sz w:val="32"/>
          <w:szCs w:val="32"/>
        </w:rPr>
        <w:t>第六章 考核实施</w:t>
      </w:r>
    </w:p>
    <w:p w14:paraId="43079AC2">
      <w:pPr>
        <w:spacing w:line="60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第十条 考核周期</w:t>
      </w:r>
    </w:p>
    <w:p w14:paraId="15C8CC43">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年度考核：每年 12 月底至次年 1 月初，开展年度全面考核。</w:t>
      </w:r>
    </w:p>
    <w:p w14:paraId="5350DA44">
      <w:pPr>
        <w:spacing w:line="60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第十一条 考核流程</w:t>
      </w:r>
    </w:p>
    <w:p w14:paraId="5FD237D2">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1.科室自评：各科室对照考核指标，完成年度工作自评，形成自评报告。</w:t>
      </w:r>
    </w:p>
    <w:p w14:paraId="1EB45A51">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2.核查核实：提出考核等次建议。每年度分管领导对各科室工作人员上年度的工作纪实进行审核，并根据实际工作完成情况、自评打分情况和被考核人的思想、工作表现，特别是履行职位职责和工作任务完成情况。</w:t>
      </w:r>
    </w:p>
    <w:p w14:paraId="07F9A5E7">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3.考核结果反馈：采取会议点评、个别谈话或以书面等形式，及时向被考核人反馈考核结果，肯定成绩，指出不足，明确努力方向。</w:t>
      </w:r>
    </w:p>
    <w:p w14:paraId="0F5E458B">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4.平时考核结果按年度公布等次，作为年度考核确定等次的重要依据和重要参考，与年度考核奖挂钩，真正做到对优秀者重用、对有潜力者培养、对落后者鞭策。</w:t>
      </w:r>
    </w:p>
    <w:p w14:paraId="2E9EA8EF">
      <w:pPr>
        <w:spacing w:line="600" w:lineRule="exact"/>
        <w:ind w:firstLine="640" w:firstLineChars="200"/>
        <w:rPr>
          <w:rFonts w:ascii="Times New Roman" w:hAnsi="Times New Roman" w:eastAsia="楷体_GB2312" w:cs="Arial"/>
          <w:sz w:val="32"/>
          <w:szCs w:val="32"/>
        </w:rPr>
      </w:pPr>
      <w:r>
        <w:rPr>
          <w:rFonts w:ascii="Times New Roman" w:hAnsi="Times New Roman" w:eastAsia="楷体_GB2312" w:cs="Arial"/>
          <w:sz w:val="32"/>
          <w:szCs w:val="32"/>
        </w:rPr>
        <w:t>第十二条 考核等次划分</w:t>
      </w:r>
    </w:p>
    <w:p w14:paraId="17C39E96">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年度考核结果根据最终得分，划分为 4 个等次：</w:t>
      </w:r>
    </w:p>
    <w:p w14:paraId="46A79817">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1.优秀：得分 90 分及以上，且无一票否决情形；</w:t>
      </w:r>
    </w:p>
    <w:p w14:paraId="26827BA8">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2.合格：得分 70-89 分，且无一票否决情形；</w:t>
      </w:r>
    </w:p>
    <w:p w14:paraId="76CE9293">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3.基本合格：得分 60-69 分；</w:t>
      </w:r>
    </w:p>
    <w:p w14:paraId="6DDA1A98">
      <w:pPr>
        <w:spacing w:line="600" w:lineRule="exact"/>
        <w:ind w:firstLine="640" w:firstLineChars="200"/>
        <w:rPr>
          <w:rFonts w:ascii="Times New Roman" w:hAnsi="Times New Roman" w:eastAsia="仿宋_GB2312" w:cs="Arial"/>
          <w:sz w:val="32"/>
          <w:szCs w:val="32"/>
        </w:rPr>
      </w:pPr>
      <w:r>
        <w:rPr>
          <w:rFonts w:ascii="Times New Roman" w:hAnsi="Times New Roman" w:eastAsia="仿宋_GB2312" w:cs="Arial"/>
          <w:sz w:val="32"/>
          <w:szCs w:val="32"/>
        </w:rPr>
        <w:t>4.不合格：得分 60 分以下，或触发一票否决项。</w:t>
      </w:r>
    </w:p>
    <w:p w14:paraId="633B2989">
      <w:pPr>
        <w:keepNext/>
        <w:keepLines/>
        <w:snapToGrid w:val="0"/>
        <w:spacing w:line="600" w:lineRule="exact"/>
        <w:textAlignment w:val="baseline"/>
        <w:outlineLvl w:val="1"/>
        <w:rPr>
          <w:rFonts w:ascii="Times New Roman" w:hAnsi="Times New Roman" w:eastAsia="方正小标宋简体" w:cs="Arial"/>
          <w:snapToGrid w:val="0"/>
          <w:kern w:val="0"/>
          <w:sz w:val="44"/>
          <w:szCs w:val="21"/>
        </w:rPr>
      </w:pPr>
      <w:bookmarkStart w:id="26" w:name="_Toc16255"/>
    </w:p>
    <w:p w14:paraId="29567C8B">
      <w:pPr>
        <w:rPr>
          <w:rFonts w:hint="eastAsia" w:ascii="Times New Roman" w:hAnsi="Times New Roman"/>
        </w:rPr>
        <w:sectPr>
          <w:pgSz w:w="11906" w:h="16838"/>
          <w:pgMar w:top="1440" w:right="1800" w:bottom="1440" w:left="1800" w:header="851" w:footer="992" w:gutter="0"/>
          <w:cols w:space="720" w:num="1"/>
          <w:docGrid w:type="lines" w:linePitch="312" w:charSpace="0"/>
        </w:sectPr>
      </w:pPr>
    </w:p>
    <w:p w14:paraId="75F4BC5B">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27" w:name="_Toc1907889898"/>
      <w:r>
        <w:rPr>
          <w:rFonts w:ascii="Times New Roman" w:hAnsi="Times New Roman" w:eastAsia="方正小标宋简体" w:cs="Arial"/>
          <w:snapToGrid w:val="0"/>
          <w:kern w:val="0"/>
          <w:sz w:val="44"/>
          <w:szCs w:val="21"/>
        </w:rPr>
        <w:t>安全生产奖励制度</w:t>
      </w:r>
      <w:bookmarkEnd w:id="26"/>
      <w:bookmarkEnd w:id="27"/>
    </w:p>
    <w:p w14:paraId="48EAE36C">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6238384">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4B7964A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进一步激发安全生产监督管理部门和常德经济技术开发区枫树岗化工片区（以下简称“化工园区”）各类企事业单位创造性地开展安全生产工作，加快建立和完善科学、合理、有效的安全管理长效机制，根据《中华人民共和国安全生产法》等有关法律法规，制定本制度。</w:t>
      </w:r>
    </w:p>
    <w:p w14:paraId="0B1629C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本制度适用于常德经济技术开发区管理委员会（以下简称“管委会”）所属内设机构、国有企业，以及在常德经开区注册登记、具备独立法人资格的企业及其干部职工。</w:t>
      </w:r>
    </w:p>
    <w:p w14:paraId="6C4CFD4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奖励对象包括在安全管理、技术创新等方面表现突出的集体个人。</w:t>
      </w:r>
    </w:p>
    <w:p w14:paraId="609E362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安全生产奖励工作坚持公开、公平、公正的原则。</w:t>
      </w:r>
    </w:p>
    <w:p w14:paraId="3091805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管委会各内设机构和各企事业单位应重视和推动化工园区安全生产工作的创新发展，积极探索新型工业化、新型城镇化等发展阶段安全生产的规律特点，发现新情况，研究新问题，探索新途径，采取新举措；建立健全工作创新激励机制，调动和促进干部职工在安全生产领域的创新积极性。</w:t>
      </w:r>
    </w:p>
    <w:p w14:paraId="58F66113">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奖励条件与标准</w:t>
      </w:r>
    </w:p>
    <w:p w14:paraId="7EF7085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受奖励的管委会所属内设机构应满足以下基本条件：</w:t>
      </w:r>
    </w:p>
    <w:p w14:paraId="6606F34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1、认真贯彻习近平总书记关于安全生产重要论述和重要指示批示精神，按照各级党委、政府安全生产工作部署，认真落实管委会安排的各项安全生产任务。</w:t>
      </w:r>
    </w:p>
    <w:p w14:paraId="33AFBB5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2、按照“三定”规定、安全生产工作任务分工和枫树岗化工片区安全生产工作职责清单，积极履行安全生产职责。</w:t>
      </w:r>
    </w:p>
    <w:p w14:paraId="77B2DC8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3、未因安全生产工作或生产安全事故被约谈、追究相关责任等。</w:t>
      </w:r>
    </w:p>
    <w:p w14:paraId="23C43FA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4、干部职工无违法违纪行为。</w:t>
      </w:r>
    </w:p>
    <w:p w14:paraId="3AC9C9B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受奖励的企业应满足以下基本条件：</w:t>
      </w:r>
    </w:p>
    <w:p w14:paraId="6A4B931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1、合法经营、相关证照齐全有效；</w:t>
      </w:r>
    </w:p>
    <w:p w14:paraId="7055F87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2、具备《中华人民共和国安全生产法》和有关法律法规、行政法规及国家标准或者行业标准规定的安全生产条件；</w:t>
      </w:r>
    </w:p>
    <w:p w14:paraId="2D2A191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3、有明确的安全生产目标，必需的安全资金投入，完善的安全生产管理体系、管理机构（人员）和各项安全管理规章制度，健全的安全生产责任制体系和考核体系；</w:t>
      </w:r>
    </w:p>
    <w:p w14:paraId="431261C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4、遵守国家各项安全生产</w:t>
      </w:r>
      <w:r>
        <w:rPr>
          <w:rFonts w:hint="eastAsia" w:ascii="Times New Roman" w:hAnsi="Times New Roman" w:eastAsia="仿宋" w:cs="Arial"/>
          <w:snapToGrid w:val="0"/>
          <w:kern w:val="0"/>
          <w:sz w:val="32"/>
          <w:szCs w:val="21"/>
        </w:rPr>
        <w:t>法律法规</w:t>
      </w:r>
      <w:r>
        <w:rPr>
          <w:rFonts w:ascii="Times New Roman" w:hAnsi="Times New Roman" w:eastAsia="仿宋" w:cs="Arial"/>
          <w:snapToGrid w:val="0"/>
          <w:kern w:val="0"/>
          <w:sz w:val="32"/>
          <w:szCs w:val="21"/>
        </w:rPr>
        <w:t>和规章，纳税和征信记录良好，近两年内未受到应急管理、生态环境、住房城乡建设、市场监管、人力资源社会保障等部门行政处罚，无拖欠劳动者工资等造成不良社会影响事件；</w:t>
      </w:r>
    </w:p>
    <w:p w14:paraId="333CD20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5、近两年内未发生一般及以上生产安全事故；未因安全生产工作被约谈、警告等。</w:t>
      </w:r>
    </w:p>
    <w:p w14:paraId="3F5210C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对安全生产工作中取得显著成绩、表现突出的集体和个人予以奖励，包括但不限于以下情形：</w:t>
      </w:r>
    </w:p>
    <w:p w14:paraId="4A59E7D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改善安全生产条件。通过发明创造、技术革新，发明了新的安全高效的机器、设备、工具；或者对原有的机器、设备、工具做了改进，显著提高了安全性能；或者改进了作业场所的安全生产条件；或者改进了工艺方法，大大减少了作业中的危险性；或者发明了更为安全有效的防护用品等，使生产经营活动中的安全条件显著提高的。</w:t>
      </w:r>
    </w:p>
    <w:p w14:paraId="762055F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2、防止生产安全事故。及时发现、消除了生产安全事故隐患，防止了重大事故的发生；提出了行之有效的事故预防、控制方法等。</w:t>
      </w:r>
    </w:p>
    <w:p w14:paraId="518E87F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3、参加抢险救护。在事故的抢险救护工作中尽职尽责、见义勇为、不怕牺牲、不畏艰险，为抢救国家和人民的生命财产作出了重要贡献的。</w:t>
      </w:r>
    </w:p>
    <w:p w14:paraId="64023723">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奖励方式</w:t>
      </w:r>
    </w:p>
    <w:p w14:paraId="440A2CF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对符合奖励条件的管委会内设机构、国有企业，公开通报表扬，在年度评先评优时授予先进集体等荣誉称号，并推荐申报上级有关表彰。</w:t>
      </w:r>
    </w:p>
    <w:p w14:paraId="556B746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对符合奖励条件的管委会干部职工，在年度评先评优时授予先进工作者等荣誉称号，并推荐申报上级有关表彰。在编人员可优先推荐提拔、晋升；聘用人员可作为提前转正或福利待遇晋级的依据。</w:t>
      </w:r>
    </w:p>
    <w:p w14:paraId="165DF64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对符合奖励条件的企业及企业干部职工，以管委会名义公开通报表扬，发放荣誉证书，通过媒体广泛宣传，树立安全生产先进榜样。</w:t>
      </w:r>
    </w:p>
    <w:p w14:paraId="2DBEC21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在认可的学术期刊上发表安全生产理论创新或者安全生产实践应用创新论文，有关部门、机构、省级以上安全生产专家（不少于5名）评价或者鉴定通过的安全生产技术创新成果，可通过申报人才激励补助资金、招商引资奖补资金等，给予权属单位（权属人）一定资金奖励。</w:t>
      </w:r>
    </w:p>
    <w:p w14:paraId="0A2999B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受奖励的企业利用安全生产技术创新成果实施相关建设项目时，可享受招商引资有关政策支持，协调相关部门优先予以能耗、水资源等指标保障。</w:t>
      </w:r>
    </w:p>
    <w:p w14:paraId="78FAF0BF">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奖励申报与监督管理</w:t>
      </w:r>
    </w:p>
    <w:p w14:paraId="4DF2C57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符合本制度第二章规定的管委会内设机构、企业或个人提出奖励申请并提供印证资料，管委会产业发展局（安全监管局）会同相关局办进行初审并提出意见，必要时可聘请专家评审。</w:t>
      </w:r>
    </w:p>
    <w:p w14:paraId="758E96F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通过初审的，在管委会官方微信公众号或其他媒体进行公示，公示期一个月。对公示后无异议或者有异议但已解决的奖励申请，提请管委会专题会议研究，作出奖励决定。</w:t>
      </w:r>
    </w:p>
    <w:p w14:paraId="7A432E3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剽窃、侵夺他人安全生产工作创新成果，或者以其他不正当手段骗取奖励的，一经查实即撤销奖励，追回证书及相应的物质奖励。申请人提供虚假数据、材料，骗取奖励的，取消其评选资格并通报批评。</w:t>
      </w:r>
    </w:p>
    <w:p w14:paraId="7E4FF653">
      <w:pPr>
        <w:ind w:firstLine="643"/>
        <w:sectPr>
          <w:pgSz w:w="11906" w:h="16838"/>
          <w:pgMar w:top="1440" w:right="1800" w:bottom="1440" w:left="1800" w:header="851" w:footer="992" w:gutter="0"/>
          <w:cols w:space="720" w:num="1"/>
          <w:docGrid w:type="lines" w:linePitch="312" w:charSpace="0"/>
        </w:sect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参与安全生产工作奖励审查、评审活动的有关人员在评审和奖励落实中弄虚作假、徇私舞弊的，终止其参与评审活动，并按照有关规定追究相应责任。</w:t>
      </w:r>
    </w:p>
    <w:p w14:paraId="5CA9B6FA">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28" w:name="_Toc1765153842"/>
      <w:r>
        <w:rPr>
          <w:rFonts w:ascii="Times New Roman" w:hAnsi="Times New Roman" w:eastAsia="方正小标宋简体" w:cs="Arial"/>
          <w:snapToGrid w:val="0"/>
          <w:kern w:val="0"/>
          <w:sz w:val="44"/>
          <w:szCs w:val="21"/>
        </w:rPr>
        <w:t>布局规划管理制度</w:t>
      </w:r>
      <w:bookmarkEnd w:id="28"/>
    </w:p>
    <w:p w14:paraId="75DD732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4B97934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10FB0628">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规范常德经济技术开发区枫树岗化工片区（以下简称“化工园区”）布局规划管理，完善规划体系，推进化工园区科学规划、合理布局，依据《化工园区开发建设导则》《化工园区安全风险排查治理导则》等标准规范，制定本制度。</w:t>
      </w:r>
    </w:p>
    <w:p w14:paraId="0927F8D0">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本制度适用于化工园区安全相关规划体系编制管理和落实。</w:t>
      </w:r>
    </w:p>
    <w:p w14:paraId="5D80F397">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本制度所称规划体系包括产业规划、总体规划、详细规划和专项规划，并应相互协调、统一。</w:t>
      </w:r>
    </w:p>
    <w:p w14:paraId="370DD241">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化工园区专项规划包括安全生产专项规划、消防救援专项规划、生态环境保护专项规划、交通运输专项规划、管线综合规划、综合防灾减灾专项规划等，可根据实际需求独立编制，或在总体规划中作为专篇编制。</w:t>
      </w:r>
    </w:p>
    <w:p w14:paraId="2847DEC2">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以上规划应在国民经济和社会发展规划、城市建设规划和国土空间规划体系下开展，与上位规划相一致，并突出化工园区特点及专业要求。</w:t>
      </w:r>
    </w:p>
    <w:p w14:paraId="6839757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化工园区总体规划应在产业规划的基础上编制，并根据总体规划要求编制详细规划。</w:t>
      </w:r>
    </w:p>
    <w:p w14:paraId="7F5C50E2">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规划编制</w:t>
      </w:r>
    </w:p>
    <w:p w14:paraId="1397FB9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常德经济技术开发区管理委员会（以下简称“管委会”）相关内设机构应履行以下规划编制职责：</w:t>
      </w:r>
    </w:p>
    <w:p w14:paraId="489AC11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1、开发建设局负责实施化工园区交通运输、管线等规划（或专篇）编制；</w:t>
      </w:r>
    </w:p>
    <w:p w14:paraId="73EF74C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2、产业发展局负责实施化工园区总体规划及消防、产业规划编制；</w:t>
      </w:r>
    </w:p>
    <w:p w14:paraId="445F470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3、产业发展局（安全监管局）与生环分局负责实施化工园区安全生产、综合防灾减灾、生态环境保护等规划（或专篇）编制；</w:t>
      </w:r>
    </w:p>
    <w:p w14:paraId="163426C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4、其他部门按照职能提供相关资料，配合规划内相关专篇编制工作。</w:t>
      </w:r>
    </w:p>
    <w:p w14:paraId="69BFFD86">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管委会各相关部门应按照政府采购程序选聘符合规划编制资质的专业机构，并对规划编制背景、编制时限、规划范围、规划目标、规划思路、规划原则、编制依据、编制内容等提出要求。</w:t>
      </w:r>
    </w:p>
    <w:p w14:paraId="056DF319">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化工园区规划编制应按照以下程序流转：</w:t>
      </w:r>
    </w:p>
    <w:p w14:paraId="6613AB6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1、受委托的编制机构组织内部审查，通过后将规划（征求意见稿）发送至责任部门；</w:t>
      </w:r>
    </w:p>
    <w:p w14:paraId="1BA32D1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2、责任部门</w:t>
      </w:r>
      <w:r>
        <w:rPr>
          <w:rFonts w:hint="eastAsia" w:ascii="Times New Roman" w:hAnsi="Times New Roman" w:eastAsia="仿宋" w:cs="Arial"/>
          <w:snapToGrid w:val="0"/>
          <w:kern w:val="0"/>
          <w:sz w:val="32"/>
          <w:szCs w:val="21"/>
        </w:rPr>
        <w:t>组织</w:t>
      </w:r>
      <w:r>
        <w:rPr>
          <w:rFonts w:ascii="Times New Roman" w:hAnsi="Times New Roman" w:eastAsia="仿宋" w:cs="Arial"/>
          <w:snapToGrid w:val="0"/>
          <w:kern w:val="0"/>
          <w:sz w:val="32"/>
          <w:szCs w:val="21"/>
        </w:rPr>
        <w:t>向领导班子成员及各部门征求意见；</w:t>
      </w:r>
    </w:p>
    <w:p w14:paraId="5E04A3D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3、各部门收到规划（征求意见稿）后，组织内部讨论，在5个工作日内将意见书面反馈至责任部门；</w:t>
      </w:r>
    </w:p>
    <w:p w14:paraId="730D5D1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4、责任部门汇总意见反馈至编制机构，并督促指导修改完善；</w:t>
      </w:r>
    </w:p>
    <w:p w14:paraId="62B854B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5、经修改完善后，由分管领导同志召开专题会议研究审议规划（讨论稿）；</w:t>
      </w:r>
    </w:p>
    <w:p w14:paraId="54965D3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6、经讨论通过后，由责任部门聘请专家进行评审，并根据专家意见指导编制机构修改完善；</w:t>
      </w:r>
    </w:p>
    <w:p w14:paraId="278339C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7、经修改完善后，由责任部门报主要领导同志审定，按程序向市有关行业主管部门报送规划（送审稿），经审查后取得批复。</w:t>
      </w:r>
    </w:p>
    <w:p w14:paraId="704BB07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经分管领导同志同意，第5项和第6项可合并开展。</w:t>
      </w:r>
    </w:p>
    <w:p w14:paraId="22BD17FA">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化工园区产业规划应包括但不限于以下内容：</w:t>
      </w:r>
    </w:p>
    <w:p w14:paraId="4B4D906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1、规划总则。明确规划背景、编制依据、指导思想、规划原则、规划思路、规划目标、规划范围、规划时限等。</w:t>
      </w:r>
    </w:p>
    <w:p w14:paraId="79A8F32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2、产业发展环境。分析国内外及所处区域的石化化工及相关行业的发展现状及趋势，确定产业发展的市场环境。</w:t>
      </w:r>
    </w:p>
    <w:p w14:paraId="6184895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3、产业发展条件。分析区位特点、资源条件、环境容量、能耗指标、基础设施以及开发现状等因素，明确产业发展基础条件。</w:t>
      </w:r>
    </w:p>
    <w:p w14:paraId="3496942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4、产业发展战略。分析自身优势和劣势、面临的机遇与风险，明确近期和中长期内产业发展战略。</w:t>
      </w:r>
    </w:p>
    <w:p w14:paraId="0FBF183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5、产业规划方案。明确产业发展思路、定位及目标；设计产业链或产业集群，提出产业发展方案；提出产业发展负面清单；根据产业定位及产业规划方案提出产业布局要求。</w:t>
      </w:r>
    </w:p>
    <w:p w14:paraId="3111446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6、绿色低碳。结合产业定位与规划方案，明确循环经济、绿色低碳发展策略。</w:t>
      </w:r>
    </w:p>
    <w:p w14:paraId="7E7A33B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7、招商引资政策、人才引进与培养计划。</w:t>
      </w:r>
    </w:p>
    <w:p w14:paraId="311F60A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8、规划效果分析。预测产业发展的经济效益、社会效益等。</w:t>
      </w:r>
    </w:p>
    <w:p w14:paraId="1BCAD64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9、确定规划实施步骤与保障措施。</w:t>
      </w:r>
    </w:p>
    <w:p w14:paraId="4F8B612C">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化工园区总体规划应包括但不限于以下内容：</w:t>
      </w:r>
    </w:p>
    <w:p w14:paraId="311BA6B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1、提出规划指导思想和规划原则。</w:t>
      </w:r>
    </w:p>
    <w:p w14:paraId="0CD8344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2、确定规划范围与时限。</w:t>
      </w:r>
    </w:p>
    <w:p w14:paraId="5D5AEB5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3、确定发展定位、发展目标及规模。</w:t>
      </w:r>
    </w:p>
    <w:p w14:paraId="0403A7D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4、提出产业规划方案。</w:t>
      </w:r>
    </w:p>
    <w:p w14:paraId="1B4A121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5、提出空间布局及土地利用方案。</w:t>
      </w:r>
    </w:p>
    <w:p w14:paraId="03A5887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6、确定综合交通体系目标和布局。</w:t>
      </w:r>
    </w:p>
    <w:p w14:paraId="00707A2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7、提出绿地系统布局和控制要求。</w:t>
      </w:r>
    </w:p>
    <w:p w14:paraId="760BAE0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8、确定基础设施、公用工程设施规模和布局要求。</w:t>
      </w:r>
    </w:p>
    <w:p w14:paraId="391FCCF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9、划定绿线、蓝线、紫线、黄线，提出控制要求。</w:t>
      </w:r>
    </w:p>
    <w:p w14:paraId="1406C1F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10、确定封闭化管理范围，提出安检中心、卡口和换乘等设施的布局。</w:t>
      </w:r>
    </w:p>
    <w:p w14:paraId="624C47A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11、确定安全应急发展目标及发展战略，提出安全布局、公用安全保障设施、应急救援体系等要求。</w:t>
      </w:r>
    </w:p>
    <w:p w14:paraId="23665FA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12、确定消防救援发展目标及原则，提出消防安全布局、消防站、公共区域消防设施和消防救援体系等实施建议。</w:t>
      </w:r>
    </w:p>
    <w:p w14:paraId="296FB50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13、确定生态环境保护目标与对策建议，提出污染控制、生态环境治理与修复、环境风险控制、碳排放等实施建议。</w:t>
      </w:r>
    </w:p>
    <w:p w14:paraId="3D7F911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14、确定综合防灾减灾与安全保障体系，提出防洪、防涝、防雷电、抗震、地质灾害防护等防灾设施标准、布局要求与防灾减灾措施。</w:t>
      </w:r>
    </w:p>
    <w:p w14:paraId="61EE4C9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15、确定智慧化建设目标和总体布局要求。</w:t>
      </w:r>
    </w:p>
    <w:p w14:paraId="0DFD14E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16、规划效果分析。预测产业和基础设施投资、测算规划实施的经济效益和社会效益等。</w:t>
      </w:r>
    </w:p>
    <w:p w14:paraId="41177F7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17、明确开发时序，提出规划实施步骤、措施和政策建议。</w:t>
      </w:r>
    </w:p>
    <w:p w14:paraId="3D80DB42">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产业发展局（安全监管局）应依据化工园区整体性安全风险评估结果和相关法规标准要求，委托专业机构实施化工园区周边土地规划安全控制线划定，会同自规分局对划定报告进行审查。</w:t>
      </w:r>
    </w:p>
    <w:p w14:paraId="1368383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产业发展局（安全监管局）、自规分局应在周边土地规划安全控制性划定后5个工作日内，向常德市人民政府或其授权的部门进行报送，告知周边土地开发利用限制要求，并取得书面复函。</w:t>
      </w:r>
    </w:p>
    <w:p w14:paraId="2041432A">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产业发展局应根据化工园区总体规划和产业规划，制定适应区域特点和实际的“禁限控”目录，并及时动态更新。</w:t>
      </w:r>
    </w:p>
    <w:p w14:paraId="02BA6A0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“禁限控”目录应明确目录内的品种、规模、工艺、技术水平等信息。</w:t>
      </w:r>
    </w:p>
    <w:p w14:paraId="4482DBEC">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产业发展局（安全监管局）应根据《化工园区开发建设导则》《危险化学品生产建设项目安全风险防控指南》等法律法规和标准文件要求，制定化工园区项目安全准入条件，并及时动态更新。</w:t>
      </w:r>
    </w:p>
    <w:p w14:paraId="6B3BC1DA">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规划执行</w:t>
      </w:r>
    </w:p>
    <w:p w14:paraId="6E88C639">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管委会各部门应严格执行规划内容，责任部门应适时组织落实情况自查，并推进整改自查发现的问题。</w:t>
      </w:r>
    </w:p>
    <w:p w14:paraId="102966A1">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第十六条</w:t>
      </w:r>
      <w:r>
        <w:rPr>
          <w:rFonts w:ascii="Times New Roman" w:hAnsi="Times New Roman" w:eastAsia="仿宋" w:cs="Arial"/>
          <w:snapToGrid w:val="0"/>
          <w:kern w:val="0"/>
          <w:sz w:val="32"/>
          <w:szCs w:val="21"/>
        </w:rPr>
        <w:t xml:space="preserve">  管委会责任部门应按照相关规定开展规划中期评估，根据评估情况实施规划修编。</w:t>
      </w:r>
    </w:p>
    <w:p w14:paraId="1F52F3F3">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第十七条</w:t>
      </w:r>
      <w:r>
        <w:rPr>
          <w:rFonts w:ascii="Times New Roman" w:hAnsi="Times New Roman" w:eastAsia="仿宋" w:cs="Arial"/>
          <w:snapToGrid w:val="0"/>
          <w:kern w:val="0"/>
          <w:sz w:val="32"/>
          <w:szCs w:val="21"/>
        </w:rPr>
        <w:t xml:space="preserve">  化工园区引进项目前，各部门应严格对照“禁限控”目录和项目准入条件进行审核，严禁不符合条件的建设项目进入化工园区。</w:t>
      </w:r>
    </w:p>
    <w:p w14:paraId="4C65735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自规分局应按照化工园区周边土地规划安全控制线合理布局拟引进项目，预防和减缓化工园区危险化学品潜在安全事故（火灾、爆炸、泄漏等）对化工园区外防护目标的影响。</w:t>
      </w:r>
    </w:p>
    <w:p w14:paraId="6B079890">
      <w:pPr>
        <w:ind w:firstLine="643"/>
        <w:sectPr>
          <w:pgSz w:w="11906" w:h="16838"/>
          <w:pgMar w:top="1440" w:right="1800" w:bottom="1440" w:left="1800" w:header="851" w:footer="992" w:gutter="0"/>
          <w:cols w:space="720" w:num="1"/>
          <w:docGrid w:type="lines" w:linePitch="312" w:charSpace="0"/>
        </w:sectPr>
      </w:pPr>
      <w:r>
        <w:rPr>
          <w:rFonts w:ascii="Times New Roman" w:hAnsi="Times New Roman" w:eastAsia="仿宋" w:cs="Arial"/>
          <w:b/>
          <w:bCs/>
          <w:snapToGrid w:val="0"/>
          <w:kern w:val="0"/>
          <w:sz w:val="32"/>
          <w:szCs w:val="21"/>
        </w:rPr>
        <w:t>第十八条</w:t>
      </w:r>
      <w:r>
        <w:rPr>
          <w:rFonts w:ascii="Times New Roman" w:hAnsi="Times New Roman" w:eastAsia="仿宋" w:cs="Arial"/>
          <w:snapToGrid w:val="0"/>
          <w:kern w:val="0"/>
          <w:sz w:val="32"/>
          <w:szCs w:val="21"/>
        </w:rPr>
        <w:t xml:space="preserve">  在执行中发现规划编制存在重大错漏，造成严重后果的，视情况进行通报批评、约谈、公开作检查等。</w:t>
      </w:r>
    </w:p>
    <w:p w14:paraId="1D74CE17">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29" w:name="_Toc217000616"/>
      <w:r>
        <w:rPr>
          <w:rFonts w:ascii="Times New Roman" w:hAnsi="Times New Roman" w:eastAsia="方正小标宋简体" w:cs="Arial"/>
          <w:snapToGrid w:val="0"/>
          <w:kern w:val="0"/>
          <w:sz w:val="44"/>
          <w:szCs w:val="21"/>
        </w:rPr>
        <w:t>安全评估管理制度</w:t>
      </w:r>
      <w:bookmarkEnd w:id="29"/>
    </w:p>
    <w:p w14:paraId="251312E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7C94437">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2F4AEE70">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规范常德经济技术开发区枫树岗化工片区（以下简称“化工园区”）安全生产评估、评价、论证等工作，为安全生产决策和管理提供科学、专业支撑，依据《危险化学品生产建设项目安全风险防控指南》《化工园区开发建设导则》《化工园区安全风险评估导则》等文件，制定本制度。</w:t>
      </w:r>
    </w:p>
    <w:p w14:paraId="68AA0D36">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本制度所称安全评估是指常德经济技术开发区管理委员会（以下简称“管委会”）实施的与化工园区安全生产工作有关的各类评估，以及有关企业实施的与安全生产有关的各类评估、评价、设计、论证、诊断等。</w:t>
      </w:r>
    </w:p>
    <w:p w14:paraId="5EC9B83E">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本制度适用于管委会所属内设机构、化工园区内危险化学品生产、储存、使用及其他化工企业，</w:t>
      </w:r>
      <w:bookmarkStart w:id="30" w:name="OLE_LINK2"/>
      <w:r>
        <w:rPr>
          <w:rFonts w:ascii="Times New Roman" w:hAnsi="Times New Roman" w:eastAsia="仿宋" w:cs="Arial"/>
          <w:snapToGrid w:val="0"/>
          <w:kern w:val="0"/>
          <w:sz w:val="32"/>
          <w:szCs w:val="21"/>
        </w:rPr>
        <w:t>化工园区外的危险化学品生产、储存、使用及其他化工企业可参照执行</w:t>
      </w:r>
      <w:bookmarkEnd w:id="30"/>
      <w:r>
        <w:rPr>
          <w:rFonts w:ascii="Times New Roman" w:hAnsi="Times New Roman" w:eastAsia="仿宋" w:cs="Arial"/>
          <w:snapToGrid w:val="0"/>
          <w:kern w:val="0"/>
          <w:sz w:val="32"/>
          <w:szCs w:val="21"/>
        </w:rPr>
        <w:t>。</w:t>
      </w:r>
    </w:p>
    <w:p w14:paraId="7BAE0460">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整体性安全风险评估管理</w:t>
      </w:r>
    </w:p>
    <w:p w14:paraId="5DEADF9E">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产业发展局（安全监管局）是化工园区整体性安全风险评估工作的责任机构。其他部门应按照职能参与评估工作，提供所需资料，配合开展现场调查核验，确保与化工园区总体规划、产业规划相衔接。</w:t>
      </w:r>
    </w:p>
    <w:p w14:paraId="16919D46">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w:t>
      </w:r>
      <w:bookmarkStart w:id="31" w:name="OLE_LINK5"/>
      <w:r>
        <w:rPr>
          <w:rFonts w:ascii="Times New Roman" w:hAnsi="Times New Roman" w:eastAsia="仿宋" w:cs="Arial"/>
          <w:snapToGrid w:val="0"/>
          <w:kern w:val="0"/>
          <w:sz w:val="32"/>
          <w:szCs w:val="21"/>
        </w:rPr>
        <w:t>整体性安全风险评估</w:t>
      </w:r>
      <w:bookmarkEnd w:id="31"/>
      <w:r>
        <w:rPr>
          <w:rFonts w:ascii="Times New Roman" w:hAnsi="Times New Roman" w:eastAsia="仿宋" w:cs="Arial"/>
          <w:snapToGrid w:val="0"/>
          <w:kern w:val="0"/>
          <w:sz w:val="32"/>
          <w:szCs w:val="21"/>
        </w:rPr>
        <w:t>应至少满足以下要求：</w:t>
      </w:r>
    </w:p>
    <w:p w14:paraId="6B4B36F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1、至少每三年开展一次。</w:t>
      </w:r>
    </w:p>
    <w:p w14:paraId="3F892FF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2、报告编制的内容应符合《化工园区整体性安全风险评估导则》（GB/T 45233）等国家和地方法律法规、标准、文件有关要求。</w:t>
      </w:r>
    </w:p>
    <w:p w14:paraId="0D032A5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3、应对所有危险化学品现状企业、在建和立项拟建项目，依据《危险化学品生产装置和储存设施风险基准》（GB 36894）、《危险化学品生产装置和储存设施外部安全距离确定方法》（GB/T 37243）等进行整体性定量风险评价。</w:t>
      </w:r>
    </w:p>
    <w:p w14:paraId="4D7D451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4、应对化工园区选址布局、外部安全防护距离的符合性给出真实、明确的结论。</w:t>
      </w:r>
    </w:p>
    <w:p w14:paraId="59D0879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5、应划定周边土地规划安全控制线。</w:t>
      </w:r>
    </w:p>
    <w:p w14:paraId="2FEF0FA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6、应针对化工园区多米诺效应、重大安全风险叠加失控，给出明确的清单，并提出有效的管控措施。</w:t>
      </w:r>
    </w:p>
    <w:p w14:paraId="0137C14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7、提出的消除、降低、管控安全风险的对策措施应具有针对性、可操作性和有效性。</w:t>
      </w:r>
    </w:p>
    <w:p w14:paraId="52FD705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8、化工园区“四至”范围变化</w:t>
      </w:r>
      <w:r>
        <w:rPr>
          <w:rFonts w:hint="eastAsia" w:ascii="Times New Roman" w:hAnsi="Times New Roman" w:eastAsia="仿宋" w:cs="Arial"/>
          <w:snapToGrid w:val="0"/>
          <w:kern w:val="0"/>
          <w:sz w:val="32"/>
          <w:szCs w:val="21"/>
        </w:rPr>
        <w:t>或</w:t>
      </w:r>
      <w:r>
        <w:rPr>
          <w:rFonts w:ascii="Times New Roman" w:hAnsi="Times New Roman" w:eastAsia="仿宋" w:cs="Arial"/>
          <w:snapToGrid w:val="0"/>
          <w:kern w:val="0"/>
          <w:sz w:val="32"/>
          <w:szCs w:val="21"/>
        </w:rPr>
        <w:t>重大危险源数量产生较大变化可能导致化工园区整体安全风险显著提高</w:t>
      </w:r>
      <w:r>
        <w:rPr>
          <w:rFonts w:hint="eastAsia" w:ascii="Times New Roman" w:hAnsi="Times New Roman" w:eastAsia="仿宋" w:cs="Arial"/>
          <w:snapToGrid w:val="0"/>
          <w:kern w:val="0"/>
          <w:sz w:val="32"/>
          <w:szCs w:val="21"/>
        </w:rPr>
        <w:t>或</w:t>
      </w:r>
      <w:r>
        <w:rPr>
          <w:rFonts w:ascii="Times New Roman" w:hAnsi="Times New Roman" w:eastAsia="仿宋" w:cs="Arial"/>
          <w:snapToGrid w:val="0"/>
          <w:kern w:val="0"/>
          <w:sz w:val="32"/>
          <w:szCs w:val="21"/>
        </w:rPr>
        <w:t>安全风险等级升高要求按照高（A级）或较高（B级）风险等级管理</w:t>
      </w:r>
      <w:r>
        <w:rPr>
          <w:rFonts w:hint="eastAsia" w:ascii="Times New Roman" w:hAnsi="Times New Roman" w:eastAsia="仿宋" w:cs="Arial"/>
          <w:snapToGrid w:val="0"/>
          <w:kern w:val="0"/>
          <w:sz w:val="32"/>
          <w:szCs w:val="21"/>
        </w:rPr>
        <w:t>或</w:t>
      </w:r>
      <w:r>
        <w:rPr>
          <w:rFonts w:ascii="Times New Roman" w:hAnsi="Times New Roman" w:eastAsia="仿宋" w:cs="Arial"/>
          <w:snapToGrid w:val="0"/>
          <w:kern w:val="0"/>
          <w:sz w:val="32"/>
          <w:szCs w:val="21"/>
        </w:rPr>
        <w:t>发生较大级以上或造成重大社会影响化工生产安全事故的，应重新开展整体性安全风险评估。</w:t>
      </w:r>
    </w:p>
    <w:p w14:paraId="5FCBAD5F">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产业发展局（安全监管局）应按照政府采购程序选聘符合资质的专业机构开展整体性安全风险评估，并对评估的目的和意义、依据、对象和范围、程序等提出要求。</w:t>
      </w:r>
    </w:p>
    <w:p w14:paraId="23C6ECCE">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整体性安全风险评估报告主要内容应包括但不限于以下内容：</w:t>
      </w:r>
    </w:p>
    <w:p w14:paraId="217765C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1、编制说明，包含评估目的和意义、依据、对象和范围、程序等。</w:t>
      </w:r>
    </w:p>
    <w:p w14:paraId="7C87DC4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2、化工园区概况，包括经济社会发展概况、地理位置、交通状况、自然条件、整体布局、产业布局、企业概况、公用工程、防护目标、安全管理、应急救援与社会环境等方面的内容。</w:t>
      </w:r>
    </w:p>
    <w:p w14:paraId="0319917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3、危险和有害因素分析与便是。</w:t>
      </w:r>
    </w:p>
    <w:p w14:paraId="06EE52C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4、事故案例分析，包含对近年本化工园区及其他类似化工园区事故案例进行分析。</w:t>
      </w:r>
    </w:p>
    <w:p w14:paraId="7FEA803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5、评估单元划分和评估方法选择。</w:t>
      </w:r>
    </w:p>
    <w:p w14:paraId="6246ED8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6、定性定量评价与分析。</w:t>
      </w:r>
    </w:p>
    <w:p w14:paraId="56145B3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7、对策措施和建议。</w:t>
      </w:r>
    </w:p>
    <w:p w14:paraId="65FD409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8、评估结论。</w:t>
      </w:r>
    </w:p>
    <w:p w14:paraId="3FA51191">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整体性安全风险评估报告应按照以下程序审查和报送（备案）：</w:t>
      </w:r>
    </w:p>
    <w:p w14:paraId="3A9FC08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1、受委托的评估机构组织内部审查，通过后将报告（内审稿）发送至产业发展局（安全监管局）。</w:t>
      </w:r>
    </w:p>
    <w:p w14:paraId="1DAA584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2、产业发展局（安全监管局）组织向领导班子成员及各部门征求意见。</w:t>
      </w:r>
    </w:p>
    <w:p w14:paraId="2B0A90F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3、各部门收到报告（征求意见稿）后，组织内部讨论，在5个工作日内将意见书面反馈至产业发展局（安全监管局）。</w:t>
      </w:r>
    </w:p>
    <w:p w14:paraId="4F67108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4、产业发展局（安全监管局）汇总意见反馈至评估机构，并督促指导修改完善。</w:t>
      </w:r>
    </w:p>
    <w:p w14:paraId="3FF277A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5、经修改完善后，由分管领导同志召开专题会议研究审议报告（讨论稿）。</w:t>
      </w:r>
    </w:p>
    <w:p w14:paraId="53E5A66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6、经讨论通过后，由产业发展局（安全监管局）聘请专家进行评审，并根据专家意见指导评估机构修改完善。</w:t>
      </w:r>
    </w:p>
    <w:p w14:paraId="2C2E6C2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7、经修改完善后，由产业发展局（安全监管局）报主要领导同志审定，按程序向常德市报送报告（送审稿），并根据情况取得备案意见。</w:t>
      </w:r>
    </w:p>
    <w:p w14:paraId="0BF7013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经分管领导同志同意，第5项和第6项可合并开展。</w:t>
      </w:r>
    </w:p>
    <w:p w14:paraId="1DF72D12">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产业发展局（安全监管局）应根据报告编制问题清单，明确整改责任机构，定期跟踪整改落实情况并向管委会有关领导同志或专题会议汇报，适时开展动态评估。</w:t>
      </w:r>
    </w:p>
    <w:p w14:paraId="2E88CFF3">
      <w:pPr>
        <w:ind w:firstLine="640"/>
        <w:sectPr>
          <w:pgSz w:w="11906" w:h="16838"/>
          <w:pgMar w:top="1440" w:right="1800" w:bottom="1440" w:left="1800" w:header="851" w:footer="992" w:gutter="0"/>
          <w:cols w:space="720" w:num="1"/>
          <w:docGrid w:type="lines" w:linePitch="312" w:charSpace="0"/>
        </w:sectPr>
      </w:pPr>
    </w:p>
    <w:p w14:paraId="519E70E6">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32" w:name="_Toc1316555472"/>
      <w:r>
        <w:rPr>
          <w:rFonts w:ascii="Times New Roman" w:hAnsi="Times New Roman" w:eastAsia="方正小标宋简体" w:cs="Arial"/>
          <w:snapToGrid w:val="0"/>
          <w:kern w:val="0"/>
          <w:sz w:val="44"/>
          <w:szCs w:val="21"/>
        </w:rPr>
        <w:t>安全风险智能化管控平台管理制度</w:t>
      </w:r>
      <w:bookmarkEnd w:id="32"/>
    </w:p>
    <w:p w14:paraId="465DF64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DBEE482">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3F50FE5B">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规范常德经济技术开发区安全风险智能化管控平台运行管理工作，保障平台安全稳定运行，充分运用各类数据资源，发挥防范化解安全风险和提高安全监管水平的作用，根据相关规定和标准，结合园区实际，制定本制度。</w:t>
      </w:r>
    </w:p>
    <w:p w14:paraId="213ACC91">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所称平台是指常德经济技术开发区安全风险智能化管控平台（以下简称“平台”）及其配套的所有设备设施，平台主要包括安全基础管理、重大危险源管理、双重预防机制、特殊作业管理、封闭化管理和敏捷应急等模块。</w:t>
      </w:r>
    </w:p>
    <w:p w14:paraId="67C6928B">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本制度所称运行管理工作，是指对平台的数据采集填报、汇聚处理、系统运行维护、功能优化更新、设备维修保养、突发事件应急处置、用户技术支撑等工作。</w:t>
      </w:r>
    </w:p>
    <w:p w14:paraId="47F0BD5B">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本制度适用于常德经济技术开发区管理委员会（以下简称常德经开区）及其所属内设机构、国有企业，平台施工单位和协议运维服务单位，化工园区内危险化学品企业及其承包商，化工园区内公共设施建设单位及其承包商等。</w:t>
      </w:r>
    </w:p>
    <w:p w14:paraId="799D243F">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组织与职责</w:t>
      </w:r>
    </w:p>
    <w:p w14:paraId="1C847D13">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平台运行管理由常德经开区分管安全生产工作的领导同志组织。</w:t>
      </w:r>
    </w:p>
    <w:p w14:paraId="21BF02D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产业发展局（安全监管局）为平台主管部门，负责平台的整体规划建设、应用管理、运维管理、应用人员培训管理及监督管理等工作，应明确管理员和日常应用人员。负责平台网络安全、数据隐私保护及机房管理工作。</w:t>
      </w:r>
    </w:p>
    <w:p w14:paraId="37DDC4A2">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平台施工单位和协议运维服务单位负责统筹软件开发人员、硬件安装人员、设备供应单位及运维团队，配合平台主管部门做好模块功能完善、软硬件维护、网络安全防护、后台数据管理、运维管理及技术指导等工作。</w:t>
      </w:r>
    </w:p>
    <w:p w14:paraId="51CD475A">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应用人员包括产业发展局（安全监管局）相关业务人员，日常值班人员，辖区化工企业相关人员。主要负责根据业务需求进行操作、平台数据的输入和输出及向管理人员或运维人员反馈使用中遇到的问题。</w:t>
      </w:r>
    </w:p>
    <w:p w14:paraId="4B3732FE">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运维人员包括园区业务部门与第三方运维服务机构人员，主要负责平台的系统监控、定期维护、灾难恢复、性能优化、用户培训等。自建系统的企业应明确运维团队，配合园区处理数据对接过程中存在的问题。</w:t>
      </w:r>
    </w:p>
    <w:p w14:paraId="1FAC1850">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产业发展局（安全监管局）应组织制定应用和运维团队具体岗位职责，并明确培训、考核、值班值守、使用安全等事项。</w:t>
      </w:r>
    </w:p>
    <w:p w14:paraId="282D66F7">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平台运行管理</w:t>
      </w:r>
    </w:p>
    <w:p w14:paraId="70D3EA8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w:t>
      </w:r>
      <w:r>
        <w:rPr>
          <w:rFonts w:ascii="Times New Roman" w:hAnsi="Times New Roman" w:eastAsia="仿宋" w:cs="Arial"/>
          <w:b/>
          <w:bCs/>
          <w:snapToGrid w:val="0"/>
          <w:kern w:val="0"/>
          <w:sz w:val="32"/>
          <w:szCs w:val="21"/>
        </w:rPr>
        <w:t>安全基础管理应用</w:t>
      </w:r>
    </w:p>
    <w:p w14:paraId="0CD8D38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1、安全基础管理包括园区和企业基础信息管理、安全生产行政许可管理、装置开停车和大检修管理、第三方单位管理、监督检查管理等。</w:t>
      </w:r>
    </w:p>
    <w:p w14:paraId="7537820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2、园区和企业基础信息管理及安全生产行政许可管理按照以下要求动态更新和审核监督：</w:t>
      </w:r>
    </w:p>
    <w:p w14:paraId="6D84829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（1）园区基本信息、规划、组织架构、安全管理体系、禁限控目录、人员信息库、值班值守等数据，由园区相关部门在数据发生变化的2个工作日内更新。</w:t>
      </w:r>
    </w:p>
    <w:p w14:paraId="0F9397E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（2）企业基础信息、“两重点一重大”、人员信息库、值班值守、安全生产行政许可等数据，由企业在发生变化的2个工作日内更新；新接入平台的企业，应在5个工作日内完成以上信息填报。</w:t>
      </w:r>
    </w:p>
    <w:p w14:paraId="2C365A4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（3）产业发展局（安全监管局）应在2个工作内完成以上数据线上审核。</w:t>
      </w:r>
    </w:p>
    <w:p w14:paraId="3C32DAF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平台自动发送相关证照、资质证书、检测报告等临期提醒后，产业发展局（安全监管局）应在2个工作日内进行电话提醒并记录；发送超期提醒后仍未更新的，应开展现场核查，经核查存在违法违规行为的，书面移交相关执法部门。</w:t>
      </w:r>
    </w:p>
    <w:p w14:paraId="060823C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3、装置开停车和大检修管理按照以下要求动态更新和审核监督：</w:t>
      </w:r>
    </w:p>
    <w:p w14:paraId="0150890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（1）企业应在计划装置开停车和大检修的5个工作日前进行线上报备，报备内容应完整、准确、真实。</w:t>
      </w:r>
    </w:p>
    <w:p w14:paraId="09A5397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（2）产业发展局（安全监管局）应在2个工</w:t>
      </w:r>
      <w:r>
        <w:rPr>
          <w:rFonts w:hint="eastAsia" w:ascii="Times New Roman" w:hAnsi="Times New Roman" w:eastAsia="仿宋" w:cs="Arial"/>
          <w:snapToGrid w:val="0"/>
          <w:kern w:val="0"/>
          <w:sz w:val="32"/>
          <w:szCs w:val="21"/>
        </w:rPr>
        <w:t>作日</w:t>
      </w:r>
      <w:r>
        <w:rPr>
          <w:rFonts w:ascii="Times New Roman" w:hAnsi="Times New Roman" w:eastAsia="仿宋" w:cs="Arial"/>
          <w:snapToGrid w:val="0"/>
          <w:kern w:val="0"/>
          <w:sz w:val="32"/>
          <w:szCs w:val="21"/>
        </w:rPr>
        <w:t>内完成报备信息线上审核，提出批准意见；审核未通过的，应告知申请人原因，并指导完善。</w:t>
      </w:r>
    </w:p>
    <w:p w14:paraId="229B64D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（3）经审核通过的，园区产业发展局（安全监管局）应在开停车和大检修前视情况联合市应急管理部门开展现场抽查。</w:t>
      </w:r>
    </w:p>
    <w:p w14:paraId="3E78C88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4、第三方单位管理按照以下要求动态更新和审核监督：</w:t>
      </w:r>
    </w:p>
    <w:p w14:paraId="3AB12C7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（1）园区公共设施建设单位及园区内企业在选定第三方单位后应线上填报其基本信息、人员信息、资质信息等；在第三方单位驻厂后，应填报其安全教育培训记录。</w:t>
      </w:r>
    </w:p>
    <w:p w14:paraId="3A03650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（2）园区各部门应根据职能，分别在2个工作日内完成线上审核，发现第三方不具备准入条件、安全教育培训不符合要求等问题的，在2个工</w:t>
      </w:r>
      <w:r>
        <w:rPr>
          <w:rFonts w:hint="eastAsia" w:ascii="Times New Roman" w:hAnsi="Times New Roman" w:eastAsia="仿宋" w:cs="Arial"/>
          <w:snapToGrid w:val="0"/>
          <w:kern w:val="0"/>
          <w:sz w:val="32"/>
          <w:szCs w:val="21"/>
        </w:rPr>
        <w:t>作日</w:t>
      </w:r>
      <w:r>
        <w:rPr>
          <w:rFonts w:ascii="Times New Roman" w:hAnsi="Times New Roman" w:eastAsia="仿宋" w:cs="Arial"/>
          <w:snapToGrid w:val="0"/>
          <w:kern w:val="0"/>
          <w:sz w:val="32"/>
          <w:szCs w:val="21"/>
        </w:rPr>
        <w:t>内开展现场监督核查、督促指导。</w:t>
      </w:r>
    </w:p>
    <w:p w14:paraId="2F46FC2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（3）在第三方单位服务期间，发生违规行为的，由企业在发生之日起2个工作日内填报违规记录和处理详情。</w:t>
      </w:r>
    </w:p>
    <w:p w14:paraId="5143683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（4）同一家服务单位一个季度内发生3次以上违规行为的，由相关部门根据职能，在5个工</w:t>
      </w:r>
      <w:r>
        <w:rPr>
          <w:rFonts w:hint="eastAsia" w:ascii="Times New Roman" w:hAnsi="Times New Roman" w:eastAsia="仿宋" w:cs="Arial"/>
          <w:snapToGrid w:val="0"/>
          <w:kern w:val="0"/>
          <w:sz w:val="32"/>
          <w:szCs w:val="21"/>
        </w:rPr>
        <w:t>作日</w:t>
      </w:r>
      <w:r>
        <w:rPr>
          <w:rFonts w:ascii="Times New Roman" w:hAnsi="Times New Roman" w:eastAsia="仿宋" w:cs="Arial"/>
          <w:snapToGrid w:val="0"/>
          <w:kern w:val="0"/>
          <w:sz w:val="32"/>
          <w:szCs w:val="21"/>
        </w:rPr>
        <w:t>内开展现场监督检查、督促指导；对诚信评价为“差”的企业，应开展1次约谈提醒和监督整改，仍未达到优良且达到退出和“黑名单”条件的，按园区相关制度执行。</w:t>
      </w:r>
    </w:p>
    <w:p w14:paraId="2202B55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5、监督检查管理按照以下要求动态更新和监督：</w:t>
      </w:r>
    </w:p>
    <w:p w14:paraId="5CF49C6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（1）产业发展局（安全监管局）应在制定年度计划后5个工作日内完成线上同步，在制定专项计划后2个工作日内完成线上同步，随机和临时计划以及监督检查记录根据情况实时更新。</w:t>
      </w:r>
    </w:p>
    <w:p w14:paraId="2F202F2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（2）通过监督检查管理向企业发送的检查记录和隐患清单，由企业在隐患整改完成后1个工作日内更新整改状态。</w:t>
      </w:r>
    </w:p>
    <w:p w14:paraId="00BD8C9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（3）超期未整改的，产业发展局（安全监管局）应在1个工作日内发送线上督办单，平台同步自动发送短信提醒；督办单下发后5个工作日内未整改的，应开展现场监督、督促指导，直至问题闭环。</w:t>
      </w:r>
    </w:p>
    <w:p w14:paraId="02C730C9">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第十一条  重大危险源安全管理应用</w:t>
      </w:r>
    </w:p>
    <w:p w14:paraId="2EA73DC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1、重大危险源管理包括包保责任落实、在线监测预警、重大风险管控、评价/评估报告及隐患管理、重大危险源企业分类监管等。</w:t>
      </w:r>
    </w:p>
    <w:p w14:paraId="60F9C77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2、产业发展局（安全监管局）作为重大危险源模块管理部门，主要履行以下职责：</w:t>
      </w:r>
    </w:p>
    <w:p w14:paraId="69659B9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（1）督促危险化学品重大危险源企业（以下简称企业）按照有关规定将重大危险源相关信息接入平台。</w:t>
      </w:r>
    </w:p>
    <w:p w14:paraId="7A10094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（2）监控所辖区域监测监控数据质量，包括接入的企业基础数据、实时监测数据、视频监控数据以及安全承诺公告和重大危险源包保信息等数据。</w:t>
      </w:r>
    </w:p>
    <w:p w14:paraId="54403BC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（3）督促企业及时整改监测监控数据质量问题。</w:t>
      </w:r>
    </w:p>
    <w:p w14:paraId="3F417B6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（4）当企业或者设备发生变动，并预期会影响接入自治区、市级系统的数据质量时，及时向市应急管理局报备。</w:t>
      </w:r>
    </w:p>
    <w:p w14:paraId="4E274CB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（5）对企业重大危险源安全运行和安全风险管控情况进行在线抽查。</w:t>
      </w:r>
    </w:p>
    <w:p w14:paraId="54B815A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（6）及时对接市应急管理局，通过平台向上级应急管理部门及时反馈预警信息核查督办情况。</w:t>
      </w:r>
    </w:p>
    <w:p w14:paraId="352462F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3、企业管理员应主要履行以下职责：</w:t>
      </w:r>
    </w:p>
    <w:p w14:paraId="4FF584C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（1）通过平台监控企业数据质量。</w:t>
      </w:r>
    </w:p>
    <w:p w14:paraId="18F2D6F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（2）主动向企业领导和监管部门汇报数据传输异常情况，并进行整改。</w:t>
      </w:r>
    </w:p>
    <w:p w14:paraId="372D054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（3）根据实际情况，及时在平台中更新企业相关基础数据。</w:t>
      </w:r>
    </w:p>
    <w:p w14:paraId="552FC52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（4）设备状态变化时，主动在平台中申请设备停用或恢复；及时向监管部门报告网络中断、设备故障等可能影响平台稳定和数据质量的情况。</w:t>
      </w:r>
    </w:p>
    <w:p w14:paraId="24AABBD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4、包保责任落实按照以下要求动态更新和监督：</w:t>
      </w:r>
    </w:p>
    <w:p w14:paraId="44F4DEB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（1）重大危险源安全包保责任人、联系方式等相关信息发生变化的，企业应于变更后5日内在平台中更新。</w:t>
      </w:r>
    </w:p>
    <w:p w14:paraId="011070B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（2）企业主要负责人、技术负责人、操作负责人应到其包保的重大危险源现场，分别每半年、每季度、每周至少完成一次规定的隐患排查任务，并通过平台进行履职记录。</w:t>
      </w:r>
    </w:p>
    <w:p w14:paraId="6EBFECD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（3）产业发展局（安全监管局）应对企业包保责任落实情况进行抽查，抽查发现未排查的，应在当天进行电话提醒，并进行记录；发现超期未排查的，应在2个工作日内开展现场监督指导、督促整改。</w:t>
      </w:r>
    </w:p>
    <w:p w14:paraId="53EE23A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5、企业监测预警及视频监控系统在线和完好情况按照以下要求接入、更新和监督：</w:t>
      </w:r>
    </w:p>
    <w:p w14:paraId="71DB064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接入范围应覆盖所有重大危险源以及全厂区可燃、有毒有害气体监测点位，每个重大危险源数据接入应符合《危险化学品安全生产风险监测预警系统数据接入规范》要求，不得遗漏或选择性接入。储罐、装置和仓库的名称应规范准确、清晰可区分、位置明确。</w:t>
      </w:r>
    </w:p>
    <w:p w14:paraId="7A8BA8C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重大危险源及其重点部位的监测指标数据应真实全面反映其安全状态；应标明设备设施类型、物料介质及其形态；监测指标数据应注明单位，并设置符合逻辑且反映生产安全临界状态的阈值范围；同类监测数据的名称应明确区分，可通过前缀或后缀描述详细差别予以区分；同一设备设施的监测数据应统一关联到同一名称的设备设施上，可燃、有毒气体指标应明确关联相关设备、设施、位置等具体信息。</w:t>
      </w:r>
    </w:p>
    <w:p w14:paraId="5AD5D65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（3）重大危险源及其重点部位的视频监控数据应直观全面反映其现场状态；监控摄像角度应能捕捉关键要素，应能显示设备、装置、储罐、库区等的关键风险部位及中控室人员值班状态。</w:t>
      </w:r>
    </w:p>
    <w:p w14:paraId="588CCCE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不得关闭、破坏直接关系生产安全的监控、报警设备、设施，或者篡改、隐瞒、销毁其相关数据、信息。不得擅自停用、摘除、损毁监测预警设备设施；不得擅自变动监测预警设备设施的布局和点位；不得伪造、篡改监测数据；严禁无故停电、断电、断网、遮挡摄像等人为干扰和破坏系统实时监测的行为。</w:t>
      </w:r>
    </w:p>
    <w:p w14:paraId="2C9D991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（5）如有停产检修计划或设备设施损坏等情况，应</w:t>
      </w:r>
      <w:r>
        <w:rPr>
          <w:rFonts w:hint="eastAsia" w:ascii="Times New Roman" w:hAnsi="Times New Roman" w:eastAsia="仿宋" w:cs="Arial"/>
          <w:snapToGrid w:val="0"/>
          <w:kern w:val="0"/>
          <w:sz w:val="32"/>
          <w:szCs w:val="21"/>
        </w:rPr>
        <w:t>及时</w:t>
      </w:r>
      <w:r>
        <w:rPr>
          <w:rFonts w:ascii="Times New Roman" w:hAnsi="Times New Roman" w:eastAsia="仿宋" w:cs="Arial"/>
          <w:snapToGrid w:val="0"/>
          <w:kern w:val="0"/>
          <w:sz w:val="32"/>
          <w:szCs w:val="21"/>
        </w:rPr>
        <w:t>向各级应急管理部门报备或反馈。</w:t>
      </w:r>
    </w:p>
    <w:p w14:paraId="350661F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（6）应做好动态感知、自动报警、采集传输、自动化控制、互联网专线等设备设施的日常维护管理和安全防护，确保监测预警系统24小时安全运行和在线传输。</w:t>
      </w:r>
    </w:p>
    <w:p w14:paraId="50E9286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6、产业发展局（安全监管局）开展在线抽查应包括但不限于企业监测预警及视频监控系统在线和完好、异常处置、值班值守、安全承诺、重大危险源包保责任落实等情况。重点对以下情形进行抽查：</w:t>
      </w:r>
    </w:p>
    <w:p w14:paraId="1BC0ECC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（1）脱岗、睡岗的。</w:t>
      </w:r>
    </w:p>
    <w:p w14:paraId="5348B94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（2）生产装置或者储存设施存在超温、超压、超液位运行的。</w:t>
      </w:r>
    </w:p>
    <w:p w14:paraId="27F8C5F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（3）工艺或安全仪表报警未及时处置的。</w:t>
      </w:r>
    </w:p>
    <w:p w14:paraId="0DCF612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（4）特殊作业过程无人监护的。</w:t>
      </w:r>
    </w:p>
    <w:p w14:paraId="67CF1FD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（5）包保责任人未按规定履职的。</w:t>
      </w:r>
    </w:p>
    <w:p w14:paraId="10061D1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7、评价/评估报告及隐患管理按照以下要求动态更新和监督：</w:t>
      </w:r>
    </w:p>
    <w:p w14:paraId="5596602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（1）企业应在平台上传有效的SIL等级评估报告，每3年开展一次重大危险源安全评价，并在取得评价报告后7个工作日内在平台进行更新。</w:t>
      </w:r>
    </w:p>
    <w:p w14:paraId="04F3BAD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（2）重大危险源专项督导检查期间，企业应根据专项检查任务及时开展自查，在市级交叉检查、省级抽查、部级督导核查结束并收到检查整改清单后的2个工作日内录入隐患，并在整改完成后更新隐患状态。</w:t>
      </w:r>
    </w:p>
    <w:p w14:paraId="1553C1E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（3）产业发展局（安全监管局）应及时抽查企业SIL等级评估报告和重大危险源评价报告，发现报告失效后，立即告知企业进行整改；经督促后仍未整改的，在2个工作日内书面移交市、区应急管理部门。</w:t>
      </w:r>
    </w:p>
    <w:p w14:paraId="494318D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（4）产业发展局（安全监管局）应及时督促企业完成录入，超期未完成或隐患超期未改的，在2个工作日内进行督办；经督办后仍未完成的，在5个工作日内开展现场监督指导，书面移交市应急管理部门。</w:t>
      </w:r>
    </w:p>
    <w:p w14:paraId="2E1D6426">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第十二条  双重预防机制应用</w:t>
      </w:r>
    </w:p>
    <w:p w14:paraId="3897D06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1、双重预防机制管理包括安全风险分级管控、隐患排查治理、隐患整改和督办提醒、运行效果抽查检查等。</w:t>
      </w:r>
    </w:p>
    <w:p w14:paraId="332408D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2、安全风险分级管控按照以下要求动态更新和审核监督：</w:t>
      </w:r>
    </w:p>
    <w:p w14:paraId="0874FEA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企业应按照《危险化学品企业双重预防机制数字化建设工作指南》要求，在平台中录入安全风险分析对象、安全风险分析单元、安全风险事件、安全风险管控措施、安全风险清单，划分风险分区，绘制安全风险空间分布图。风险辨识发生变化的，应在7个工作日内进行更新。</w:t>
      </w:r>
    </w:p>
    <w:p w14:paraId="0B58E8A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（2）新接入平台的企业，应在15个工作日内完成以上信息录入。</w:t>
      </w:r>
    </w:p>
    <w:p w14:paraId="6CE27F7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（3）未按期完成以上信息录入的，产业发展局（安全监管局）应在3个工作日内开展现场督促指导。需要审核的数据，应在2个工作日内完成线上审核。</w:t>
      </w:r>
    </w:p>
    <w:p w14:paraId="48421EC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3、隐患排查治理按照以下要求动态更新和监督：</w:t>
      </w:r>
    </w:p>
    <w:p w14:paraId="2BA2901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（1）企业应将安全风险管控措施作为隐患排查任务，在平台完善隐患排查任务清单。</w:t>
      </w:r>
    </w:p>
    <w:p w14:paraId="167E316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（2）企业应按照国家法律法规及标准要求，结合企业实际，制定综合性、专业性、季节性、重点时段及节假日前等形式的隐患排查任务清单。</w:t>
      </w:r>
    </w:p>
    <w:p w14:paraId="023AD42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企业应按排查周期开展隐患排查；周期内未排查且剩余时间不足12小时的，平台应自动向排查人发送提醒短信；超期未排查的，产业发展局（安全监管局）应电话核查督促并记录，经督促仍未排查的，应会同市应急管理局开展线下监督检查。</w:t>
      </w:r>
    </w:p>
    <w:p w14:paraId="25E8ABF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企业排查发现的隐患，能立即整改的隐患必须立即整改，无法立即整改的隐患，制定隐患治理计划，做到整改措施、责任、资金、时限和预案“五到位”，确保按时整改。整改完成后要组织对隐患治理效果进行验收，完成隐患闭环管理。</w:t>
      </w:r>
    </w:p>
    <w:p w14:paraId="6A18E7A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企业隐患整改单中的隐患描述、隐患位置、计划资金、整改措施、原因分析、控制措施、实际资金、验收意见、验收情况等内容应当完整、准确、真实；具有拍摄条件的，应同时上传现场、整改、验收的照片和视频。</w:t>
      </w:r>
    </w:p>
    <w:p w14:paraId="587B33B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产业发展局（安全监管局）应线上核查企业隐患整改单，对无法立即整改的隐患，隐患整改单中未明确整改措施、责任、资金、时限和预案，或内容不完整、不准确的，应在1个工作日内电话告知隐患登记人进行完善并记录；经电话督促，仍未完善的，应在2个工作日内开展现场核查、督促指导。</w:t>
      </w:r>
    </w:p>
    <w:p w14:paraId="097B51E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产业发展局（安全监管局）应每天核查企业重大隐患、隐患整改临期及一般隐患超期情况，对存在以上情况的，应在1个工作日内线上发送督办单，跟踪企业办理情况；企业接收平台督办单后，应及时进行反馈；经督办仍未落实的，应在3个工作日内开展现场核查，并书面移交相关执法部门。</w:t>
      </w:r>
    </w:p>
    <w:p w14:paraId="5B024976">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第十三条  特殊作业管理应用</w:t>
      </w:r>
    </w:p>
    <w:p w14:paraId="01C90A5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1、特殊作业管理包括企业特殊作业报备、特殊作业票证统计分析、特殊作业在线抽查检查等。</w:t>
      </w:r>
    </w:p>
    <w:p w14:paraId="189E504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2、园区内企业和公共区域第三方施工单位应在特殊作业前通过平台进行报备，应按照平台模板，确保报备内容完整、准确、真实。</w:t>
      </w:r>
    </w:p>
    <w:p w14:paraId="0C7953E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各部门应根据职能，分别核查园区内企业和公共区域第三方施工单位特殊作业报备情况，每天按照不低于涉及高风险作业（一级及以上动火作业、受限空间作业、同一作业区域交叉作业等）报备企业数的70%开展在线抽查，在春节、国</w:t>
      </w:r>
      <w:r>
        <w:rPr>
          <w:rFonts w:hint="eastAsia" w:ascii="Times New Roman" w:hAnsi="Times New Roman" w:eastAsia="仿宋" w:cs="Arial"/>
          <w:snapToGrid w:val="0"/>
          <w:kern w:val="0"/>
          <w:sz w:val="32"/>
          <w:szCs w:val="21"/>
        </w:rPr>
        <w:t>庆</w:t>
      </w:r>
      <w:r>
        <w:rPr>
          <w:rFonts w:ascii="Times New Roman" w:hAnsi="Times New Roman" w:eastAsia="仿宋" w:cs="Arial"/>
          <w:snapToGrid w:val="0"/>
          <w:kern w:val="0"/>
          <w:sz w:val="32"/>
          <w:szCs w:val="21"/>
        </w:rPr>
        <w:t>等重大节日和重大活动等重点时段，抽查比例不低于90%，对其他特殊作业随机抽查。</w:t>
      </w:r>
    </w:p>
    <w:p w14:paraId="2594E60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4、产业发展局（安全监管局）应每天上午核对重大危险源企业安全承诺公告中的特殊作业数量和实际报备情况，并按照以下要求处理：</w:t>
      </w:r>
    </w:p>
    <w:p w14:paraId="5C48EF2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（1）对未报备的，电话告知企业安全管理人员，督促报备，并记录；</w:t>
      </w:r>
    </w:p>
    <w:p w14:paraId="750BCB3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（2）经督促仍未报备的，应在当天开展现场核查；</w:t>
      </w:r>
    </w:p>
    <w:p w14:paraId="607FD63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（3）经现场核查，风险研判与承诺公告中的特殊作业数量和实际作业不符的，督促企业整改；</w:t>
      </w:r>
    </w:p>
    <w:p w14:paraId="234A091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（4）无正当理由，连续3次出现承诺数量和实际作业不符的，约谈企业主要负责人。</w:t>
      </w:r>
    </w:p>
    <w:p w14:paraId="6A4AD28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（5）经约谈，仍出现同类情况的，书面移交市应急管理部门作为行政执法依据。</w:t>
      </w:r>
    </w:p>
    <w:p w14:paraId="537A65F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5、特殊作业在线抽查包括但不限于以下内容：</w:t>
      </w:r>
    </w:p>
    <w:p w14:paraId="19A6C36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（1）作业内容是否与报备情况一致，作业票审批是否规范；</w:t>
      </w:r>
    </w:p>
    <w:p w14:paraId="2DA2CD8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（2）开展特殊作业前是否开展安全风险辨识和安全交底；</w:t>
      </w:r>
    </w:p>
    <w:p w14:paraId="59B3E46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（3）同一作业关联其他特殊作业或作业区域存在交叉作业是否同时办理相应的作业审批手续；</w:t>
      </w:r>
    </w:p>
    <w:p w14:paraId="654EF36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（4）动火、受限空间作业是否存在先作业后检测或者未进行检测直接作业情况，作业中断后是否按要求重新进行检测分析；</w:t>
      </w:r>
    </w:p>
    <w:p w14:paraId="20DC8D0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（5）特级动火是否按要求制定作业方案，是否采集全过程作业影像；</w:t>
      </w:r>
    </w:p>
    <w:p w14:paraId="481B6B3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（6）特殊作业监护人是否经培训考试合格上岗，涉及的特种作业人员是否取得相应资格证书持证上岗；</w:t>
      </w:r>
    </w:p>
    <w:p w14:paraId="5EECC16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（7）对承包商开展特殊作业是否实施一体化管理；</w:t>
      </w:r>
    </w:p>
    <w:p w14:paraId="3BC4242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（8）在与易燃易爆有毒物料设备、管道相连的公用工程设施设备上开展特殊作业时，是否参照易燃易爆有毒场所严格落实特殊作业管理制度；</w:t>
      </w:r>
    </w:p>
    <w:p w14:paraId="6EAC75B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（9）节假日、公休日、夜间动火作业是否进行升级管理。</w:t>
      </w:r>
    </w:p>
    <w:p w14:paraId="692CBD2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（10）作业区域视频监控和传感器等数据情况是否正常。</w:t>
      </w:r>
    </w:p>
    <w:p w14:paraId="7460781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抽查后，应填写抽查结果，形成在线抽查记录。对发现环境分析超时、高风险区域作业、节假日未提级管理、作业暂停超时、作业即将到期、极端天气下高处作业和吊装作业及其他各类问题隐患，形成问题隐患清单，及时电话告知企业安全管理人员，督促整改，并记录，并跟踪整改情况；发现存在重大风险隐患的，应要求企业立即停止作业；对确需现场核查的，应在作业当天进行实地巡查抽查，发现违法违规行为，于2个工作日内书面移交相关执法部门。</w:t>
      </w:r>
    </w:p>
    <w:p w14:paraId="33ED350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6、园区内企业应利用平台作业活动和预警统计分析及作业趋势分析，将分析结果用于风险辨识评估、生产计划管理、设备完整性管理等过程。</w:t>
      </w:r>
    </w:p>
    <w:p w14:paraId="2E16FEA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产业发展局（安全监管局）应利用平台特殊作业多维度统计分析月度数据，研判特殊作业安全风险，制定安全风险管控措施，调整日常监督管理重点。对隐患问题多、现场管理不到位的企业加大抽查频次，对存在重大事故隐患、因同类隐患问题被执法2次以上、存在屡查屡犯等问题的企业在园区范围进行通报，并约谈企业主要负责人。</w:t>
      </w:r>
    </w:p>
    <w:p w14:paraId="4334AC67">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第十四条  封闭化管理应用</w:t>
      </w:r>
    </w:p>
    <w:p w14:paraId="56C6D3C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1、封闭化管理包括门禁/卡口管理、出入园管理，危险化学品运输路径规划、定位和追踪，人员分布管理、危险化学品运输车辆停车场管理等。</w:t>
      </w:r>
    </w:p>
    <w:p w14:paraId="24B7ED9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2、产业发展局（安全监管局）是封闭化管理模块应用的牵头单位，应统筹园区平台值班人员和第三方运维人员，确保封闭化管理模块正常运行。</w:t>
      </w:r>
    </w:p>
    <w:p w14:paraId="3F21667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3、中国市政中南院公司应根据园区规划的门禁/卡口设置方案，将门禁/卡口信息分类型、分设备录入平台。</w:t>
      </w:r>
    </w:p>
    <w:p w14:paraId="7F656D3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产业发展局（安全监管局）应按照数据交换规范，收集园区工作人员、应急救援人员、上级部门检查人员等符合长期授权情形的人员信息，以及园区车辆、园区员工车辆、上级部门公务车辆等符合长期授权情形的车辆信息，分别录入平台长期授权的备案人员信息库和车辆信息库，并动态更新。</w:t>
      </w:r>
    </w:p>
    <w:p w14:paraId="711C1D2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出入化工园区的企业应通过企业端将企业内部人员、长期驻园的承包商人员以及企业车辆、企业员工车辆等信息，分别录入平台长期授权的备案人员信息库和车辆信息库，并动态更新。</w:t>
      </w:r>
    </w:p>
    <w:p w14:paraId="5E97BF0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5、值班人员应严格出入园管理，及时审核、授权人员和车辆出入园申请及危险化学品运输车辆预约。</w:t>
      </w:r>
    </w:p>
    <w:p w14:paraId="7E88699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值班人员应每天通过视频监控、现场巡检等方式，查看封闭化硬件设施（包括道路门禁/卡口、企业门禁、道闸视频监控、车辆测速及其他配套设施等）运行情况，发现运行异常的，书面移交运维单位处理，并进行记录；运维单位应在接收后2个工作日内完成修复，无法按期修复的，经产业发展局（安全监管局）同意后，可延期修复。</w:t>
      </w:r>
    </w:p>
    <w:p w14:paraId="52480EA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开发建设局应基于园区企业布局、道路及卡口分布、人流轨迹、运输物料、专用停车场等信息，在线规划危险化学品车辆园区内行驶路径、专用车道、通行时段等，指导平台施工单位线上展示，并结合危险化学品车辆行驶分布信息，不断优化相关行驶路径规划。</w:t>
      </w:r>
    </w:p>
    <w:p w14:paraId="316761C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8、值班人员应不定期抽查园区内危险化学品运输车辆的位置、行驶路线等实时动态，对智能识别出的危险化学品运输车辆超速、违停、不按车道不按时段通行等不安全行为，进行处理。</w:t>
      </w:r>
    </w:p>
    <w:p w14:paraId="661FF1B4">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第十五条  敏捷应急应用</w:t>
      </w:r>
    </w:p>
    <w:p w14:paraId="7288665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1、敏捷应急管理包括应急预案管理、应急演练管理、应急资源管理、应急指挥调度、应急辅助决策等。</w:t>
      </w:r>
    </w:p>
    <w:p w14:paraId="75CC3E7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敏捷应急管理基础数据包括应急预案，应急演练计划、过程、评估，应急救援专家、队伍、人员、物资、重点防护目标、医疗机构、应急车辆等应急资源，应急组织、值班岗位和人员管理、值班日历等。按照以下要求动态更新和审核监督：</w:t>
      </w:r>
    </w:p>
    <w:p w14:paraId="3786953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（1）园区基础数据由产业发展局（安全监管局）在数据发生变化的2个工作日内更新，相关责任人负责审核。</w:t>
      </w:r>
    </w:p>
    <w:p w14:paraId="4117E57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（2）企业基础数据由企业在发生变化的2个工作日内更新；新接入平台的企业，应在5个工作日内完成数据填报。</w:t>
      </w:r>
    </w:p>
    <w:p w14:paraId="4CCA77F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（3）对需要审核的数据，产业发展局（安全监管局）应在2个工</w:t>
      </w:r>
      <w:r>
        <w:rPr>
          <w:rFonts w:hint="eastAsia" w:ascii="Times New Roman" w:hAnsi="Times New Roman" w:eastAsia="仿宋" w:cs="Arial"/>
          <w:snapToGrid w:val="0"/>
          <w:kern w:val="0"/>
          <w:sz w:val="32"/>
          <w:szCs w:val="21"/>
        </w:rPr>
        <w:t>作日</w:t>
      </w:r>
      <w:r>
        <w:rPr>
          <w:rFonts w:ascii="Times New Roman" w:hAnsi="Times New Roman" w:eastAsia="仿宋" w:cs="Arial"/>
          <w:snapToGrid w:val="0"/>
          <w:kern w:val="0"/>
          <w:sz w:val="32"/>
          <w:szCs w:val="21"/>
        </w:rPr>
        <w:t>内完成线上审核；对未审核通过的，指导企业更正完善。</w:t>
      </w:r>
    </w:p>
    <w:p w14:paraId="0E6A37D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平台发送企业应急预案备案超期、应急物资超出使用期限、应急演练计划超期未实施等提醒，产业发展局（安全监管局）应在2个工作日内进行电话提醒，并进行记录；经提醒后3个工作日内仍未更新的，开展现场核查，督促指导企业进行整改，经核查存在违法违规行为的，书面移交相关执法部门。</w:t>
      </w:r>
    </w:p>
    <w:p w14:paraId="1BED3AE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产业发展局（安全监管局）应定期线上查阅企业应急预案、应急演练、应急资源、应急值班等管理情况，对发现的问题，电话告知企业安全管理人员，督促整改，并在日志中记录；经督促仍未按期整改的，会同市应急管理局开展线下监督检查。</w:t>
      </w:r>
    </w:p>
    <w:p w14:paraId="76F8824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3、值班人员应及时查收事故报告和接处警，线上填写值班记录。信息报告和事故处理遵照园区值班值守工作要求和应急预案有关要求。</w:t>
      </w:r>
    </w:p>
    <w:p w14:paraId="36ABEFDC">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平台值班值守</w:t>
      </w:r>
    </w:p>
    <w:p w14:paraId="7D1D98C5">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第十六条  运维服务单位和人员要求</w:t>
      </w:r>
    </w:p>
    <w:p w14:paraId="737AB33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1、运维服务单位应当符合以下基本要求：</w:t>
      </w:r>
    </w:p>
    <w:p w14:paraId="4539B2A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（1）具有独立法人资格。</w:t>
      </w:r>
    </w:p>
    <w:p w14:paraId="51866AC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（2）获得平台运维管理的相关授权，并按照运维合同、相关管理和技术规范实施平台的运行管理和维护。</w:t>
      </w:r>
    </w:p>
    <w:p w14:paraId="2CBB5F8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（3）具有组织架构和专业运维团队，在指定办公场所开展运维服务工作。</w:t>
      </w:r>
    </w:p>
    <w:p w14:paraId="2B4BEAC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（4）具有成熟的运维管理工作机制、规章制度和标准化工作流程，且严格执行。</w:t>
      </w:r>
    </w:p>
    <w:p w14:paraId="1A7B758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（5）提供7×24小时软件维护服务和技术支持，并设立紧急联络人。</w:t>
      </w:r>
    </w:p>
    <w:p w14:paraId="0D5827E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（6）建立并实施与运维服务相关的培训体系。</w:t>
      </w:r>
    </w:p>
    <w:p w14:paraId="09FF0EA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（7）接受常德经开区对运维工作的监督管理，及时向相关负责人、部门报告情况。</w:t>
      </w:r>
    </w:p>
    <w:p w14:paraId="18E0DDD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2、运维人员应当符合以下基本要求：</w:t>
      </w:r>
    </w:p>
    <w:p w14:paraId="05AACF5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（1）具有良好的职业道德、行为规范、服务信誉等。</w:t>
      </w:r>
    </w:p>
    <w:p w14:paraId="04E1988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（2）具备相关专业背景能力和运维服务相关知识。</w:t>
      </w:r>
    </w:p>
    <w:p w14:paraId="5DA5049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（3）通过与运维服务相关的培训。</w:t>
      </w:r>
    </w:p>
    <w:p w14:paraId="1EAD689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（4）通过运维人员考核。</w:t>
      </w:r>
    </w:p>
    <w:p w14:paraId="7D919BD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（5）遵守安全和保密相关规定。</w:t>
      </w:r>
    </w:p>
    <w:p w14:paraId="5613F85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3、运维团队应当具备软件、硬件、数据库、中间件、信息安全、网络、机房环境等维护能力，服务内容遵照平台运行岗位管理制度。</w:t>
      </w:r>
    </w:p>
    <w:p w14:paraId="572B2A3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4、运维服务单位和运维团队应当根据需求提供以下服务方式：</w:t>
      </w:r>
    </w:p>
    <w:p w14:paraId="2DFEC56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（1）远程支持服务：为常德经开区和相关企业用户提供远程技术维护服务。</w:t>
      </w:r>
    </w:p>
    <w:p w14:paraId="21E73F2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（2）现场服务：为远程未能解决的问题提供技术支持、现场维护服务。</w:t>
      </w:r>
    </w:p>
    <w:p w14:paraId="3F6EB35A">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第十七条  运维团队值班管理</w:t>
      </w:r>
    </w:p>
    <w:p w14:paraId="14E36B0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1、运营团队实行24小时“2班倒”值班模式，每班由“技术运营组+业务运营组”组成。</w:t>
      </w:r>
    </w:p>
    <w:p w14:paraId="738D8B2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2、值班人员需提前15分钟到岗，检查值班设备运行状态；核对上一班值班日志、未处置问题台账。</w:t>
      </w:r>
    </w:p>
    <w:p w14:paraId="182096C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3、值班人员需严格遵守园区管理规定，按时上下班，不迟到、早退、旷工；严禁在驻场区域吸烟、饮酒、喧哗。</w:t>
      </w:r>
    </w:p>
    <w:p w14:paraId="35447BD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4、实时监测管控平台全链路运行状态，重点包括</w:t>
      </w:r>
      <w:r>
        <w:rPr>
          <w:rFonts w:hint="eastAsia" w:ascii="Times New Roman" w:hAnsi="Times New Roman" w:eastAsia="仿宋" w:cs="Arial"/>
          <w:snapToGrid w:val="0"/>
          <w:kern w:val="0"/>
          <w:sz w:val="32"/>
          <w:szCs w:val="21"/>
        </w:rPr>
        <w:t>：</w:t>
      </w:r>
      <w:r>
        <w:rPr>
          <w:rFonts w:ascii="Times New Roman" w:hAnsi="Times New Roman" w:eastAsia="仿宋" w:cs="Arial"/>
          <w:snapToGrid w:val="0"/>
          <w:kern w:val="0"/>
          <w:sz w:val="32"/>
          <w:szCs w:val="21"/>
        </w:rPr>
        <w:t>硬件设备运行参数，软件系统运行日志，网络宽带、数据传输状态，以及平台预警信息推送情况。</w:t>
      </w:r>
    </w:p>
    <w:p w14:paraId="1F5018D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5、值班人员负责信息化平台安全预警信息分析和辨别，对接业务部门、园区企业，督促企业处理安全预警信息，必要时协调业务部门参与处置。</w:t>
      </w:r>
    </w:p>
    <w:p w14:paraId="5ED59DE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6、负责园区封闭化闸口申请信息审批，协助园区封闭化管理团队开展现场核查。</w:t>
      </w:r>
    </w:p>
    <w:p w14:paraId="4416E6A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7、节假日增设“应急备勤岗”，备勤人员需保持通讯畅通，1小时内可抵达现场。</w:t>
      </w:r>
    </w:p>
    <w:p w14:paraId="3D9A8E2C">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第十八条  平台使用人员管理</w:t>
      </w:r>
    </w:p>
    <w:p w14:paraId="6D4D061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1、严格保管个人平台账号及密码，严禁转借他人使用；定期更换密码，发现账号被盗用、异常登录等情况，需立即修改密码并向平台运维服务专员或所属部门负责人报告。</w:t>
      </w:r>
    </w:p>
    <w:p w14:paraId="3EEFDE4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2、按照平台操作手册及相关培训要求规范操作，不得擅自修改平台系统配置、删除或篡改平台存储的各类信息数据；确需调整的，需按流程提交申请，经审批同意后由运维人员协助处理。</w:t>
      </w:r>
    </w:p>
    <w:p w14:paraId="132FF52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3、自觉遵守信息安全及保密规定，对平台获取的各类敏感信息严格保密，不得擅自复制、传播、泄露给无关第三方。</w:t>
      </w:r>
    </w:p>
    <w:p w14:paraId="31DBE5E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4、积极参加平台使用培训，主动学习平台功能及信息应用相关规范，提升自身操作能力及信息安全意识。</w:t>
      </w:r>
    </w:p>
    <w:p w14:paraId="5C10A75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5、在平台使用过程中发现信息错误、功能异常或安全隐患时，需及时通过平台反馈渠道或联系运维服务专员提交问题，配合运维人员开展问题核查与处置工作。</w:t>
      </w:r>
    </w:p>
    <w:p w14:paraId="05F174B4">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第十九条  故障处置流程</w:t>
      </w:r>
    </w:p>
    <w:p w14:paraId="1B16CFA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1、故障分级</w:t>
      </w:r>
    </w:p>
    <w:p w14:paraId="5529A86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根据故障影响范围和严重程度分为四级：</w:t>
      </w:r>
    </w:p>
    <w:p w14:paraId="3A2DD2E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（1）一级故障（重大）：平台整体瘫痪或核心功能失效，影响园区整体安全管控工作；</w:t>
      </w:r>
    </w:p>
    <w:p w14:paraId="0B01BCB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（2）二级故障（重要）：平台部分功能失效，影响部分区域或关键业务模块运行；</w:t>
      </w:r>
    </w:p>
    <w:p w14:paraId="5CB0B00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（3）三级故障（一般）：单个设备或局部功能异常，不影响核心业务运行；</w:t>
      </w:r>
    </w:p>
    <w:p w14:paraId="015E2C0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（4）四级故障（轻微）</w:t>
      </w:r>
      <w:r>
        <w:rPr>
          <w:rFonts w:hint="eastAsia" w:ascii="Times New Roman" w:hAnsi="Times New Roman" w:eastAsia="仿宋" w:cs="Arial"/>
          <w:snapToGrid w:val="0"/>
          <w:kern w:val="0"/>
          <w:sz w:val="32"/>
          <w:szCs w:val="21"/>
        </w:rPr>
        <w:t>：</w:t>
      </w:r>
      <w:r>
        <w:rPr>
          <w:rFonts w:ascii="Times New Roman" w:hAnsi="Times New Roman" w:eastAsia="仿宋" w:cs="Arial"/>
          <w:snapToGrid w:val="0"/>
          <w:kern w:val="0"/>
          <w:sz w:val="32"/>
          <w:szCs w:val="21"/>
        </w:rPr>
        <w:t>不影响平台运行的小问题（如界面显示异常、个别数据错误）。</w:t>
      </w:r>
    </w:p>
    <w:p w14:paraId="14CBCB7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2、分级处置</w:t>
      </w:r>
    </w:p>
    <w:p w14:paraId="694902D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（1）一级故障：立即启动应急预案，运维团队负责人牵头组织处置，同时上报园区管委会负责人，2小时内给出初步处置方案，24小时内完成处置；</w:t>
      </w:r>
    </w:p>
    <w:p w14:paraId="30FF1EC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（2）二级故障：运维人员立即组织处置，必要时协调相关技术人员支援，4小时内完成处置；</w:t>
      </w:r>
    </w:p>
    <w:p w14:paraId="464C95A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（3）三级故障：巡检或值班人员现场处置，2小时内完成处置；</w:t>
      </w:r>
    </w:p>
    <w:p w14:paraId="03160DF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（4）四级故障：运维人员在1个小时内完成处置。</w:t>
      </w:r>
    </w:p>
    <w:p w14:paraId="0021D46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3、故障复盘</w:t>
      </w:r>
    </w:p>
    <w:p w14:paraId="2CDF5FC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故障处置完成后，运维人员填写《故障处置记录表》，记录故障详情，组织故障复盘，分析故障原因，总结经验教训，避免同类故障重复发生。</w:t>
      </w:r>
    </w:p>
    <w:p w14:paraId="106AEBCD">
      <w:pPr>
        <w:ind w:firstLine="640"/>
        <w:sectPr>
          <w:pgSz w:w="11906" w:h="16838"/>
          <w:pgMar w:top="1440" w:right="1800" w:bottom="1440" w:left="1800" w:header="851" w:footer="992" w:gutter="0"/>
          <w:cols w:space="720" w:num="1"/>
          <w:docGrid w:type="lines" w:linePitch="312" w:charSpace="0"/>
        </w:sectPr>
      </w:pPr>
    </w:p>
    <w:p w14:paraId="70E4C0C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2C3AF8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8320BA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2F72E8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4FC02DD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AAB20D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217B77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2E7190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6B789C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4A2DF455">
      <w:pPr>
        <w:keepNext/>
        <w:keepLines/>
        <w:snapToGrid w:val="0"/>
        <w:spacing w:line="600" w:lineRule="exact"/>
        <w:jc w:val="center"/>
        <w:textAlignment w:val="baseline"/>
        <w:outlineLvl w:val="0"/>
        <w:rPr>
          <w:rFonts w:hint="eastAsia" w:ascii="方正小标宋简体" w:hAnsi="方正小标宋简体" w:eastAsia="方正小标宋简体" w:cs="方正小标宋简体"/>
          <w:b/>
          <w:snapToGrid w:val="0"/>
          <w:kern w:val="44"/>
          <w:sz w:val="48"/>
          <w:szCs w:val="21"/>
        </w:rPr>
      </w:pPr>
      <w:bookmarkStart w:id="33" w:name="_Toc22381"/>
      <w:bookmarkStart w:id="34" w:name="_Toc646873889"/>
      <w:bookmarkStart w:id="35" w:name="_Toc2136902837"/>
      <w:bookmarkStart w:id="36" w:name="_Toc169870365"/>
      <w:r>
        <w:rPr>
          <w:rFonts w:hint="eastAsia" w:ascii="方正小标宋简体" w:hAnsi="方正小标宋简体" w:eastAsia="方正小标宋简体" w:cs="方正小标宋简体"/>
          <w:b/>
          <w:snapToGrid w:val="0"/>
          <w:kern w:val="44"/>
          <w:sz w:val="48"/>
          <w:szCs w:val="21"/>
        </w:rPr>
        <w:t>第二部分 人员类管理制度</w:t>
      </w:r>
      <w:bookmarkEnd w:id="33"/>
      <w:bookmarkEnd w:id="34"/>
      <w:bookmarkEnd w:id="35"/>
      <w:bookmarkEnd w:id="36"/>
    </w:p>
    <w:p w14:paraId="60033492">
      <w:pPr>
        <w:ind w:firstLine="640"/>
        <w:rPr>
          <w:rFonts w:hint="eastAsia" w:ascii="方正小标宋简体" w:hAnsi="方正小标宋简体" w:eastAsia="方正小标宋简体" w:cs="方正小标宋简体"/>
        </w:rPr>
        <w:sectPr>
          <w:pgSz w:w="11906" w:h="16838"/>
          <w:pgMar w:top="1440" w:right="1800" w:bottom="1440" w:left="1800" w:header="851" w:footer="992" w:gutter="0"/>
          <w:cols w:space="720" w:num="1"/>
          <w:docGrid w:type="lines" w:linePitch="312" w:charSpace="0"/>
        </w:sectPr>
      </w:pPr>
    </w:p>
    <w:p w14:paraId="7604C11E">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37" w:name="_Toc1423330570"/>
      <w:r>
        <w:rPr>
          <w:rFonts w:ascii="Times New Roman" w:hAnsi="Times New Roman" w:eastAsia="方正小标宋简体" w:cs="Arial"/>
          <w:snapToGrid w:val="0"/>
          <w:kern w:val="0"/>
          <w:sz w:val="44"/>
          <w:szCs w:val="21"/>
        </w:rPr>
        <w:t>专业安全监管人员管理制度</w:t>
      </w:r>
      <w:bookmarkEnd w:id="37"/>
    </w:p>
    <w:p w14:paraId="2F71944F">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35370A5">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23152A8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为加强常德经济技术开发区枫树岗化工片区（以下简称“化工园区”）安全监管专业力量建设，规范安全监管人员管理，特制定本制度。</w:t>
      </w:r>
    </w:p>
    <w:p w14:paraId="7E0D6CE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本制度所称专业安全监管人员，是指为化工园区安全监管工作提供专业支撑，履行或协助履行化工安全生产监督管理职责的人员。</w:t>
      </w:r>
    </w:p>
    <w:p w14:paraId="641807C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化工园区专业安全监管人员原则上不少于6人，应为常德经济技术开发区管理委员会（以下简称“管委会”）直接聘用（行政编、事业编、直接签署合同聘用等人员）。</w:t>
      </w:r>
    </w:p>
    <w:p w14:paraId="08EE3A2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岗位职责</w:t>
      </w:r>
    </w:p>
    <w:p w14:paraId="363A99A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专业安全监管人员按照化工园区安全管理机构安排，履行以下安全监管职责：</w:t>
      </w:r>
    </w:p>
    <w:p w14:paraId="012481B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1、开展现场安全检查、复查工作，责令改正、督办问题隐患，指导生产经营单位落实安全生产责任制，消除安全风险。</w:t>
      </w:r>
    </w:p>
    <w:p w14:paraId="709032B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2、参与安全生产监管事项研究讨论，执行管委会安全生产有关事项决定。</w:t>
      </w:r>
    </w:p>
    <w:p w14:paraId="66F6D1B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3、参与制定管委会安全生产监管的有关制度、措施。</w:t>
      </w:r>
    </w:p>
    <w:p w14:paraId="25D8AEF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4、参与危险化学品建设项目安全准入决策咨询研究讨论，参加市应急管理部门组织的建设项目安全条件、安全设施设计审查。</w:t>
      </w:r>
    </w:p>
    <w:p w14:paraId="04BC8D1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5、应用安全风险智能化管控平台。</w:t>
      </w:r>
    </w:p>
    <w:p w14:paraId="507CE1D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6、参与灾害事故应急救援，配合开展调查处置。</w:t>
      </w:r>
    </w:p>
    <w:p w14:paraId="61F13AC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7、宣传安全生产相关</w:t>
      </w:r>
      <w:r>
        <w:rPr>
          <w:rFonts w:hint="eastAsia" w:ascii="Times New Roman" w:hAnsi="Times New Roman" w:eastAsia="仿宋" w:cs="Arial"/>
          <w:snapToGrid w:val="0"/>
          <w:kern w:val="0"/>
          <w:sz w:val="32"/>
          <w:szCs w:val="21"/>
        </w:rPr>
        <w:t>法律法规</w:t>
      </w:r>
      <w:r>
        <w:rPr>
          <w:rFonts w:ascii="Times New Roman" w:hAnsi="Times New Roman" w:eastAsia="仿宋" w:cs="Arial"/>
          <w:snapToGrid w:val="0"/>
          <w:kern w:val="0"/>
          <w:sz w:val="32"/>
          <w:szCs w:val="21"/>
        </w:rPr>
        <w:t>、规章和政策。</w:t>
      </w:r>
    </w:p>
    <w:p w14:paraId="7E68517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8、参与化工园区“十有两禁”安全整治提升工作。</w:t>
      </w:r>
    </w:p>
    <w:p w14:paraId="030AEB8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9、完成管委会交办的其他任务。</w:t>
      </w:r>
    </w:p>
    <w:p w14:paraId="54FB2A1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专业安全监管人员不应兼任环保、建设等其他职责。</w:t>
      </w:r>
    </w:p>
    <w:p w14:paraId="428B3C41">
      <w:pPr>
        <w:ind w:firstLine="640"/>
        <w:sectPr>
          <w:pgSz w:w="11906" w:h="16838"/>
          <w:pgMar w:top="1440" w:right="1800" w:bottom="1440" w:left="1800" w:header="851" w:footer="992" w:gutter="0"/>
          <w:cols w:space="720" w:num="1"/>
          <w:docGrid w:type="lines" w:linePitch="312" w:charSpace="0"/>
        </w:sectPr>
      </w:pPr>
    </w:p>
    <w:p w14:paraId="7293706A">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38" w:name="_Toc266295408"/>
      <w:r>
        <w:rPr>
          <w:rFonts w:ascii="Times New Roman" w:hAnsi="Times New Roman" w:eastAsia="方正小标宋简体" w:cs="Arial"/>
          <w:snapToGrid w:val="0"/>
          <w:kern w:val="0"/>
          <w:sz w:val="44"/>
          <w:szCs w:val="21"/>
        </w:rPr>
        <w:t>企业外来人员安全管控制度</w:t>
      </w:r>
      <w:bookmarkEnd w:id="38"/>
    </w:p>
    <w:p w14:paraId="1D4C7471">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91BD61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5BF1DFD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为加强常德经济技术开发区枫树岗化工片区（以下简称“化工园区”）企业外来人员安全管控，消除外来人员进入企业带来的安全风险隐患，防止外来人员发生意外事故，制定本制度。</w:t>
      </w:r>
    </w:p>
    <w:p w14:paraId="6924212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本制度适用于化工园区管理范围内的各类企业和外来人员。</w:t>
      </w:r>
    </w:p>
    <w:p w14:paraId="2A17BE6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本制度所称企业外来人员是指企业员工亲属、客户代表、供应商、政府部门和院校调研参观、督导检查人员等各类来访人员。</w:t>
      </w:r>
    </w:p>
    <w:p w14:paraId="6BF0B0A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企业对进入本厂区的来访人员安全管理负主体责任，应纳入统一协调、管理。</w:t>
      </w:r>
    </w:p>
    <w:p w14:paraId="0BB6408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常德经济技术开发区管理委员会产业发展局（安全监管局）、开发建设局等部门应按照职能，加强对工业企业、建筑工地外来人员安全管理工作的指导监督。</w:t>
      </w:r>
    </w:p>
    <w:p w14:paraId="69D63BB4">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外来人员管控</w:t>
      </w:r>
    </w:p>
    <w:p w14:paraId="5ABD5F3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企业应明确外来人员安全管理机构，建立健全安全管理制度，严格落实风险防控措施。</w:t>
      </w:r>
    </w:p>
    <w:p w14:paraId="2DFB110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除政府监管部门安全生产执法检查外，其他外来人员进入企业应至少提前1天申请备案。企业相关管理机构应提前核实人员身份信息、参观路线及内容，禁止临时增加未经报备的参观区域。</w:t>
      </w:r>
    </w:p>
    <w:p w14:paraId="13CA2FE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外来人员进入企业前，安全管理机构应告知安全管理要求、禁止行为规范等内容，并对其开展相应的入厂安全教育培训。</w:t>
      </w:r>
    </w:p>
    <w:p w14:paraId="4E9BDD3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外来人员进入企业二道门、生产现场时，应规范佩戴个人防护装备，企业应配备1名专职安全员和1名讲解员或其他辅助人员全程引导，根据线路实时提醒风险点、应急疏散路线等，全程关注人员动态，及时制止不安全行为。</w:t>
      </w:r>
    </w:p>
    <w:p w14:paraId="4C82B1A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企业应在重点区域设置醒目标识或临时监护岗，严格限制人数和活动范围，确保现场人员不脱离监管。</w:t>
      </w:r>
    </w:p>
    <w:p w14:paraId="4CE6BE6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企业应加强日常对消防设施、安全设备及附件、应急通道、警示标识等维护。有接待任务时，提前检查沿线安全防护设施，并根据实际情况增设防撞护栏、防滑垫等，在关键区域配备应急器材和急救物资。</w:t>
      </w:r>
    </w:p>
    <w:p w14:paraId="4B23EBC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危险化学品企业应将外来人员纳入人员定位系统管理，配备定位卡，依托监控系统对重点区域进行动态监测，发现异常情况第一时间启动应急响应。</w:t>
      </w:r>
    </w:p>
    <w:p w14:paraId="3C193A7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鼓励其他工贸企业推广应用人员智能定位、视频监控、人脸识别等智能化管控技术，对现场人员进行有效管控。</w:t>
      </w:r>
    </w:p>
    <w:p w14:paraId="2EE5974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化工园区内企业应严格遵守封闭化管理规定，对外来人员实行预约审核制度，未经审核严禁进入化工园区和企业厂区。</w:t>
      </w:r>
    </w:p>
    <w:p w14:paraId="38E9CF78">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现场管控</w:t>
      </w:r>
    </w:p>
    <w:p w14:paraId="7CC9036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企业应严格实行分区管控，红区（高危作业区）禁止外来人员进入，设置明显的标识标牌及必要的隔离设施；黄区（一般风险区）限时限流进入，配备应急逃生指示图。</w:t>
      </w:r>
    </w:p>
    <w:p w14:paraId="4694C4A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企业现场有特殊作业、检维修作业、施工作业及其他危险作业的，原则上应实行封闭管理，人员和车辆进出现场须持有效证件；无法做到封闭化管理的，应设置警示带，划定警戒区，安排专人现场管理，禁止无关人员和车辆随意进出。</w:t>
      </w:r>
    </w:p>
    <w:p w14:paraId="5449686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第十六条</w:t>
      </w:r>
      <w:r>
        <w:rPr>
          <w:rFonts w:ascii="Times New Roman" w:hAnsi="Times New Roman" w:eastAsia="仿宋" w:cs="Arial"/>
          <w:snapToGrid w:val="0"/>
          <w:kern w:val="0"/>
          <w:sz w:val="32"/>
          <w:szCs w:val="21"/>
        </w:rPr>
        <w:t xml:space="preserve">  承包商作业人员进入生产区施工作业，只能在规定的作业区域进行作业活动，未经许可不得擅自进入其他区域和场所，不得擅动与作业活动无关的设备设施。</w:t>
      </w:r>
    </w:p>
    <w:p w14:paraId="1F38000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第十七条</w:t>
      </w:r>
      <w:r>
        <w:rPr>
          <w:rFonts w:ascii="Times New Roman" w:hAnsi="Times New Roman" w:eastAsia="仿宋" w:cs="Arial"/>
          <w:snapToGrid w:val="0"/>
          <w:kern w:val="0"/>
          <w:sz w:val="32"/>
          <w:szCs w:val="21"/>
        </w:rPr>
        <w:t xml:space="preserve">  企业应遵守行业标准规范，加强现场基础管理，把现场规范化管理作为安全生产基础工作的重点内容，持续加强和改善，保持生产现场安全有序。</w:t>
      </w:r>
    </w:p>
    <w:p w14:paraId="4266E67D">
      <w:pPr>
        <w:ind w:firstLine="640"/>
        <w:sectPr>
          <w:pgSz w:w="11906" w:h="16838"/>
          <w:pgMar w:top="1440" w:right="1800" w:bottom="1440" w:left="1800" w:header="851" w:footer="992" w:gutter="0"/>
          <w:cols w:space="720" w:num="1"/>
          <w:docGrid w:type="lines" w:linePitch="312" w:charSpace="0"/>
        </w:sectPr>
      </w:pPr>
    </w:p>
    <w:p w14:paraId="00A5153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82C981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41D4209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1F2616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4A8F502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703010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494B22A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27CB0F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49CCC5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E5807AF">
      <w:pPr>
        <w:keepNext/>
        <w:keepLines/>
        <w:snapToGrid w:val="0"/>
        <w:spacing w:line="600" w:lineRule="exact"/>
        <w:jc w:val="center"/>
        <w:textAlignment w:val="baseline"/>
        <w:outlineLvl w:val="0"/>
        <w:rPr>
          <w:rFonts w:hint="eastAsia" w:ascii="方正小标宋简体" w:hAnsi="方正小标宋简体" w:eastAsia="方正小标宋简体" w:cs="方正小标宋简体"/>
          <w:b/>
          <w:snapToGrid w:val="0"/>
          <w:kern w:val="44"/>
          <w:sz w:val="48"/>
          <w:szCs w:val="21"/>
        </w:rPr>
      </w:pPr>
      <w:bookmarkStart w:id="39" w:name="_Toc910380053"/>
      <w:bookmarkStart w:id="40" w:name="_Toc28854"/>
      <w:bookmarkStart w:id="41" w:name="_Toc42096678"/>
      <w:bookmarkStart w:id="42" w:name="_Toc118503529"/>
      <w:r>
        <w:rPr>
          <w:rFonts w:hint="eastAsia" w:ascii="方正小标宋简体" w:hAnsi="方正小标宋简体" w:eastAsia="方正小标宋简体" w:cs="方正小标宋简体"/>
          <w:b/>
          <w:snapToGrid w:val="0"/>
          <w:kern w:val="44"/>
          <w:sz w:val="48"/>
          <w:szCs w:val="21"/>
        </w:rPr>
        <w:t>第三部分 园区企业管理制度</w:t>
      </w:r>
      <w:bookmarkEnd w:id="39"/>
      <w:bookmarkEnd w:id="40"/>
      <w:bookmarkEnd w:id="41"/>
      <w:bookmarkEnd w:id="42"/>
    </w:p>
    <w:p w14:paraId="422BBBDC">
      <w:pPr>
        <w:ind w:firstLine="640"/>
        <w:jc w:val="center"/>
        <w:rPr>
          <w:rFonts w:hint="eastAsia" w:ascii="方正小标宋简体" w:hAnsi="方正小标宋简体" w:eastAsia="方正小标宋简体" w:cs="方正小标宋简体"/>
        </w:rPr>
        <w:sectPr>
          <w:pgSz w:w="11906" w:h="16838"/>
          <w:pgMar w:top="1440" w:right="1800" w:bottom="1440" w:left="1800" w:header="851" w:footer="992" w:gutter="0"/>
          <w:cols w:space="720" w:num="1"/>
          <w:docGrid w:type="lines" w:linePitch="312" w:charSpace="0"/>
        </w:sectPr>
      </w:pPr>
    </w:p>
    <w:p w14:paraId="22D2C75B">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43" w:name="_Toc1389501128"/>
      <w:r>
        <w:rPr>
          <w:rFonts w:ascii="Times New Roman" w:hAnsi="Times New Roman" w:eastAsia="方正小标宋简体" w:cs="Arial"/>
          <w:snapToGrid w:val="0"/>
          <w:kern w:val="0"/>
          <w:sz w:val="44"/>
          <w:szCs w:val="21"/>
        </w:rPr>
        <w:t>特殊作业安全管理制度</w:t>
      </w:r>
      <w:bookmarkEnd w:id="43"/>
    </w:p>
    <w:p w14:paraId="0B36BF2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4E4F435B">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51D7E940">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进一步加强常德经济技术开发区枫树岗化工片区（以下简称“化工园区”）特殊作业环节安全风险管控，规范化工园区特殊作业安全监管抽查，督促企业有效执行特殊作业安全规范，严防特殊作业引发生产安全事故，依据《中华人民共和国安全生产法》《危险化学品企业特殊作业安全规范》《化工过程安全管理导则》等法律法规和标准规范，制定本制度。</w:t>
      </w:r>
    </w:p>
    <w:p w14:paraId="631C2B5E">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常德经济技术开发区管理委员会（以下简称“管委会”）所属有关内设机构、国有企业和石化工园区管理范围内危险化学品生产、经营（带储存）企业，化工及医药企业（以下简称危险化学品企业），以及在化工园区公共区域作业的特殊作业承包商及其他作业人员。</w:t>
      </w:r>
    </w:p>
    <w:p w14:paraId="4AB89D4C">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所称特殊作业是指危险化学品企业生产经营过程中可能涉及的动火、进入受限空间、盲板抽堵、高处作业、吊装、临时用电、动土、断路等，对作业者本人、他人及周围建（构）筑物、设备设施可能造成危害或损毁的作业，以及公共区域建筑施工和市政作业活动中从事动火、有限空间、高处、吊装、临时用电等可能对本人、他人的人身安全以及设备、设施、建筑和环境安全造成重大危害的作业。</w:t>
      </w:r>
    </w:p>
    <w:p w14:paraId="277758E2">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安全管理职责</w:t>
      </w:r>
    </w:p>
    <w:p w14:paraId="28999BA3">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管委会所属有关内设机构、国有企业应协助人民政府有关部门或者按照授权依法履行特殊作业安全管理职责：</w:t>
      </w:r>
    </w:p>
    <w:p w14:paraId="27F4854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1、产业发展局（安全监管局）负责会同市应急管理局加强危险化学品企业特殊作业安全管理。</w:t>
      </w:r>
    </w:p>
    <w:p w14:paraId="6AA985B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2、开发建设局负责会同市有关行业主管部门加强化工园区公共区域作业的承包商特殊作业安全管理。</w:t>
      </w:r>
    </w:p>
    <w:p w14:paraId="047C0C5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3、德源集团对本企业负责运行的化工园区公共基础设施特殊作业安全管理负主体责任，对本企业在化工园区公共区域实施的建设项目或管委会委托代建的建设项目承包商特殊作业安全统一协调、管理。</w:t>
      </w:r>
    </w:p>
    <w:p w14:paraId="25F2EC75">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危险化学品企业对本企业范围内特殊作业安全管理负主体责任，应对承包单位、承租单位的特殊作业安全统一协调、管理，定期进行安全检查，发现安全问题的，应及时督促整改。</w:t>
      </w:r>
    </w:p>
    <w:p w14:paraId="7365FF78">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特殊作业管理</w:t>
      </w:r>
    </w:p>
    <w:p w14:paraId="2B069CE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危险化学品企业应按照《安全风险智能化管控平台管理制度》第三章有关规定，在特殊作业前通过平台报备相关信息，并按照《化学品生产单位特殊作业安全规范》（GB30871）办理电子作业票。</w:t>
      </w:r>
    </w:p>
    <w:p w14:paraId="37BEED2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管委会开发建设局应按照《承包商准入与退出及黑名单管理制度》有关规定，在化工园区公共区域承包商及其他作业人员入园审查时，告知特殊作业报备要求。</w:t>
      </w:r>
    </w:p>
    <w:p w14:paraId="329D3F8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审查通过的公共区域特殊作业承包商及其他作业人员应加强作业安全管理，包括但不限于以下要求：</w:t>
      </w:r>
    </w:p>
    <w:p w14:paraId="559AB44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1、作业前开展危险有害因素辨识，制定并落实安全风险管控措施。</w:t>
      </w:r>
    </w:p>
    <w:p w14:paraId="2B039F6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2、作业前将作业方案、作业时间地点等信息上报开发建设局及属地有关行业主管部门。</w:t>
      </w:r>
    </w:p>
    <w:p w14:paraId="4507EDF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3、按照行业领域标准规范办理作业票许可，对参加作业人员进行安全措施交底。</w:t>
      </w:r>
    </w:p>
    <w:p w14:paraId="5C400C1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4、特殊作业人员持证上岗，现场监护人员全程监护。</w:t>
      </w:r>
    </w:p>
    <w:p w14:paraId="201DC56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5、配置作业现场应急器材，发生突发事件时科学救援。</w:t>
      </w:r>
    </w:p>
    <w:p w14:paraId="3129AB9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德源集团负责运行的化工园区公共基础设施需开展特殊作业的，在化工园区公共区域实施的建设项目或管委会委托代建的建设项目承包商需开展特殊作业的，由德源集团相关人员通过安全风险智能化管控平台进行报备，相关安全管理要求按照行业领域标准规范执行。</w:t>
      </w:r>
    </w:p>
    <w:p w14:paraId="26A9D1F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鼓励德源集团、公共区域作业的特殊作业承包商及其他作业人员配备移动式摄像头、带无线传输功能的便携式气体检测报警仪、人员定位等智能化设备，对长期进入化工园区公共区域开展特殊作业且具备条件的，可视情况接入安全风险智能化管控平台。</w:t>
      </w:r>
    </w:p>
    <w:p w14:paraId="5BE9F84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特殊作业安全监管抽查</w:t>
      </w:r>
    </w:p>
    <w:p w14:paraId="39E7ABE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产业发展局（安全监管局）、开发建设局应根据职能，分别组织监管人员对危险化学品企业和化工园区公共区域特殊作业承包商及其他作业人员开展特殊作业常态化抽查。</w:t>
      </w:r>
    </w:p>
    <w:p w14:paraId="07BB193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产业发展局（安全监管局）应通过安全风险智能化管控平台掌握并分析研判危险化学品企业开展特殊作业情况。</w:t>
      </w:r>
    </w:p>
    <w:p w14:paraId="2FC2E0F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开发建设局应通过线下巡查和安全风险智能化管控平台，分别掌握并分析研判化工园区公共区域作业的承包商开展特殊作业情况以及德源集团公共基础设施运行和公共区域建设项目特殊作业情况。</w:t>
      </w:r>
    </w:p>
    <w:p w14:paraId="623E48D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产业发展局（安全监管局）应每天按照不低于涉及高风险作业（一级及以上动火作业、受限空间作业、同一作业区域交叉作业等）报备企业数的70%开展抽查，在春节、国</w:t>
      </w:r>
      <w:r>
        <w:rPr>
          <w:rFonts w:hint="eastAsia" w:ascii="Times New Roman" w:hAnsi="Times New Roman" w:eastAsia="仿宋" w:cs="Arial"/>
          <w:snapToGrid w:val="0"/>
          <w:kern w:val="0"/>
          <w:sz w:val="32"/>
          <w:szCs w:val="21"/>
        </w:rPr>
        <w:t>庆</w:t>
      </w:r>
      <w:r>
        <w:rPr>
          <w:rFonts w:ascii="Times New Roman" w:hAnsi="Times New Roman" w:eastAsia="仿宋" w:cs="Arial"/>
          <w:snapToGrid w:val="0"/>
          <w:kern w:val="0"/>
          <w:sz w:val="32"/>
          <w:szCs w:val="21"/>
        </w:rPr>
        <w:t>等重大节日和重大活动等重点时段，抽查比例不低于90%，对其他特殊作业随机抽查。</w:t>
      </w:r>
    </w:p>
    <w:p w14:paraId="0A7D2E6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特殊作业抽查包括但不限于以下内容：</w:t>
      </w:r>
    </w:p>
    <w:p w14:paraId="7F6A1E8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1、作业内容是否与报备情况一致，作业票审批是否规范；</w:t>
      </w:r>
    </w:p>
    <w:p w14:paraId="252102B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2、开展特殊作业前是否开展安全风险辨识和安全交底；</w:t>
      </w:r>
    </w:p>
    <w:p w14:paraId="7E722E2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3、同一作业关联其他特殊作业或作业区域存在交叉作业是否同时办理相应的作业审批手续；</w:t>
      </w:r>
    </w:p>
    <w:p w14:paraId="7D624C4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4、动火、受限空间作业是否存在先作业后检测或者未进行检测直接作业情况，作业中断后是否按要求重新进行检测分析；</w:t>
      </w:r>
    </w:p>
    <w:p w14:paraId="3F167C7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5、特级动火是否按要求制定作业方案，是否采集全过程作业影像；</w:t>
      </w:r>
    </w:p>
    <w:p w14:paraId="5CB2C91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6、特殊作业监护人是否经培训考试合格上岗，涉及的特种作业人员是否取得相应资格证书持证上岗；</w:t>
      </w:r>
    </w:p>
    <w:p w14:paraId="51DA211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7、对承包商开展特殊作业是否实施一体化管理，包括承包商资质、合同、人员资质，作业票的留存及核查，作业现场实地巡查抽查等；</w:t>
      </w:r>
    </w:p>
    <w:p w14:paraId="383575F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8、在与易燃易爆有毒物料设备、管道相连的公用工程设施设备上开展特殊作业时，是否参照易燃易爆有毒场所严格落实特殊作业管理制度；</w:t>
      </w:r>
    </w:p>
    <w:p w14:paraId="75FB0DB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9、节假日、公休日、夜间动火作业是否进行升级管理。</w:t>
      </w:r>
    </w:p>
    <w:p w14:paraId="3B4A444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10、已接入平台实时监控监测的，作业区域视频监控和传感器等数据情况是否正常。</w:t>
      </w:r>
    </w:p>
    <w:p w14:paraId="2B29478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抽查人员对发现的隐患问题，应形成隐患问题清单，能够立即整改的应督促企业立即落实整改，暂时不能整改到位的，应督促企业限期整改，并持续跟踪企业整改情况，直至整改销号。发现存在重大安全风险隐患的，应要求企业立即停止作业。</w:t>
      </w:r>
    </w:p>
    <w:p w14:paraId="69AAF98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通过安全风险智能化管控平台进行抽查的，应执行《安全风险智能化管控平台管理制度》有关规定。</w:t>
      </w:r>
    </w:p>
    <w:p w14:paraId="5F33ECA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产业发展局（安全监管局）应每月对特殊作业数量趋势、作业原因、存在的主要问题等进行总结分析，及时研判特殊作业安全风险，提出并落实改进措施；要加强结果应用，实施差异性监管，对隐患问题多、现场管理不到位的企业、承包商加大抽查频次，对存在重大事故隐患、因同类隐患问题被执法2次以上、存在屡查屡犯等问题的企业进行通报，并约谈企业主要负责人。</w:t>
      </w:r>
    </w:p>
    <w:p w14:paraId="660A0A52">
      <w:pPr>
        <w:ind w:firstLine="640"/>
        <w:sectPr>
          <w:pgSz w:w="11906" w:h="16838"/>
          <w:pgMar w:top="1440" w:right="1800" w:bottom="1440" w:left="1800" w:header="851" w:footer="992" w:gutter="0"/>
          <w:cols w:space="720" w:num="1"/>
          <w:docGrid w:type="lines" w:linePitch="312" w:charSpace="0"/>
        </w:sectPr>
      </w:pPr>
    </w:p>
    <w:p w14:paraId="2A3AD537">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44" w:name="_Toc450306708"/>
      <w:r>
        <w:rPr>
          <w:rFonts w:ascii="Times New Roman" w:hAnsi="Times New Roman" w:eastAsia="方正小标宋简体" w:cs="Arial"/>
          <w:snapToGrid w:val="0"/>
          <w:kern w:val="0"/>
          <w:sz w:val="44"/>
          <w:szCs w:val="21"/>
        </w:rPr>
        <w:t>安全生产约谈工作制度</w:t>
      </w:r>
      <w:bookmarkEnd w:id="44"/>
    </w:p>
    <w:p w14:paraId="2E12684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3369E8C">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认真贯彻执行《中华人民共和国安全生产法》、《生产安全事故报告和调查处理条例》（国务院第493号令）等法律法规相关规定，落实“安全第一，预防为主，综合治理”的方针，强化常德经济技术开发区枫树岗各部门及化工园区企业安全责任意识，规范履行安全生产职责，提高安全工作执行力，特制定本制度。</w:t>
      </w:r>
    </w:p>
    <w:p w14:paraId="316D09EC">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产业发展局（安全监管局）负责对在园区安全生产工作中存在的由于故意或者过失，不履行或者不正确履行工作职责，工作不作为，以致影响安全管理工作，造成不良影响或一定损失的部门、企业负责人、有关职工约见谈话，分析问题或事故发生原因和安全生产状况，研究工作措施，并进行约谈告诫。产业发展局（安全监管局）应做好相应记录。</w:t>
      </w:r>
    </w:p>
    <w:p w14:paraId="3F226AE4">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第三条  约谈要求</w:t>
      </w:r>
    </w:p>
    <w:p w14:paraId="266B839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1、约谈对象要准时参加约谈，不得委托他人。</w:t>
      </w:r>
    </w:p>
    <w:p w14:paraId="05A4451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2、约谈要听取问题或事故单位安全生产管理等方面的基本情况，问题或事故发生经过、整改或抢险情况，性质、原因分析及教训，重点是采取的措施、强化安全责任等方面的汇报，被约谈对象要准备书面材料。</w:t>
      </w:r>
    </w:p>
    <w:p w14:paraId="13349CA1">
      <w:pPr>
        <w:widowControl/>
        <w:snapToGrid w:val="0"/>
        <w:spacing w:line="600" w:lineRule="exact"/>
        <w:ind w:firstLine="640" w:firstLineChars="200"/>
        <w:textAlignment w:val="baseline"/>
        <w:rPr>
          <w:rFonts w:hint="eastAsia"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3、约谈时间原则上在问题或事故发生后一周内组织进行。</w:t>
      </w:r>
    </w:p>
    <w:p w14:paraId="64698F2C">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第四条  约谈程序</w:t>
      </w:r>
    </w:p>
    <w:p w14:paraId="40A67E2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1、约谈前，通知约谈对象，告知约谈时间、地点、需要提交的相关材料；</w:t>
      </w:r>
    </w:p>
    <w:p w14:paraId="4E42589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2、约谈时，应安排专人记录，形成约谈纪要；</w:t>
      </w:r>
    </w:p>
    <w:p w14:paraId="624E4C9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3、约谈后，被约谈单位要在15日内将约谈要求落实情况以书面形式上报。</w:t>
      </w:r>
    </w:p>
    <w:p w14:paraId="70DCF041">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第五条  约谈处置</w:t>
      </w:r>
    </w:p>
    <w:p w14:paraId="66F9DEA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1、对无故不参加约谈或不认真落实约谈要求的部门、企业和个人将按有关规定报送相关部门进行处理。</w:t>
      </w:r>
    </w:p>
    <w:p w14:paraId="1AE096C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2、对一个年度内连续出现两次安全工作约谈的，按照《安全风险分级管控制度》中分级要求，列入重点监管企业。</w:t>
      </w:r>
    </w:p>
    <w:p w14:paraId="3505E4E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3、对一个年度内连续出现三次及以上安全工作约谈的，按照《安全生产黑名单管理制度》将企业列入“黑名单”。</w:t>
      </w:r>
    </w:p>
    <w:p w14:paraId="3E2C499D">
      <w:pPr>
        <w:ind w:firstLine="640"/>
        <w:sectPr>
          <w:pgSz w:w="11906" w:h="16838"/>
          <w:pgMar w:top="1440" w:right="1800" w:bottom="1440" w:left="1800" w:header="851" w:footer="992" w:gutter="0"/>
          <w:cols w:space="720" w:num="1"/>
          <w:docGrid w:type="lines" w:linePitch="312" w:charSpace="0"/>
        </w:sectPr>
      </w:pPr>
    </w:p>
    <w:p w14:paraId="4410ECFE">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45" w:name="_Toc664607006"/>
      <w:r>
        <w:rPr>
          <w:rFonts w:ascii="Times New Roman" w:hAnsi="Times New Roman" w:eastAsia="方正小标宋简体" w:cs="Arial"/>
          <w:snapToGrid w:val="0"/>
          <w:kern w:val="0"/>
          <w:sz w:val="44"/>
          <w:szCs w:val="21"/>
        </w:rPr>
        <w:t>安全生产黑名单管理制度</w:t>
      </w:r>
      <w:bookmarkEnd w:id="45"/>
    </w:p>
    <w:p w14:paraId="5860A7C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F10B55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0F0A7C3E">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为深入贯彻“安全第一，预防为主、综合治理”的工作方针，进一步落实企业安全生产主体责任，防止和减少生产安全事故，根据《</w:t>
      </w:r>
      <w:r>
        <w:rPr>
          <w:rFonts w:hint="eastAsia" w:ascii="Times New Roman" w:hAnsi="Times New Roman" w:eastAsia="仿宋" w:cs="Arial"/>
          <w:snapToGrid w:val="0"/>
          <w:kern w:val="0"/>
          <w:sz w:val="32"/>
          <w:szCs w:val="21"/>
        </w:rPr>
        <w:t>中共中央、国务院</w:t>
      </w:r>
      <w:r>
        <w:rPr>
          <w:rFonts w:ascii="Times New Roman" w:hAnsi="Times New Roman" w:eastAsia="仿宋" w:cs="Arial"/>
          <w:snapToGrid w:val="0"/>
          <w:kern w:val="0"/>
          <w:sz w:val="32"/>
          <w:szCs w:val="21"/>
        </w:rPr>
        <w:t>关于推进安全生产领域改革发展的意见》、《对安全生产领域失信行为开展联合惩戒的实施办法</w:t>
      </w:r>
      <w:r>
        <w:rPr>
          <w:rFonts w:hint="eastAsia" w:ascii="Times New Roman" w:hAnsi="Times New Roman" w:eastAsia="仿宋" w:cs="Arial"/>
          <w:snapToGrid w:val="0"/>
          <w:kern w:val="0"/>
          <w:sz w:val="32"/>
          <w:szCs w:val="21"/>
        </w:rPr>
        <w:t>》等</w:t>
      </w:r>
      <w:r>
        <w:rPr>
          <w:rFonts w:ascii="Times New Roman" w:hAnsi="Times New Roman" w:eastAsia="仿宋" w:cs="Arial"/>
          <w:snapToGrid w:val="0"/>
          <w:kern w:val="0"/>
          <w:sz w:val="32"/>
          <w:szCs w:val="21"/>
        </w:rPr>
        <w:t>法律法规的有关要求，制定本制度。</w:t>
      </w:r>
    </w:p>
    <w:p w14:paraId="204D06A1">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该管理制度坚持依法监管监察、客观公正、及时准确、惩戒过失的原则，按照园区监管与地方监管、综合监管与行业监管、政策制约与舆论监督相结合的方式组织实施。</w:t>
      </w:r>
    </w:p>
    <w:p w14:paraId="4604197E">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本制度适用于常德经济技术开发区枫树岗化工片区（以下简称“化工园区”）范围内从事生产经营活动的单位（以下简称生产经营单位。承包商准入、退出及黑名单管理，另有规定的，适用其规定）。</w:t>
      </w:r>
    </w:p>
    <w:p w14:paraId="2652C9CC">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黑名单管理程序</w:t>
      </w:r>
    </w:p>
    <w:p w14:paraId="5114547A">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w:t>
      </w:r>
      <w:r>
        <w:rPr>
          <w:rFonts w:ascii="Times New Roman" w:hAnsi="Times New Roman" w:eastAsia="仿宋" w:cs="Arial"/>
          <w:b/>
          <w:bCs/>
          <w:snapToGrid w:val="0"/>
          <w:kern w:val="0"/>
          <w:sz w:val="32"/>
          <w:szCs w:val="21"/>
        </w:rPr>
        <w:t>列入“黑名单”的条件</w:t>
      </w:r>
    </w:p>
    <w:p w14:paraId="13F99D1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1、一年内发生两起安全生产一般事故的。</w:t>
      </w:r>
    </w:p>
    <w:p w14:paraId="6A0C743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2、一年内连续发生两起环保事故的。</w:t>
      </w:r>
    </w:p>
    <w:p w14:paraId="7AD33B4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3、未按规定取得安全生产许可，擅自开展生产经营建设活动的。</w:t>
      </w:r>
    </w:p>
    <w:p w14:paraId="149699D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4、发现重大生产安全事故隐患，或职业病危害严重超标，不及时整改或无故拒不整改，仍组织从业人员冒险作业的。</w:t>
      </w:r>
    </w:p>
    <w:p w14:paraId="7099A99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5、屡次发生严重违法违规生产经营行为的。</w:t>
      </w:r>
    </w:p>
    <w:p w14:paraId="520C252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6、一年内2次及以上未及时履行特殊作业手续的。</w:t>
      </w:r>
    </w:p>
    <w:p w14:paraId="36FA299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7、采取隐蔽、欺骗或阻碍等方式逃避、对抗安全监管监察的。</w:t>
      </w:r>
    </w:p>
    <w:p w14:paraId="361ACA0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8、被责令停产停业整顿，仍然从事生产经营建设活动的。</w:t>
      </w:r>
    </w:p>
    <w:p w14:paraId="3CC4E9D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9、瞒报、谎报、迟报生产安全事故的。</w:t>
      </w:r>
    </w:p>
    <w:p w14:paraId="694B0C7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10、发生造成恶劣社会影响的事故的。</w:t>
      </w:r>
    </w:p>
    <w:p w14:paraId="7F2AB9C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11、发生事故后，故意破坏事故现场，伪造有关证据资料，妨碍、对抗事故调查，或主要负责人逃逸的。</w:t>
      </w:r>
    </w:p>
    <w:p w14:paraId="2526D5A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12、非法分包、转包车间或生产设备的。</w:t>
      </w:r>
    </w:p>
    <w:p w14:paraId="5DDE212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13、企业恶意欠薪，欠薪总人数达到5人以上，爆发群体性讨薪，相关情况由上级人社部门核实确认并进行催办，且企业无正当合理理由地拖延执行或拒不执行的。</w:t>
      </w:r>
    </w:p>
    <w:p w14:paraId="2DABDB8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14、企业经营、管理不善，造成员工群体性上访、非法聚集等涉稳事件，严重影响园区整体安全形势，产生较大负面舆论影响的。</w:t>
      </w:r>
    </w:p>
    <w:p w14:paraId="35124AA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15、对年内连续出现三次及以上安全工作约谈的。</w:t>
      </w:r>
    </w:p>
    <w:p w14:paraId="19C786E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16、认为有必要进行纳入“黑名单”的其他违法违规行为的。</w:t>
      </w:r>
    </w:p>
    <w:p w14:paraId="168ED3F0">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信息采集。通过园区例行检查、事故调查、群众举报等途径，对符合本制度第四条规定情形之一的，由产业发展局（安全监管局）进行收集，并记录违法单位名称、案由、违法违规行为等信息。</w:t>
      </w:r>
    </w:p>
    <w:p w14:paraId="00656260">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信息告知。对符合列入“黑名单”情形的，应当告知当事人，并听取其陈述和申辩意见，当事人提出的事实、理由和证据成立的，应当采纳。</w:t>
      </w:r>
    </w:p>
    <w:p w14:paraId="4C7BBB97">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讨论审定。对拟列入“黑名单”的企业，由产业发展局（安全监管局）、开发建设局讨论审定后上报经开区管委会。</w:t>
      </w:r>
    </w:p>
    <w:p w14:paraId="41D86AF8">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信息公布。经经开区管委会审核后，确定列入“黑名单”的，由园区通过公告牌、电子信息媒介、新闻媒体等向社会公布，加强社会监督。原则上每年公布一次。</w:t>
      </w:r>
    </w:p>
    <w:p w14:paraId="268C8F87">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信息删除。“黑名单”管理的期限一般为一年，列入安全生产“黑名单”的生产经营建设单位，在“黑名单”期限届满时，由产业发展局（安全监管局）组织相关部门对其进行检查，在“黑名单”期间对相关问题进行了整改，未发生本制度第四条所规定情形的，由产业发展局（安全监管局）上报经开区管委会将其从“黑名单”上删除，删除情况在原公开渠道上予以公布。</w:t>
      </w:r>
    </w:p>
    <w:p w14:paraId="796AE2F0">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其他管理要求</w:t>
      </w:r>
    </w:p>
    <w:p w14:paraId="14911A89">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列入“黑名单”管理和从“黑名单”中删除的日期以公布日期为准。</w:t>
      </w:r>
    </w:p>
    <w:p w14:paraId="1DB3AB4D">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重大隐患未按要求整改到位的，继续延长其“黑名单”管理期限，直至隐患消除。对于生产经营单位整改积极，确有特殊情况需要提前解除部分管理措施的，由经开区管委会牵头，会同相关单位进行复核检查，并出具解除部分管理措施的审查意见。</w:t>
      </w:r>
    </w:p>
    <w:p w14:paraId="10BF5EED">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对被列入“黑名单”的生产经营单位，在“黑名单”管理期限内，除依法对违法行为给予行政处罚外，并实施以下监管监察措施：</w:t>
      </w:r>
    </w:p>
    <w:p w14:paraId="18A9552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（1）生产经营单位须每年进行一次自查，并向产业发展局（安全监管局）报告自查情况及安全生产情况。不按照管理要求报送自查报告，延长其“黑名单”时限。</w:t>
      </w:r>
    </w:p>
    <w:p w14:paraId="3335B08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列入安全生产“黑名单”期满后，生产经营单位一年内再次被列入安全生产“黑名单”或者在列入“黑名单”管理期间不按规定报告安全生产情况的，依法予以从重处理；对不具备安全生产条件的，依法予以关闭。</w:t>
      </w:r>
    </w:p>
    <w:p w14:paraId="2DC3388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（3）列入黑名单企业按照提升一级进行监管。同时不定期增加检查频次。</w:t>
      </w:r>
    </w:p>
    <w:p w14:paraId="355CD0C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（4）对于连续2年被列入“黑名单”的企业，已对园区安全环保或经济指标有较大影响，经综合考评无好转迹象的，可作为退出机制，由相关部门对企业进行退出管理。</w:t>
      </w:r>
    </w:p>
    <w:p w14:paraId="44C19F62">
      <w:pPr>
        <w:ind w:firstLine="640"/>
        <w:sectPr>
          <w:pgSz w:w="11906" w:h="16838"/>
          <w:pgMar w:top="1440" w:right="1800" w:bottom="1440" w:left="1800" w:header="851" w:footer="992" w:gutter="0"/>
          <w:cols w:space="720" w:num="1"/>
          <w:docGrid w:type="lines" w:linePitch="312" w:charSpace="0"/>
        </w:sectPr>
      </w:pPr>
      <w:r>
        <w:rPr>
          <w:rFonts w:ascii="Times New Roman" w:hAnsi="Times New Roman" w:eastAsia="仿宋" w:cs="Arial"/>
          <w:snapToGrid w:val="0"/>
          <w:kern w:val="0"/>
          <w:sz w:val="32"/>
          <w:szCs w:val="21"/>
        </w:rPr>
        <w:t>（5）根据《对安全生产领域失信行为开展联合惩戒的实施办法》要求，符合纳入联合惩戒的失信行为，按规定程序上报。</w:t>
      </w:r>
    </w:p>
    <w:p w14:paraId="530C4493">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46" w:name="_Toc1895437085"/>
      <w:r>
        <w:rPr>
          <w:rFonts w:ascii="Times New Roman" w:hAnsi="Times New Roman" w:eastAsia="方正小标宋简体" w:cs="Arial"/>
          <w:snapToGrid w:val="0"/>
          <w:kern w:val="0"/>
          <w:sz w:val="44"/>
          <w:szCs w:val="21"/>
        </w:rPr>
        <w:t>危险废物管理制度</w:t>
      </w:r>
      <w:bookmarkEnd w:id="46"/>
    </w:p>
    <w:p w14:paraId="18AF8A4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21599014">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03F91C85">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了规范常德经济技术开发区枫树岗化工片区（以下简称“化工园区”）危险废物产生、收集、转移、运输、贮存、利用、处理和处置行为，加强危险废物的管理，防止危险废物污染，控制和消除危险废物可能引起事故的隐患，根据《中华人民共和国固体废物污染环境防治法》《中华人民共和国水污染防治法》和有关法律法规的规定，结合园区实际，制定本制度。</w:t>
      </w:r>
    </w:p>
    <w:p w14:paraId="06C7D836">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w:t>
      </w:r>
      <w:r>
        <w:rPr>
          <w:rFonts w:hint="eastAsia" w:ascii="Times New Roman" w:hAnsi="Times New Roman" w:eastAsia="仿宋" w:cs="Arial"/>
          <w:snapToGrid w:val="0"/>
          <w:kern w:val="0"/>
          <w:sz w:val="32"/>
          <w:szCs w:val="21"/>
        </w:rPr>
        <w:t>于</w:t>
      </w:r>
      <w:r>
        <w:rPr>
          <w:rFonts w:ascii="Times New Roman" w:hAnsi="Times New Roman" w:eastAsia="仿宋" w:cs="Arial"/>
          <w:snapToGrid w:val="0"/>
          <w:kern w:val="0"/>
          <w:sz w:val="32"/>
          <w:szCs w:val="21"/>
        </w:rPr>
        <w:t>化工园区内所有企业的危险废物的产生、收集、转移、运输、贮存、利用、处理、处置及监督管理活动。化工园区外的工业企业可参照执行。</w:t>
      </w:r>
    </w:p>
    <w:p w14:paraId="3BBE4471">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w:t>
      </w:r>
      <w:r>
        <w:rPr>
          <w:rFonts w:ascii="Times New Roman" w:hAnsi="Times New Roman" w:eastAsia="仿宋" w:cs="Arial"/>
          <w:b/>
          <w:bCs/>
          <w:snapToGrid w:val="0"/>
          <w:kern w:val="0"/>
          <w:sz w:val="32"/>
          <w:szCs w:val="21"/>
        </w:rPr>
        <w:t xml:space="preserve"> 危险废物定义</w:t>
      </w:r>
    </w:p>
    <w:p w14:paraId="0D547F1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1、危险废物是指根据国家统一规定的方法鉴别认定的具有毒性、易燃性、爆炸性、腐蚀性、化学反应性、传染性之一性质的，对人体健康和环境能造成危害的固态、半固态和液态废物。</w:t>
      </w:r>
    </w:p>
    <w:p w14:paraId="7D9B64B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2、收集是指为运输、贮存、利用、处理和处置而将分散的危险废物进行集中的活动。</w:t>
      </w:r>
    </w:p>
    <w:p w14:paraId="4D74EEB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3、贮存是指为利用、处理和处置而暂时性保存危险废物的活动。</w:t>
      </w:r>
    </w:p>
    <w:p w14:paraId="19F6E21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4、利用是指通过回收、加工、循环利用等方式，从危险废物中提取或者转化为可以利用的资源、能源和其他原材料的活动。</w:t>
      </w:r>
    </w:p>
    <w:p w14:paraId="2F4C264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5、处理是指改变危险废物的物理、化学特性使之无害，或者减少已产生的危险废物的数量，减少或者消除其危险成分的活动。</w:t>
      </w:r>
    </w:p>
    <w:p w14:paraId="17656C27">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管理要求</w:t>
      </w:r>
    </w:p>
    <w:p w14:paraId="28F2DF66">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生环分局对化工园区危险废物污染防治实施统一监督管理，是化工园区危险废物的监督管理部门。</w:t>
      </w:r>
    </w:p>
    <w:p w14:paraId="08710D9F">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化工园区内各企业对本单位内危险废物污染防治进行管理，企业主要负责人是危险废物管理的第一责任人，对企业内的危险废物管理的产生、收集、转移、运输、贮存、利用负责。</w:t>
      </w:r>
    </w:p>
    <w:p w14:paraId="74243DC3">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化工园区内各企业对危险废物的容器和包装物以及收集、贮存、运输、利用、处置危险废物的设施、场所，应当按照规定设置危险废物识别标志。</w:t>
      </w:r>
    </w:p>
    <w:p w14:paraId="2D625A1A">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化工园区内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前款所称危险废物管理计划应当包括减少危险废物产生量和降低危险废物危害性的措施以及危险废物贮存、利用、处置措施。危险废物管理计划应当报产生危险废物的单位所在地生态环境主管部门备案。产生危险废物的单位已经取得排污许可证的，执行排污许可管理制度的规定。</w:t>
      </w:r>
    </w:p>
    <w:p w14:paraId="31275F74">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化工园区内产生危险废物的单位，应当按照国家有关规定和环境保护标准要求贮存、利用、处置危险废物，不得擅自倾倒、堆放。</w:t>
      </w:r>
    </w:p>
    <w:p w14:paraId="4E85ADF8">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化工园区内从事收集、贮存、利用、处置危险废物经营活动的单位，应当按照国家有关规定申请取得许可证。许可证的具体管理办法由国务院制定。禁止无许可证或者未按照许可证规定从事危险废物收集、贮存、利用、处置的经营活动。禁止将危险废物提供或者委托给无许可证的单位或者其他生产经营者从事收集、贮存、利用、处置活动。</w:t>
      </w:r>
    </w:p>
    <w:p w14:paraId="796FF236">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收集、贮存危险废物，应当按照危险废物特性分类进行。禁止混合收集、贮存、运输、处置性质不相容而未经安全性处置的危险废物。贮存危险废物应当采取符合国家环境保护标准的防护措施。禁止将危险废物混入非危险废物中贮存。从事收集、贮存、利用、处置危险废物经营活动的单位，贮存危险废物不得超过一年；确需延长期限的，应当报经颁发许可证的生态环境主管部门批准；法律、行政法规另有规定的除外。</w:t>
      </w:r>
    </w:p>
    <w:p w14:paraId="56ABE9C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转移危险废物的，应当按照国家有关规定填写、运行危险废物电子或者纸质转移联单。</w:t>
      </w:r>
    </w:p>
    <w:p w14:paraId="1C33F0A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运输危险废物，应当采取防止污染环境的措施，并遵守国家有关危险货物运输管理的规定。禁止将危险废物与旅客在同一运输工具上载运。收集、贮存、运输、利用、处置危险废物的场所、设施、设备和容器、包装物及其他物品转作他用时，应当按照国家有关规定经过消除污染处理，方可使用。</w:t>
      </w:r>
    </w:p>
    <w:p w14:paraId="0FA2FD99">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保障措施与监督管理</w:t>
      </w:r>
    </w:p>
    <w:p w14:paraId="7AE79764">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化工园区内产生、收集、贮存、运输、利用、处置危险废物的单位，应加强危险废物安全管理，依法制定意外事故的防范措施和应急预案，向生环分局报备，如有其他部门要求的，按照其他部门要求进行。</w:t>
      </w:r>
    </w:p>
    <w:p w14:paraId="21A7DC1A">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因发生事故或者其他突发性事件，造成危险废物严重污染环境的单位，应当立即采取有效措施消除或者减轻对环境的污染危害，及时通报可能受到污染危害的单位和居民，并向生环分局和产业发展局（安全监管局）报告，接受调查处理。</w:t>
      </w:r>
    </w:p>
    <w:p w14:paraId="3FB3A631">
      <w:pPr>
        <w:ind w:firstLine="643"/>
        <w:sectPr>
          <w:pgSz w:w="11906" w:h="16838"/>
          <w:pgMar w:top="1440" w:right="1800" w:bottom="1440" w:left="1800" w:header="851" w:footer="992" w:gutter="0"/>
          <w:cols w:space="720" w:num="1"/>
          <w:docGrid w:type="lines" w:linePitch="312" w:charSpace="0"/>
        </w:sect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生环分局应根据园区危险废物监管信息平台，每月公示各企业危废产生量、转移去向、处置情况等信息；对重点产废单位实行“一企一档”动态管理，实施不定期现场检查。设置公众监督举报渠道，对实名举报事项应在15个工作日内反馈核查结果。建立跨部门、区域协同监管机制，与园区其他部门、相邻园区及属地生态环境部门实现信息互通、联合监管。</w:t>
      </w:r>
    </w:p>
    <w:p w14:paraId="69FB69F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D1DCD9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2B664E3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ED44F3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1EF5DF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6F407D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ADED2A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143221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77F777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246CE3DD">
      <w:pPr>
        <w:keepNext/>
        <w:keepLines/>
        <w:snapToGrid w:val="0"/>
        <w:spacing w:line="600" w:lineRule="exact"/>
        <w:jc w:val="center"/>
        <w:textAlignment w:val="baseline"/>
        <w:outlineLvl w:val="0"/>
        <w:rPr>
          <w:rFonts w:hint="eastAsia" w:ascii="方正小标宋简体" w:hAnsi="方正小标宋简体" w:eastAsia="方正小标宋简体" w:cs="方正小标宋简体"/>
          <w:b/>
          <w:snapToGrid w:val="0"/>
          <w:kern w:val="44"/>
          <w:sz w:val="48"/>
          <w:szCs w:val="21"/>
        </w:rPr>
        <w:sectPr>
          <w:pgSz w:w="11906" w:h="16838"/>
          <w:pgMar w:top="1440" w:right="1800" w:bottom="1440" w:left="1800" w:header="851" w:footer="992" w:gutter="0"/>
          <w:cols w:space="720" w:num="1"/>
          <w:docGrid w:type="lines" w:linePitch="312" w:charSpace="0"/>
        </w:sectPr>
      </w:pPr>
      <w:bookmarkStart w:id="47" w:name="_Toc267990383"/>
      <w:bookmarkStart w:id="48" w:name="_Toc4900"/>
      <w:bookmarkStart w:id="49" w:name="_Toc1824578061"/>
      <w:bookmarkStart w:id="50" w:name="_Toc1444631961"/>
      <w:r>
        <w:rPr>
          <w:rFonts w:hint="eastAsia" w:ascii="方正小标宋简体" w:hAnsi="方正小标宋简体" w:eastAsia="方正小标宋简体" w:cs="方正小标宋简体"/>
          <w:b/>
          <w:snapToGrid w:val="0"/>
          <w:kern w:val="44"/>
          <w:sz w:val="48"/>
          <w:szCs w:val="21"/>
        </w:rPr>
        <w:t>第四部分 公共区域类管理制度</w:t>
      </w:r>
      <w:bookmarkEnd w:id="47"/>
      <w:bookmarkEnd w:id="48"/>
      <w:bookmarkEnd w:id="49"/>
      <w:bookmarkEnd w:id="50"/>
    </w:p>
    <w:p w14:paraId="006E483E">
      <w:pPr>
        <w:rPr>
          <w:rFonts w:hint="eastAsia" w:ascii="Times New Roman" w:hAnsi="Times New Roman" w:cs="黑体"/>
          <w:sz w:val="24"/>
        </w:rPr>
      </w:pPr>
    </w:p>
    <w:p w14:paraId="21D6136B">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51" w:name="_Toc1425166278"/>
      <w:r>
        <w:rPr>
          <w:rFonts w:ascii="Times New Roman" w:hAnsi="Times New Roman" w:eastAsia="方正小标宋简体" w:cs="Arial"/>
          <w:snapToGrid w:val="0"/>
          <w:kern w:val="0"/>
          <w:sz w:val="44"/>
          <w:szCs w:val="21"/>
        </w:rPr>
        <w:t>公共区域管理规定</w:t>
      </w:r>
      <w:bookmarkEnd w:id="51"/>
    </w:p>
    <w:p w14:paraId="2CB3BFB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6CFD97F">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6ED78376">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为加强常德经济技术开发区枫树岗化工片区（以下简称“化工园区”）公共区域的安全管理，防范生产安全事故发生，保障安全生产，根据国家有关法律法规，结合园区现有安全管理相关规定，制定本制度。</w:t>
      </w:r>
    </w:p>
    <w:p w14:paraId="5CDB2F67">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所称的公共区域，是指化工园区内除企业厂区以外的所有区域。在化工园区公共区域内进行生产作业的单位、个人及其相关方，均应遵守本制度。化工园区公共区域的安全管理，应当坚持安全第一，预防为主、综合治理的方针，按照“党政同责、一岗双责、失职追责”和“管行业必须管安全、管业务必须管安全、管生产经营必须管安全”的要求强化和落实政府监管职能与企业的主体责任。</w:t>
      </w:r>
    </w:p>
    <w:p w14:paraId="5FB66971">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部门职责</w:t>
      </w:r>
    </w:p>
    <w:p w14:paraId="73F80AE2">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开发建设局负责化工园区公共区域的市政基础设施工程及有关工程建设的施工许可、施工过程安全监管和竣工验收备案工作；负责园区道路交通安全设施（包括路标、交通安全标志、标线、安全防护栏等）的设立与维护，以及事故多发的公路路段和桥梁的改造；负责指导协调化工园区消防供水管网等保障工作。承担涉及化工园区公共区域特种设备的安装、使用、改造、维修、检验检测等环节的安全监察、监督工作（包括射线探伤作业承包商检测资质和检测质量的监管工作）。负责化工园区范围内市政道路、桥梁、供排水设施、城市照明工程、园林绿化等市政公用设施的施工、维护、巡查等监管工作。</w:t>
      </w:r>
    </w:p>
    <w:p w14:paraId="0DC68374">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产业发展局（安全监管局）负责化工园区道路危险货物运输车辆临时停放的安全综合管理；负责禁止未取得机动车环保合格标志的车辆进入化工园区，对化工园区超装超载违卸车辆实施监管。</w:t>
      </w:r>
    </w:p>
    <w:p w14:paraId="13ADBCA7">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产业发展局（安全监管局）负责园区封闭综合管理工作；负责指导企业做好公共区域安全管理工作；配合相关行业主管部门，参与指导、监督、协调园区公共区域安全管理有关工作；</w:t>
      </w:r>
    </w:p>
    <w:p w14:paraId="0B2B1F66">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产业发展局（安全监管局）负责园区封闭日常运维工作。</w:t>
      </w:r>
    </w:p>
    <w:p w14:paraId="10603F89">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基本安全管理</w:t>
      </w:r>
    </w:p>
    <w:p w14:paraId="57721614">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禁止在园区公共区域燃放烟花爆竹、焚烧杂草杂物和牲畜放牧；禁止未经批准在园区上空放飞无人驾驶航空器。</w:t>
      </w:r>
    </w:p>
    <w:p w14:paraId="4EC5D6A8">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禁止在企业围墙外堆放杂物，应定期清除企业围墙外区域的杂草。</w:t>
      </w:r>
    </w:p>
    <w:p w14:paraId="16C8B942">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除法定要求需办理审批手续外，施工和检维修作业应划定警戒区，布设警戒线和警示标志，设专职安全员进行巡查，指挥过往车辆减速慢行通过警戒区。</w:t>
      </w:r>
    </w:p>
    <w:p w14:paraId="2D77E4BB">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应确保市政雨水井盖的完好性。</w:t>
      </w:r>
    </w:p>
    <w:p w14:paraId="6B8EA5E9">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应定期检查化工园区道路市政消火栓并进行通水试验，应确保处于完好状态。</w:t>
      </w:r>
    </w:p>
    <w:p w14:paraId="5A7FBC87">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化工园区道路两旁不得种植油性植物，道路与企业围墙间的绿化带应种植草坪或高度不超过15cm的草本植物。</w:t>
      </w:r>
    </w:p>
    <w:p w14:paraId="71705BA2">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一旦化工园区企业发生火灾、爆炸、危险化学品泄漏事故，或危险化学品车辆交通事故时，应根据具体情况，在一定范围内封锁道路，禁止无关车辆和人员通行。必要时，组织企业相关人员疏散。</w:t>
      </w:r>
    </w:p>
    <w:p w14:paraId="7E7858D3">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化工园区企业危险化学品运输车辆空车需停放到园区划定的专用停车位停放，禁止停放在园区其他公共道路等区域，短时临时停车不准靠近明火、高温场所、人员密集场所等有可能造成危害的地点。</w:t>
      </w:r>
    </w:p>
    <w:p w14:paraId="69F483F8">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危险化学品运输车辆装卸货必须在企业厂区内完成。</w:t>
      </w:r>
    </w:p>
    <w:p w14:paraId="6477C1E5">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监管责任</w:t>
      </w:r>
    </w:p>
    <w:p w14:paraId="6156513F">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第十六条</w:t>
      </w:r>
      <w:r>
        <w:rPr>
          <w:rFonts w:ascii="Times New Roman" w:hAnsi="Times New Roman" w:eastAsia="仿宋" w:cs="Arial"/>
          <w:snapToGrid w:val="0"/>
          <w:kern w:val="0"/>
          <w:sz w:val="32"/>
          <w:szCs w:val="21"/>
        </w:rPr>
        <w:t xml:space="preserve">  相关责任单位出现下列情形之一的，由常德经济技术开发区管委会严肃追究责任：</w:t>
      </w:r>
    </w:p>
    <w:p w14:paraId="4777BCA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1、责任单位及有关责任人员在落实工作中存在不履行或不正确履行职责，管理监督不力，无正当理由未按时、保质、合规完成工作任务，严重影响园区文明形象的。</w:t>
      </w:r>
    </w:p>
    <w:p w14:paraId="578DE3B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2、工作中相互推诿、扯皮，经协调明确责任后仍不执行或推诿执行，导致园区公共区域安全管理出现问题的。</w:t>
      </w:r>
    </w:p>
    <w:p w14:paraId="79656CB2">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3、因工作效率、服务质量等问题，多次受到同类问题投诉，经核实，整改不到位的。</w:t>
      </w:r>
    </w:p>
    <w:p w14:paraId="4307CF9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4、被新闻媒体披露曝光，造成严重不良影响并查实的。</w:t>
      </w:r>
    </w:p>
    <w:p w14:paraId="1DB4AA0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5、对化工园区公共区域日常巡查管理工作执行不力，应实行问责。</w:t>
      </w:r>
    </w:p>
    <w:p w14:paraId="36ECA3C4">
      <w:pPr>
        <w:ind w:firstLine="640"/>
        <w:sectPr>
          <w:pgSz w:w="11906" w:h="16838"/>
          <w:pgMar w:top="1440" w:right="1800" w:bottom="1440" w:left="1800" w:header="851" w:footer="992" w:gutter="0"/>
          <w:cols w:space="720" w:num="1"/>
          <w:docGrid w:type="lines" w:linePitch="312" w:charSpace="0"/>
        </w:sectPr>
      </w:pPr>
    </w:p>
    <w:p w14:paraId="2F537763">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52" w:name="_Toc129302301"/>
      <w:r>
        <w:rPr>
          <w:rFonts w:ascii="Times New Roman" w:hAnsi="Times New Roman" w:eastAsia="方正小标宋简体" w:cs="Arial"/>
          <w:snapToGrid w:val="0"/>
          <w:kern w:val="0"/>
          <w:sz w:val="44"/>
          <w:szCs w:val="21"/>
        </w:rPr>
        <w:t>化工园区封闭化管理办法</w:t>
      </w:r>
      <w:bookmarkEnd w:id="52"/>
    </w:p>
    <w:p w14:paraId="3017DAFF">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E392DCC">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129EB7B0">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第一条</w:t>
      </w:r>
      <w:r>
        <w:rPr>
          <w:rFonts w:ascii="Times New Roman" w:hAnsi="Times New Roman" w:eastAsia="仿宋_GB2312" w:cs="Arial"/>
          <w:snapToGrid w:val="0"/>
          <w:kern w:val="0"/>
          <w:sz w:val="32"/>
          <w:szCs w:val="21"/>
        </w:rPr>
        <w:t xml:space="preserve">  为进一步加强常德经济技术开发区枫树岗化工片区（以下简称“化工园区”）安全风险管控，规范人员、车辆和易燃易爆、有毒有害化学品等物料管理，保障化工园区建设和企业生产经营安全，根据《中共中央办公厅 国务院办公厅印发〈关于全面加强危险化学品安全生产工作的意见〉的通知》（厅字〔2020〕3号）、《国务院安委会办公室关于进一步加强化工园区安全管理的指导意见》（安委办〔2012〕37号）、《工业和信息化部关于促进化工园区规范发展的指导意见》（工信部原〔2015〕433号）及《化工园区安全风险排查治理导则》《湖南省严格化工园区建设标准和认定管理办法》等文件要求，结合实际，制定本办法。</w:t>
      </w:r>
    </w:p>
    <w:p w14:paraId="6DF9A6D6">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第二条</w:t>
      </w:r>
      <w:r>
        <w:rPr>
          <w:rFonts w:ascii="Times New Roman" w:hAnsi="Times New Roman" w:eastAsia="仿宋_GB2312" w:cs="Arial"/>
          <w:snapToGrid w:val="0"/>
          <w:kern w:val="0"/>
          <w:sz w:val="32"/>
          <w:szCs w:val="21"/>
        </w:rPr>
        <w:t xml:space="preserve">  封闭化管理是指通过园区围护、巡逻、岗亭检查、视频监控等必要手段，对化工园区人流、物流、车流的出入进行规范，使化工园区与外界相对隔离的管理方式。</w:t>
      </w:r>
    </w:p>
    <w:p w14:paraId="1D826006">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第三条</w:t>
      </w:r>
      <w:r>
        <w:rPr>
          <w:rFonts w:ascii="Times New Roman" w:hAnsi="Times New Roman" w:eastAsia="仿宋_GB2312" w:cs="Arial"/>
          <w:snapToGrid w:val="0"/>
          <w:kern w:val="0"/>
          <w:sz w:val="32"/>
          <w:szCs w:val="21"/>
        </w:rPr>
        <w:t xml:space="preserve">  经批复的化工园区规划边界内全部区域的封闭化管理，适用本办法。具体封闭区域由常德经济技术开发区管理委员会（以下简称“管委会”）按照分步实施要求结合实际确定，并向社会公布。</w:t>
      </w:r>
    </w:p>
    <w:p w14:paraId="2DAA7875">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第四条</w:t>
      </w:r>
      <w:r>
        <w:rPr>
          <w:rFonts w:ascii="Times New Roman" w:hAnsi="Times New Roman" w:eastAsia="仿宋_GB2312" w:cs="Arial"/>
          <w:snapToGrid w:val="0"/>
          <w:kern w:val="0"/>
          <w:sz w:val="32"/>
          <w:szCs w:val="21"/>
        </w:rPr>
        <w:t xml:space="preserve">  封闭化管理的对象为出入化工园区的人员、车辆、货物等流动性风险因素。无人机等“低慢小”航空器未经有关部门批准，不得进入化工园区空域。</w:t>
      </w:r>
    </w:p>
    <w:p w14:paraId="7FDBF5C5">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第五条</w:t>
      </w:r>
      <w:r>
        <w:rPr>
          <w:rFonts w:ascii="Times New Roman" w:hAnsi="Times New Roman" w:eastAsia="仿宋_GB2312" w:cs="Arial"/>
          <w:snapToGrid w:val="0"/>
          <w:kern w:val="0"/>
          <w:sz w:val="32"/>
          <w:szCs w:val="21"/>
        </w:rPr>
        <w:t xml:space="preserve">  化工园区各企业除遵守本管理办法外，仍应遵循常德经开区</w:t>
      </w:r>
      <w:r>
        <w:rPr>
          <w:rFonts w:hint="eastAsia" w:ascii="Times New Roman" w:hAnsi="Times New Roman" w:eastAsia="仿宋_GB2312" w:cs="Arial"/>
          <w:snapToGrid w:val="0"/>
          <w:kern w:val="0"/>
          <w:sz w:val="32"/>
          <w:szCs w:val="21"/>
        </w:rPr>
        <w:t>其他</w:t>
      </w:r>
      <w:r>
        <w:rPr>
          <w:rFonts w:ascii="Times New Roman" w:hAnsi="Times New Roman" w:eastAsia="仿宋_GB2312" w:cs="Arial"/>
          <w:snapToGrid w:val="0"/>
          <w:kern w:val="0"/>
          <w:sz w:val="32"/>
          <w:szCs w:val="21"/>
        </w:rPr>
        <w:t>相关管理办法。</w:t>
      </w:r>
    </w:p>
    <w:p w14:paraId="34707B88">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封闭管理方式和措施</w:t>
      </w:r>
    </w:p>
    <w:p w14:paraId="5A3FD8B6">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第六条</w:t>
      </w:r>
      <w:r>
        <w:rPr>
          <w:rFonts w:ascii="Times New Roman" w:hAnsi="Times New Roman" w:eastAsia="仿宋_GB2312" w:cs="Arial"/>
          <w:snapToGrid w:val="0"/>
          <w:kern w:val="0"/>
          <w:sz w:val="32"/>
          <w:szCs w:val="21"/>
        </w:rPr>
        <w:t xml:space="preserve">  按照“分类控制、分级管理、分步实施”的原则，</w:t>
      </w:r>
    </w:p>
    <w:p w14:paraId="5E69A2D2">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将化工园区划分为核心控制区、关键控制区和一般控制区，采用自然隔离、物理隔离和电子围栏、入侵报警、视频监控等智能化隔离措施，分区实行封闭化管理。</w:t>
      </w:r>
    </w:p>
    <w:p w14:paraId="159830ED">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核心控制区是指化工园区重大危险源、重点监管危险化工工艺、重点监管的危险化学品集中的高风险区域。该区域内危险化学品企业以边界围栏、厂区围墙和生产区域二道门实现封闭化管理，应对毒性气体、液态易燃气体、一级重大危险源采用远程探测在线监测预警，对人员、车辆实行严格的进出授权管理。</w:t>
      </w:r>
    </w:p>
    <w:p w14:paraId="0A99B763">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关键控制区是指化工园区内核心控制区以外的化工生产功能区、危险物品运输车辆停车场、管廊等风险较高的区域。该区域内应建立完善门禁系统和视频监控系统，利用信息化平台、视频监控、在线监测预警等技术手段，实现人员、车辆及物料进出全过程动态监管。</w:t>
      </w:r>
    </w:p>
    <w:p w14:paraId="461D08C9">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一般控制区是指核心控制区和关键控制区以外的行政办公区、公共服务区等风险较低的区域。该区域采用常规方式管理。</w:t>
      </w:r>
    </w:p>
    <w:p w14:paraId="62E6ED38">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第七条</w:t>
      </w:r>
      <w:r>
        <w:rPr>
          <w:rFonts w:ascii="Times New Roman" w:hAnsi="Times New Roman" w:eastAsia="仿宋_GB2312" w:cs="Arial"/>
          <w:snapToGrid w:val="0"/>
          <w:kern w:val="0"/>
          <w:sz w:val="32"/>
          <w:szCs w:val="21"/>
        </w:rPr>
        <w:t xml:space="preserve">  危险化学品企业应强化门岗管理，与公安部门联动，加强安保建设，规范本企业封闭化管理。</w:t>
      </w:r>
    </w:p>
    <w:p w14:paraId="50277441">
      <w:pPr>
        <w:spacing w:line="560" w:lineRule="exact"/>
        <w:ind w:firstLine="643" w:firstLineChars="200"/>
        <w:rPr>
          <w:rFonts w:ascii="Times New Roman" w:hAnsi="Times New Roman" w:eastAsia="仿宋_GB2312" w:cs="Arial"/>
          <w:snapToGrid w:val="0"/>
          <w:kern w:val="0"/>
          <w:sz w:val="32"/>
          <w:szCs w:val="32"/>
        </w:rPr>
      </w:pPr>
      <w:r>
        <w:rPr>
          <w:rFonts w:ascii="Times New Roman" w:hAnsi="Times New Roman" w:eastAsia="仿宋_GB2312" w:cs="Arial"/>
          <w:b/>
          <w:bCs/>
          <w:snapToGrid w:val="0"/>
          <w:kern w:val="0"/>
          <w:sz w:val="32"/>
          <w:szCs w:val="32"/>
        </w:rPr>
        <w:t xml:space="preserve">第八条  </w:t>
      </w:r>
      <w:r>
        <w:rPr>
          <w:rFonts w:ascii="Times New Roman" w:hAnsi="Times New Roman" w:eastAsia="仿宋_GB2312" w:cs="Arial"/>
          <w:snapToGrid w:val="0"/>
          <w:kern w:val="0"/>
          <w:sz w:val="32"/>
          <w:szCs w:val="32"/>
        </w:rPr>
        <w:t>化工园区设置出入口控制设施，通过车辆通道卡口和人员通道门禁，实现对人、车、物进出园管控。门禁/卡口是指对进入化工园区人员及车辆进行信息采集、身份识别、通行管控的控制点或场所。</w:t>
      </w:r>
    </w:p>
    <w:p w14:paraId="14A3C592">
      <w:pPr>
        <w:spacing w:line="56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综合门禁/卡口：危险物品和危险废物运输车辆、工程车辆和普通车辆及人员出入园的共用卡口，应设置危险化学品运输车辆专用车道。</w:t>
      </w:r>
    </w:p>
    <w:p w14:paraId="69DF315A">
      <w:pPr>
        <w:spacing w:line="56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专用门禁/卡口：危险物品和危险废物运输车辆出入园的专用门禁/卡口，工程车辆和普通车辆不得通过此类卡口出入园。</w:t>
      </w:r>
    </w:p>
    <w:p w14:paraId="32753631">
      <w:pPr>
        <w:spacing w:line="56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普通门禁/卡口：工程车辆和普通车辆及人员出入园的门禁/卡口，危险物品和危险废物运输车辆不得通过此卡口出入园。</w:t>
      </w:r>
    </w:p>
    <w:p w14:paraId="55ACD03D">
      <w:pPr>
        <w:spacing w:line="56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应急门禁/卡口：各类应急救援相关车辆出入园的专用门禁/卡口，事故情况下也可作为人员疏散卡口。一般为常闭状态，应具备事故应急情况下一键开启功能。</w:t>
      </w:r>
    </w:p>
    <w:p w14:paraId="61BD9737">
      <w:pPr>
        <w:spacing w:line="56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门禁/卡口具体位置和类别由常德经开区管委会结合实际确定，并向社会公布。</w:t>
      </w:r>
    </w:p>
    <w:p w14:paraId="415EF7C4">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第九条</w:t>
      </w:r>
      <w:r>
        <w:rPr>
          <w:rFonts w:ascii="Times New Roman" w:hAnsi="Times New Roman" w:eastAsia="仿宋_GB2312" w:cs="Arial"/>
          <w:snapToGrid w:val="0"/>
          <w:kern w:val="0"/>
          <w:sz w:val="32"/>
          <w:szCs w:val="21"/>
        </w:rPr>
        <w:t xml:space="preserve">  化工园区设置以下配套设施：</w:t>
      </w:r>
    </w:p>
    <w:p w14:paraId="7353EB6C">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1、设置覆盖化工园区全域的高点监控，及时发现区域安全风险。</w:t>
      </w:r>
    </w:p>
    <w:p w14:paraId="757B8A8A">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2、在卡口、道路沿线布置交通设施，设置信息连续、清晰、明确、简洁的标志与标线设施。</w:t>
      </w:r>
    </w:p>
    <w:p w14:paraId="1F7EB729">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3、在危险化学品运输车辆行驶的化工园区内道路设置视频监控和测速设备，对超速、不按道路或车道行驶、违停等车辆不安全行为进行识别。</w:t>
      </w:r>
    </w:p>
    <w:p w14:paraId="5B457071">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4、在综合卡口、专用卡口设置定位卡发放设施，对进入化工园区的危险化学品运输车辆进行实时跟踪。</w:t>
      </w:r>
    </w:p>
    <w:p w14:paraId="11F78302">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5、在门禁/卡口、重要路口等公共区域设置公告栏、广播等信息发布设施，有条件的情况下可升级显示大屏。</w:t>
      </w:r>
    </w:p>
    <w:p w14:paraId="5F69A30A">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6、在门禁/卡口处设置岗亭，引导人员和车辆申请、预约，疏导交通秩序，排查门禁/卡口硬件设施，劝阻和上报闯卡等不安全行为，清扫门禁/卡口处垃圾和抛洒物。</w:t>
      </w:r>
    </w:p>
    <w:p w14:paraId="72A0A320">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32"/>
        </w:rPr>
        <w:t>第十条</w:t>
      </w:r>
      <w:r>
        <w:rPr>
          <w:rFonts w:ascii="Times New Roman" w:hAnsi="Times New Roman" w:eastAsia="仿宋_GB2312" w:cs="Arial"/>
          <w:snapToGrid w:val="0"/>
          <w:kern w:val="0"/>
          <w:sz w:val="32"/>
          <w:szCs w:val="32"/>
        </w:rPr>
        <w:t xml:space="preserve">  建立完善封闭管理系统，并对接到安全风险智能化管控平台、智慧园区平台等。</w:t>
      </w:r>
    </w:p>
    <w:p w14:paraId="179F036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组织与实施</w:t>
      </w:r>
    </w:p>
    <w:p w14:paraId="4A534FBA">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第十一条</w:t>
      </w:r>
      <w:r>
        <w:rPr>
          <w:rFonts w:ascii="Times New Roman" w:hAnsi="Times New Roman" w:eastAsia="仿宋_GB2312" w:cs="Arial"/>
          <w:snapToGrid w:val="0"/>
          <w:kern w:val="0"/>
          <w:sz w:val="32"/>
          <w:szCs w:val="21"/>
        </w:rPr>
        <w:t xml:space="preserve">  常德经开区管委会负责对化工园区封闭化管理工作的全面领导，协调解决重大问题。</w:t>
      </w:r>
    </w:p>
    <w:p w14:paraId="79267852">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第十二条</w:t>
      </w:r>
      <w:r>
        <w:rPr>
          <w:rFonts w:ascii="Times New Roman" w:hAnsi="Times New Roman" w:eastAsia="仿宋_GB2312" w:cs="Arial"/>
          <w:snapToGrid w:val="0"/>
          <w:kern w:val="0"/>
          <w:sz w:val="32"/>
          <w:szCs w:val="21"/>
        </w:rPr>
        <w:t xml:space="preserve">  常德经开区管委会所属内设机构、国有企业依照下列规定履行封闭化管理相关职责：</w:t>
      </w:r>
    </w:p>
    <w:p w14:paraId="53E2D541">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1、产业发展局（安全监管局）负责封闭化管理综合工作，负责封闭化管理办法的制修订、管理系统的建设升级及实施情况的监督、检查、指导、培训等工作；负责协调公安部门加强化工园区道路交通安全管理，协调交通运输部门监督危险化学品运输车辆遵守化工园区封闭化管理、专用道路、专用车道、专用卡口等相关规定；负责加强化工园区内企业、车辆和人员管理，会同园区相关局办、属地相关部门对车辆乱停乱放、占道经营等违法违规行为进行巡查，并协助依法处理。</w:t>
      </w:r>
    </w:p>
    <w:p w14:paraId="401BF502">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2、自规分局负责明确化工园区的“四至”范围，将封闭化管理的安全要求纳入园区空间布局、道路规划中。</w:t>
      </w:r>
    </w:p>
    <w:p w14:paraId="0B9311C4">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3、产业发展局（安全监管局）负责制定封闭化管理实施方案。开发建设局实施封闭化管理工程建设；负责根据化工园区路网布局、车流量分析评估、道路风险等级和危险化学品运输车辆停车场位置等情况规划危险化学品车辆行驶路径、专用道路、专用车道及门禁/卡口形式等。</w:t>
      </w:r>
    </w:p>
    <w:p w14:paraId="241D3CFC">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4、产业发展局（安全监管局）负责封闭化日常运营管理工作，包括封闭化和危险化学品运输车辆专用停车场管理系统的应用，封闭化管理日常巡查及相关设备设施设置和维护管理，岗亭管理和异常情况处置；负责配备专职管理人员、封闭化管理队伍，落实值班要求；负责定期对封闭化管理队伍进行培训，开展应急演练；可以通过购买第三方服务形式，委托封闭化管理日常运维，并负责对第三方公司运维进行监督、检查、指导、考核等工作。</w:t>
      </w:r>
    </w:p>
    <w:p w14:paraId="10B94C8B">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5、财政局负责将封闭化管理的经费列入年度预算，并保障落实。</w:t>
      </w:r>
    </w:p>
    <w:p w14:paraId="2FBA1E6E">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6、综合协调中心负责巡查化工园区公共区域摆摊设点等非法经营行为，并协调相关部门清理整治；车辆</w:t>
      </w:r>
      <w:r>
        <w:rPr>
          <w:rFonts w:hint="eastAsia" w:ascii="Times New Roman" w:hAnsi="Times New Roman" w:eastAsia="仿宋_GB2312" w:cs="Arial"/>
          <w:snapToGrid w:val="0"/>
          <w:kern w:val="0"/>
          <w:sz w:val="32"/>
          <w:szCs w:val="21"/>
        </w:rPr>
        <w:t>出现</w:t>
      </w:r>
      <w:r>
        <w:rPr>
          <w:rFonts w:ascii="Times New Roman" w:hAnsi="Times New Roman" w:eastAsia="仿宋_GB2312" w:cs="Arial"/>
          <w:snapToGrid w:val="0"/>
          <w:kern w:val="0"/>
          <w:sz w:val="32"/>
          <w:szCs w:val="21"/>
        </w:rPr>
        <w:t>违停行为</w:t>
      </w:r>
      <w:r>
        <w:rPr>
          <w:rFonts w:hint="eastAsia" w:ascii="Times New Roman" w:hAnsi="Times New Roman" w:eastAsia="仿宋_GB2312" w:cs="Arial"/>
          <w:snapToGrid w:val="0"/>
          <w:kern w:val="0"/>
          <w:sz w:val="32"/>
          <w:szCs w:val="21"/>
        </w:rPr>
        <w:t>的，协调交警部门</w:t>
      </w:r>
      <w:r>
        <w:rPr>
          <w:rFonts w:ascii="Times New Roman" w:hAnsi="Times New Roman" w:eastAsia="仿宋_GB2312" w:cs="Arial"/>
          <w:snapToGrid w:val="0"/>
          <w:kern w:val="0"/>
          <w:sz w:val="32"/>
          <w:szCs w:val="21"/>
        </w:rPr>
        <w:t>进行巡查、引导、劝离，如企业有特殊</w:t>
      </w:r>
      <w:r>
        <w:rPr>
          <w:rFonts w:hint="eastAsia" w:ascii="Times New Roman" w:hAnsi="Times New Roman" w:eastAsia="仿宋_GB2312" w:cs="Arial"/>
          <w:snapToGrid w:val="0"/>
          <w:kern w:val="0"/>
          <w:sz w:val="32"/>
          <w:szCs w:val="21"/>
        </w:rPr>
        <w:t>情况</w:t>
      </w:r>
      <w:r>
        <w:rPr>
          <w:rFonts w:ascii="Times New Roman" w:hAnsi="Times New Roman" w:eastAsia="仿宋_GB2312" w:cs="Arial"/>
          <w:snapToGrid w:val="0"/>
          <w:kern w:val="0"/>
          <w:sz w:val="32"/>
          <w:szCs w:val="21"/>
        </w:rPr>
        <w:t>拒不执行、不听劝阻的，移送公安机关处理。</w:t>
      </w:r>
    </w:p>
    <w:p w14:paraId="122E22B4">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第十三条</w:t>
      </w:r>
      <w:r>
        <w:rPr>
          <w:rFonts w:ascii="Times New Roman" w:hAnsi="Times New Roman" w:eastAsia="仿宋_GB2312" w:cs="Arial"/>
          <w:snapToGrid w:val="0"/>
          <w:kern w:val="0"/>
          <w:sz w:val="32"/>
          <w:szCs w:val="21"/>
        </w:rPr>
        <w:t xml:space="preserve">  化工园区内企业对进入化工园区的本单位人员和车辆（包括来访本单位的人员和车辆）的安全管理负主体责任，明确管理人员，负责审核与本单位相关人员和车辆入园申请资料的真实性、有效性及安全性。</w:t>
      </w:r>
    </w:p>
    <w:p w14:paraId="0EF60479">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第十四条</w:t>
      </w:r>
      <w:r>
        <w:rPr>
          <w:rFonts w:ascii="Times New Roman" w:hAnsi="Times New Roman" w:eastAsia="仿宋_GB2312" w:cs="Arial"/>
          <w:snapToGrid w:val="0"/>
          <w:kern w:val="0"/>
          <w:sz w:val="32"/>
          <w:szCs w:val="21"/>
        </w:rPr>
        <w:t xml:space="preserve">  化工园区内各企业应遵守封闭化管理相关规章制度，加强对本单位及经由本单位审核进入化工园区的人员教育和管理，督促其严格遵守化工园区相关管理规定。</w:t>
      </w:r>
    </w:p>
    <w:p w14:paraId="0F164876">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第十五条</w:t>
      </w:r>
      <w:r>
        <w:rPr>
          <w:rFonts w:ascii="Times New Roman" w:hAnsi="Times New Roman" w:eastAsia="仿宋_GB2312" w:cs="Arial"/>
          <w:snapToGrid w:val="0"/>
          <w:kern w:val="0"/>
          <w:sz w:val="32"/>
          <w:szCs w:val="21"/>
        </w:rPr>
        <w:t xml:space="preserve">  所有出入化工园区的人员、车辆和物资相关信息纳入封闭化管理系统管理并实时监控。封闭化管理系统监控到的人员和车辆的位置、速度以及视频等信息作为化工园区管理的有效依据，产业发展局（安全监管局）应监督系统技术单位妥善保存至少3个月，并根据有关职能部门工作需要，提供数据共享。发现存在违法违规行为的，应及时移交有关执法部门处理。</w:t>
      </w:r>
    </w:p>
    <w:p w14:paraId="64E69AAD">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第十六条</w:t>
      </w:r>
      <w:r>
        <w:rPr>
          <w:rFonts w:ascii="Times New Roman" w:hAnsi="Times New Roman" w:eastAsia="仿宋_GB2312" w:cs="Arial"/>
          <w:snapToGrid w:val="0"/>
          <w:kern w:val="0"/>
          <w:sz w:val="32"/>
          <w:szCs w:val="21"/>
        </w:rPr>
        <w:t xml:space="preserve">  各岗亭、巡检的封闭化管理工作人员，在岗时应着装统一、整洁，文明执勤，严格履行职责，严禁无关人员、车辆进入化工园区，发现问题及时汇报处理。</w:t>
      </w:r>
    </w:p>
    <w:p w14:paraId="7DC8C772">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预约申请和授权管理</w:t>
      </w:r>
    </w:p>
    <w:p w14:paraId="1A985022">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第十七条</w:t>
      </w:r>
      <w:r>
        <w:rPr>
          <w:rFonts w:ascii="Times New Roman" w:hAnsi="Times New Roman" w:eastAsia="仿宋_GB2312" w:cs="Arial"/>
          <w:snapToGrid w:val="0"/>
          <w:kern w:val="0"/>
          <w:sz w:val="32"/>
          <w:szCs w:val="21"/>
        </w:rPr>
        <w:t xml:space="preserve">  化工园区实行进入许可制度，除执行任务的警车、消防车、救护车、公务执勤车和人员以外，进入化工园区的任何车辆和以自行车、电动自行车、摩托车等为交通工具的人员均需提前备案或预约申请，获得准入许可后方可进入化工园区。</w:t>
      </w:r>
    </w:p>
    <w:p w14:paraId="6046FB98">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人员、车辆所属单位和受访单位应对申报内容的真实性、合规性负责。</w:t>
      </w:r>
    </w:p>
    <w:p w14:paraId="1E2EEEDB">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产业发展局（安全监管局）应通过网络和信息发布设施公布预约流程。</w:t>
      </w:r>
    </w:p>
    <w:p w14:paraId="098E0BF9">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第十八条</w:t>
      </w:r>
      <w:r>
        <w:rPr>
          <w:rFonts w:ascii="Times New Roman" w:hAnsi="Times New Roman" w:eastAsia="仿宋_GB2312" w:cs="Arial"/>
          <w:snapToGrid w:val="0"/>
          <w:kern w:val="0"/>
          <w:sz w:val="32"/>
          <w:szCs w:val="21"/>
        </w:rPr>
        <w:t xml:space="preserve">  进入化工园区的授权分为长期和临时权限，临时权限每次授权时间应根据进入化工园区具体事宜而定，最长不超过3个月。授权时间到期应重新申请。</w:t>
      </w:r>
    </w:p>
    <w:p w14:paraId="296DFCB7">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第十九条</w:t>
      </w:r>
      <w:r>
        <w:rPr>
          <w:rFonts w:ascii="Times New Roman" w:hAnsi="Times New Roman" w:eastAsia="仿宋_GB2312" w:cs="Arial"/>
          <w:snapToGrid w:val="0"/>
          <w:kern w:val="0"/>
          <w:sz w:val="32"/>
          <w:szCs w:val="21"/>
        </w:rPr>
        <w:t xml:space="preserve">  化工园区内企业的固定车辆（通勤车辆、职工车辆等），由所在企业统一录入园区安全风险智能化管控平台备案车辆信息库，平台管理员审核并长期授权，通过所在区域卡口机动车道闸时，系统自动识别车牌后，道闸抬杆放行。</w:t>
      </w:r>
    </w:p>
    <w:p w14:paraId="7B84C73A">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化工园区内企业的固定人员，由所在企业统一录入园区安全风险智能化管控平台备案人员信息库，平台管理员审核并长期授权，通过所在区域卡口人行通道道闸时扫描人脸，系统自动识别后，门禁自动打开放行。</w:t>
      </w:r>
    </w:p>
    <w:p w14:paraId="2FDBF89A">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员工和车辆信息发生变化时，所在企业应及时通过平台申请新增、删除或变更。</w:t>
      </w:r>
    </w:p>
    <w:p w14:paraId="24DD0197">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 xml:space="preserve">第二十条 </w:t>
      </w:r>
      <w:r>
        <w:rPr>
          <w:rFonts w:ascii="Times New Roman" w:hAnsi="Times New Roman" w:eastAsia="仿宋_GB2312" w:cs="Arial"/>
          <w:snapToGrid w:val="0"/>
          <w:kern w:val="0"/>
          <w:sz w:val="32"/>
          <w:szCs w:val="21"/>
        </w:rPr>
        <w:t xml:space="preserve"> 管委会干部职工、政府部门公务人员等符合长期授权情形的人员信息，以及园区车辆、园区员工车辆、政府部门公务车辆等符合长期授权情形的车辆信息，由产业发展局（安全监管局）统一录入园区安全风险智能化管控平台，化工园区所有卡口均可自动识别车牌后放行。</w:t>
      </w:r>
    </w:p>
    <w:p w14:paraId="4D92C8EF">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未录入平台信息库的政府部门车辆和人员，在紧急情况下进入化工园区可免检放行；非紧急情况下，凭有效工作证件经卡口安保人员确认后进入化工园区。</w:t>
      </w:r>
    </w:p>
    <w:p w14:paraId="133352D1">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第二十一条</w:t>
      </w:r>
      <w:r>
        <w:rPr>
          <w:rFonts w:ascii="Times New Roman" w:hAnsi="Times New Roman" w:eastAsia="仿宋_GB2312" w:cs="Arial"/>
          <w:snapToGrid w:val="0"/>
          <w:kern w:val="0"/>
          <w:sz w:val="32"/>
          <w:szCs w:val="21"/>
        </w:rPr>
        <w:t xml:space="preserve">  执行任务的警备、消防、救护、应急抢险救灾等特种车辆经卡口识别车牌后自动放行。</w:t>
      </w:r>
    </w:p>
    <w:p w14:paraId="32FCD52C">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第二十二条</w:t>
      </w:r>
      <w:r>
        <w:rPr>
          <w:rFonts w:ascii="Times New Roman" w:hAnsi="Times New Roman" w:eastAsia="仿宋_GB2312" w:cs="Arial"/>
          <w:snapToGrid w:val="0"/>
          <w:kern w:val="0"/>
          <w:sz w:val="32"/>
          <w:szCs w:val="21"/>
        </w:rPr>
        <w:t xml:space="preserve">  环卫保洁、园林、排水等市政养护车辆，卡口安保人员确认后直接放行。</w:t>
      </w:r>
    </w:p>
    <w:p w14:paraId="288ACA22">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第二十三条</w:t>
      </w:r>
      <w:r>
        <w:rPr>
          <w:rFonts w:ascii="Times New Roman" w:hAnsi="Times New Roman" w:eastAsia="仿宋_GB2312" w:cs="Arial"/>
          <w:snapToGrid w:val="0"/>
          <w:kern w:val="0"/>
          <w:sz w:val="32"/>
          <w:szCs w:val="21"/>
        </w:rPr>
        <w:t xml:space="preserve">  第三方单位办理临时授权（不含危险化学品运输车辆）应遵守以下规定：</w:t>
      </w:r>
    </w:p>
    <w:p w14:paraId="6F794953">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1、因工作或业务需要，经常性进出化工园区的第三方单位（无园区内对接企业）的普通车辆和人员可以办理临时授权（有效期三个月）。</w:t>
      </w:r>
    </w:p>
    <w:p w14:paraId="1AFEE03A">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2、第三方企业应准备相关合同复印件、办理人员身份证、驾驶员驾驶证、车辆行驶证，填写第三方申请表，到产业发展局（安全监管局）办理。</w:t>
      </w:r>
    </w:p>
    <w:p w14:paraId="3EECDA47">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3、平台管理人员审核通过后签订入园告知书、安全生产责任书，将车辆和人员信息录入安全风险智能化管控平台人员和车辆信息库。</w:t>
      </w:r>
    </w:p>
    <w:p w14:paraId="1F7E9B07">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第二十四条</w:t>
      </w:r>
      <w:r>
        <w:rPr>
          <w:rFonts w:ascii="Times New Roman" w:hAnsi="Times New Roman" w:eastAsia="仿宋_GB2312" w:cs="Arial"/>
          <w:snapToGrid w:val="0"/>
          <w:kern w:val="0"/>
          <w:sz w:val="32"/>
          <w:szCs w:val="21"/>
        </w:rPr>
        <w:t xml:space="preserve">  化工园区外临时访客行人（非机动车辆）出入化工园区，应遵守以下规定：</w:t>
      </w:r>
    </w:p>
    <w:p w14:paraId="570E2F16">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1、访客步行或驾驶非机动车辆（含三轮车，下同）入园前应提前申请，经到访企业审核通过后方可正常进出化工园区。</w:t>
      </w:r>
    </w:p>
    <w:p w14:paraId="56314D23">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2、访客步行或驾驶非机动车辆（三轮车除外）通过卡口人行通道道闸时，应由本人扫描人脸，待系统识别，门禁自动打开后方可进入。</w:t>
      </w:r>
    </w:p>
    <w:p w14:paraId="3C691201">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3、驾驶三轮车通过卡口机动车道道闸时，应向卡口工作人员主动出示预约记录，手动抬杆后方可进入。三轮车驾驶员应配合卡口工作人员指挥。</w:t>
      </w:r>
    </w:p>
    <w:p w14:paraId="25E4857C">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第二十五条</w:t>
      </w:r>
      <w:r>
        <w:rPr>
          <w:rFonts w:ascii="Times New Roman" w:hAnsi="Times New Roman" w:eastAsia="仿宋_GB2312" w:cs="Arial"/>
          <w:snapToGrid w:val="0"/>
          <w:kern w:val="0"/>
          <w:sz w:val="32"/>
          <w:szCs w:val="21"/>
        </w:rPr>
        <w:t xml:space="preserve">  化工园区外普通机动车辆出入化工园区，应遵守以下规定：</w:t>
      </w:r>
    </w:p>
    <w:p w14:paraId="4AE1A6B6">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1、访客驾驶普通机动车辆（含摩托车，下同）入园前应提前通过小程序申请，经到访企业审核通过后方可正常进出化工园区。</w:t>
      </w:r>
    </w:p>
    <w:p w14:paraId="4DC56497">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2、化工园区外普通机动车辆（摩托车除外）通过卡口机动车道道闸时，需待系统自动识别，道闸抬杆后方可进入。</w:t>
      </w:r>
    </w:p>
    <w:p w14:paraId="28B0D1D8">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3、驾驶摩托车通过卡口机动车道时，应向卡口工作人员主动出示预约记录，手动抬杆后方可进入。摩托车驾驶员应配合卡口工作人员指挥。</w:t>
      </w:r>
    </w:p>
    <w:p w14:paraId="226F0EE8">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第二十六条</w:t>
      </w:r>
      <w:r>
        <w:rPr>
          <w:rFonts w:ascii="Times New Roman" w:hAnsi="Times New Roman" w:eastAsia="仿宋_GB2312" w:cs="Arial"/>
          <w:snapToGrid w:val="0"/>
          <w:kern w:val="0"/>
          <w:sz w:val="32"/>
          <w:szCs w:val="21"/>
        </w:rPr>
        <w:t xml:space="preserve">  危险化学品运输车辆出入化工园区，应遵守以下规定：</w:t>
      </w:r>
    </w:p>
    <w:p w14:paraId="199BA00B">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1、危险化学品运输车辆进出化工园区内企业应提前通过小程序预约登记，经到访企业和园区封闭化管理员审核通过后方可正常进出化工园区。进出1次后即失效，须重新预约。</w:t>
      </w:r>
    </w:p>
    <w:p w14:paraId="02577D99">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2、危险化学品运输车辆仅允许从综合卡口、专用卡口进入化工园区，不得从其他道路进入企业。</w:t>
      </w:r>
    </w:p>
    <w:p w14:paraId="717A0183">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3、在预约时段内到达化工园区的危险化学品运输车辆，可直接进入企业。</w:t>
      </w:r>
    </w:p>
    <w:p w14:paraId="709901DD">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企业审核通过的危险化学品车辆预约信息，园区封闭化管理员应认真审核，存在缺少电子运单、运输货物与到访企业原料产品不符等异常情况的，必须拒绝入园申请，并将相关情况告知产业发展局（安全监管局）接到信息后应进行核查，经核查存在违法违规行为的，移交相关部门依法处理。</w:t>
      </w:r>
    </w:p>
    <w:p w14:paraId="38E97532">
      <w:pPr>
        <w:snapToGrid w:val="0"/>
        <w:spacing w:line="600" w:lineRule="exact"/>
        <w:ind w:firstLine="643"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b/>
          <w:bCs/>
          <w:snapToGrid w:val="0"/>
          <w:kern w:val="0"/>
          <w:sz w:val="32"/>
          <w:szCs w:val="21"/>
        </w:rPr>
        <w:t>第二十七条</w:t>
      </w:r>
      <w:r>
        <w:rPr>
          <w:rFonts w:ascii="Times New Roman" w:hAnsi="Times New Roman" w:eastAsia="仿宋_GB2312" w:cs="Arial"/>
          <w:snapToGrid w:val="0"/>
          <w:kern w:val="0"/>
          <w:sz w:val="32"/>
          <w:szCs w:val="21"/>
        </w:rPr>
        <w:t xml:space="preserve">  行人、车辆出入化工园区，还应遵守以下规定：</w:t>
      </w:r>
    </w:p>
    <w:p w14:paraId="6F41C705">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1、从卡口有序进出，卡口道闸实行一人一闸、一车一杆，不得抢卡、跟卡、暴力冲卡、故意堵塞卡口通道。</w:t>
      </w:r>
    </w:p>
    <w:p w14:paraId="497CEC13">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2、行人、车辆不得在卡口附近50米内停车逗留，如遇特殊情况需在卡口附近停靠，应主动配合工作人员指挥。</w:t>
      </w:r>
    </w:p>
    <w:p w14:paraId="5879660C">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3、卡口道闸车速控制在5公里/小时以内，道路情况满足的情况下与前车距离不少于10米。</w:t>
      </w:r>
    </w:p>
    <w:p w14:paraId="444CCFB2">
      <w:pPr>
        <w:snapToGrid w:val="0"/>
        <w:spacing w:line="600" w:lineRule="exact"/>
        <w:ind w:firstLine="640" w:firstLineChars="200"/>
        <w:textAlignment w:val="baseline"/>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32"/>
          <w:szCs w:val="21"/>
        </w:rPr>
        <w:t>4、车辆驾驶员夜晚驾驶车辆临近卡口时，应打开近光灯，服从卡口工作人员的指挥安排。</w:t>
      </w:r>
    </w:p>
    <w:p w14:paraId="51C8CABC">
      <w:pPr>
        <w:keepNext/>
        <w:keepLines/>
        <w:snapToGrid w:val="0"/>
        <w:spacing w:line="600" w:lineRule="exact"/>
        <w:jc w:val="center"/>
        <w:textAlignment w:val="baseline"/>
        <w:outlineLvl w:val="2"/>
        <w:rPr>
          <w:rFonts w:ascii="Times New Roman" w:hAnsi="Times New Roman" w:eastAsia="黑体" w:cs="Arial"/>
          <w:snapToGrid w:val="0"/>
          <w:kern w:val="0"/>
          <w:sz w:val="32"/>
          <w:szCs w:val="32"/>
        </w:rPr>
      </w:pPr>
      <w:r>
        <w:rPr>
          <w:rFonts w:ascii="Times New Roman" w:hAnsi="Times New Roman" w:eastAsia="黑体" w:cs="Arial"/>
          <w:snapToGrid w:val="0"/>
          <w:kern w:val="0"/>
          <w:sz w:val="32"/>
          <w:szCs w:val="32"/>
        </w:rPr>
        <w:t>第五章  车辆和人员安全秩序管理</w:t>
      </w:r>
    </w:p>
    <w:p w14:paraId="1F167DC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第二十八条</w:t>
      </w:r>
      <w:r>
        <w:rPr>
          <w:rFonts w:ascii="Times New Roman" w:hAnsi="Times New Roman" w:eastAsia="仿宋" w:cs="Arial"/>
          <w:snapToGrid w:val="0"/>
          <w:kern w:val="0"/>
          <w:sz w:val="32"/>
          <w:szCs w:val="21"/>
        </w:rPr>
        <w:t xml:space="preserve">  进入化工园区的车辆和人员应遵守道路交通管理相关法律法规和化工园区管理制度，按照安全提示和标识通行，禁止超速、超载、超限、人货混装及违规停放，服从工作人员的管理和指挥。</w:t>
      </w:r>
    </w:p>
    <w:p w14:paraId="3CE4930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第二十九条</w:t>
      </w:r>
      <w:r>
        <w:rPr>
          <w:rFonts w:ascii="Times New Roman" w:hAnsi="Times New Roman" w:eastAsia="仿宋" w:cs="Arial"/>
          <w:snapToGrid w:val="0"/>
          <w:kern w:val="0"/>
          <w:sz w:val="32"/>
          <w:szCs w:val="21"/>
        </w:rPr>
        <w:t xml:space="preserve">  鼓励化工园区内企业采用大巴车等方式通勤，减少非货运车辆入园数量，降低化工园区外来车辆安全风险。</w:t>
      </w:r>
    </w:p>
    <w:p w14:paraId="27E8B1C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第三十条</w:t>
      </w:r>
      <w:r>
        <w:rPr>
          <w:rFonts w:ascii="Times New Roman" w:hAnsi="Times New Roman" w:eastAsia="仿宋" w:cs="Arial"/>
          <w:snapToGrid w:val="0"/>
          <w:kern w:val="0"/>
          <w:sz w:val="32"/>
          <w:szCs w:val="21"/>
        </w:rPr>
        <w:t xml:space="preserve">  化工园区内企业相关车辆应停放在本企业用地范围内，占用企业红线外其他公共区域停车或另作他用的，应与常德经开区开发建设局进行协商。</w:t>
      </w:r>
    </w:p>
    <w:p w14:paraId="24F826E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第三十一条</w:t>
      </w:r>
      <w:r>
        <w:rPr>
          <w:rFonts w:ascii="Times New Roman" w:hAnsi="Times New Roman" w:eastAsia="仿宋" w:cs="Arial"/>
          <w:snapToGrid w:val="0"/>
          <w:kern w:val="0"/>
          <w:sz w:val="32"/>
          <w:szCs w:val="21"/>
        </w:rPr>
        <w:t xml:space="preserve">  进入化工园区的车辆应停放在停车场、公共停车泊位等划定停车区域，禁止停放在非划定停车区域。</w:t>
      </w:r>
    </w:p>
    <w:p w14:paraId="5EF889E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化工园区内公共场地和道路划定的公共停车泊位的管理由开发建设局按照城市道路和公共场地机动车有关管理规定执行。</w:t>
      </w:r>
    </w:p>
    <w:p w14:paraId="7FCF995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 xml:space="preserve">第三十二条 </w:t>
      </w:r>
      <w:r>
        <w:rPr>
          <w:rFonts w:ascii="Times New Roman" w:hAnsi="Times New Roman" w:eastAsia="仿宋" w:cs="Arial"/>
          <w:snapToGrid w:val="0"/>
          <w:kern w:val="0"/>
          <w:sz w:val="32"/>
          <w:szCs w:val="21"/>
        </w:rPr>
        <w:t xml:space="preserve"> 化工园区按不同路段和时段实施车辆限行、限速、限停管理，具体实施方案由产业发展局（安全监管局）、开发建设局协调公安（交警）部门制定。</w:t>
      </w:r>
    </w:p>
    <w:p w14:paraId="5A3B904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第三十三条</w:t>
      </w:r>
      <w:r>
        <w:rPr>
          <w:rFonts w:ascii="Times New Roman" w:hAnsi="Times New Roman" w:eastAsia="仿宋" w:cs="Arial"/>
          <w:snapToGrid w:val="0"/>
          <w:kern w:val="0"/>
          <w:sz w:val="32"/>
          <w:szCs w:val="21"/>
        </w:rPr>
        <w:t xml:space="preserve">  进入化工园区的车辆应证照齐全、手续完善、车况正常，遵守机动车辆行驶有关规定，文明行车，礼貌避让，不得逆向行驶。</w:t>
      </w:r>
    </w:p>
    <w:p w14:paraId="3A1BBC3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无证、无牌、假牌、假证、套牌等不合法的车辆一律禁止进入化工园区，一经发现，交由公安（交警）部门处理。</w:t>
      </w:r>
    </w:p>
    <w:p w14:paraId="550FF5C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第三十四条</w:t>
      </w:r>
      <w:r>
        <w:rPr>
          <w:rFonts w:ascii="Times New Roman" w:hAnsi="Times New Roman" w:eastAsia="仿宋" w:cs="Arial"/>
          <w:snapToGrid w:val="0"/>
          <w:kern w:val="0"/>
          <w:sz w:val="32"/>
          <w:szCs w:val="21"/>
        </w:rPr>
        <w:t xml:space="preserve">  进入化工园区的人员应当严格按照园区安全管理规定活动，不得扰乱正常的生产和社会秩序，不得在具有火灾、爆炸危险的场所吸烟、使用明火或者从事其他危及安全的活动。</w:t>
      </w:r>
    </w:p>
    <w:p w14:paraId="60539EF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第三十五条</w:t>
      </w:r>
      <w:r>
        <w:rPr>
          <w:rFonts w:ascii="Times New Roman" w:hAnsi="Times New Roman" w:eastAsia="仿宋" w:cs="Arial"/>
          <w:snapToGrid w:val="0"/>
          <w:kern w:val="0"/>
          <w:sz w:val="32"/>
          <w:szCs w:val="21"/>
        </w:rPr>
        <w:t xml:space="preserve">  对危险化学品运输车辆实行重点管理。</w:t>
      </w:r>
    </w:p>
    <w:p w14:paraId="0305556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1、所有进入化工园区的危险化学品运输车辆只允许从规定卡口入园，按照规定路线行驶。</w:t>
      </w:r>
    </w:p>
    <w:p w14:paraId="7EA904D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2、进入化工园区的危险化学品运输车辆应悬挂符合国家标准要求的标识牌，必须安装带有定位功能的监控终端，</w:t>
      </w:r>
    </w:p>
    <w:p w14:paraId="352B721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3、划定了危险化学品运输车辆专用车道的道路，应在专用车道行驶，不得逆向行驶，达不到专用车道划定条件的道路，应文明行车，礼貌避让。</w:t>
      </w:r>
    </w:p>
    <w:p w14:paraId="5EC4BFE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4、各危险化学品生产、储存、使用企业必须合理安排运输车辆批次，并根据企业需求在内部规定区域划定危险化学品运输车辆停放车位，严禁大批车辆集中聚集在企业门前排队入厂。</w:t>
      </w:r>
    </w:p>
    <w:p w14:paraId="3D041D0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5、卸货作业的重载车辆，可采取“车厂直卸”方式，直接驶入卸车区。在企业装车满载后的车辆应按规定线路驶往目的地，不得无故滞留。</w:t>
      </w:r>
    </w:p>
    <w:p w14:paraId="61DA49E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6、运输剧毒或易制爆危险化学品的车辆在途中如需长时间停车，驾驶人员、押运人员必须向辖区公安机关报告，并按规定采取安全措施。</w:t>
      </w:r>
    </w:p>
    <w:p w14:paraId="0E5294F1">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第六章  违规处理和黑名单管理</w:t>
      </w:r>
    </w:p>
    <w:p w14:paraId="1128897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第三十六条</w:t>
      </w:r>
      <w:r>
        <w:rPr>
          <w:rFonts w:ascii="Times New Roman" w:hAnsi="Times New Roman" w:eastAsia="仿宋" w:cs="Arial"/>
          <w:snapToGrid w:val="0"/>
          <w:kern w:val="0"/>
          <w:sz w:val="32"/>
          <w:szCs w:val="21"/>
        </w:rPr>
        <w:t xml:space="preserve">  产业发展局（安全监管局）应加强对企业的安全教育培训，各企业应加强对本单位从业人员、相关外部车辆驾驶人员的安全教育培训。</w:t>
      </w:r>
    </w:p>
    <w:p w14:paraId="5B2F532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第三十七条</w:t>
      </w:r>
      <w:r>
        <w:rPr>
          <w:rFonts w:ascii="Times New Roman" w:hAnsi="Times New Roman" w:eastAsia="仿宋" w:cs="Arial"/>
          <w:snapToGrid w:val="0"/>
          <w:kern w:val="0"/>
          <w:sz w:val="32"/>
          <w:szCs w:val="21"/>
        </w:rPr>
        <w:t xml:space="preserve">  产业发展局（安全监管局）有权对违反本办法规定的对象实行警告约谈、通报批评、限期整改、限制入园等惩戒措施，并建立违规档案。</w:t>
      </w:r>
    </w:p>
    <w:p w14:paraId="4195073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对不遵守封闭化管理规定的车辆、人员等，抄送所属单位（企业）处理，并在园区范围内进行通报批评。</w:t>
      </w:r>
    </w:p>
    <w:p w14:paraId="0D425D8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对多次违规或严重违规的车辆、人员和单位，纳入封闭化黑名单管理。</w:t>
      </w:r>
    </w:p>
    <w:p w14:paraId="460A3B9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对扰乱公共管理秩序的，移交公安（交警）部门依照相关法律法规进行处理。</w:t>
      </w:r>
    </w:p>
    <w:p w14:paraId="119CD0E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第三十八条</w:t>
      </w:r>
      <w:r>
        <w:rPr>
          <w:rFonts w:ascii="Times New Roman" w:hAnsi="Times New Roman" w:eastAsia="仿宋" w:cs="Arial"/>
          <w:snapToGrid w:val="0"/>
          <w:kern w:val="0"/>
          <w:sz w:val="32"/>
          <w:szCs w:val="21"/>
        </w:rPr>
        <w:t xml:space="preserve">  任何单位和个人不得损坏化工园区封闭化管理相关设备设施，包括实体围栏、道闸设备、监控设备、网络设备、执勤岗亭设施、定位卡等，损坏者须赔偿或修复相关设备设施（含安装等）；对故意损坏相关设备设施的，由公安机关依照相关法律法规进行处理；构成犯罪的，依法移送司法机关追究刑事责任。</w:t>
      </w:r>
    </w:p>
    <w:p w14:paraId="4806AE2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第三十九条</w:t>
      </w:r>
      <w:r>
        <w:rPr>
          <w:rFonts w:ascii="Times New Roman" w:hAnsi="Times New Roman" w:eastAsia="仿宋" w:cs="Arial"/>
          <w:snapToGrid w:val="0"/>
          <w:kern w:val="0"/>
          <w:sz w:val="32"/>
          <w:szCs w:val="21"/>
        </w:rPr>
        <w:t xml:space="preserve">  存在下列行为及情形之一的车辆和人员，列入封闭化黑名单：</w:t>
      </w:r>
    </w:p>
    <w:p w14:paraId="435389D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1、发生超速、违停、不按车道通行、不按时段通行等不安全行为的危险化学品运输车辆，每一类不安全行为累计3次以上的；</w:t>
      </w:r>
    </w:p>
    <w:p w14:paraId="76DB28F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2、发生乱抛乱洒行为3次以上的；</w:t>
      </w:r>
    </w:p>
    <w:p w14:paraId="50BF3FE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3、驾驶车辆故意堵塞卡口的；</w:t>
      </w:r>
    </w:p>
    <w:p w14:paraId="540284C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4、危险化学品运输车辆不按封闭化管理规定拿取、归还和使用定位卡或故意关闭或损毁的；</w:t>
      </w:r>
    </w:p>
    <w:p w14:paraId="7FAC078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5、破坏、损毁封闭化管理相关设备设施拒不赔偿或肇事逃逸的；</w:t>
      </w:r>
    </w:p>
    <w:p w14:paraId="05A8B17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6、故意冲卡、闯卡等擅自进入封闭管理区域的；</w:t>
      </w:r>
    </w:p>
    <w:p w14:paraId="33ACCE5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7、超高、超宽车辆未提前申报，损毁园区公共设施的；</w:t>
      </w:r>
    </w:p>
    <w:p w14:paraId="07759F1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8、不服从管理、辱骂、殴打封闭化管理人员的；</w:t>
      </w:r>
    </w:p>
    <w:p w14:paraId="46656FB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9、发生其他可能造成严重影响行为的。</w:t>
      </w:r>
    </w:p>
    <w:p w14:paraId="3C7B1C4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第四十条</w:t>
      </w:r>
      <w:r>
        <w:rPr>
          <w:rFonts w:ascii="Times New Roman" w:hAnsi="Times New Roman" w:eastAsia="仿宋" w:cs="Arial"/>
          <w:snapToGrid w:val="0"/>
          <w:kern w:val="0"/>
          <w:sz w:val="32"/>
          <w:szCs w:val="21"/>
        </w:rPr>
        <w:t xml:space="preserve">  列入封闭化黑名单的，由产业发展局（安全监管局）执行以下要求：</w:t>
      </w:r>
    </w:p>
    <w:p w14:paraId="59F8284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1、通过安全风险智能化管控平台短信提醒或平台管理人员电话告知，限制3个月不允许入园，并在园区公布。</w:t>
      </w:r>
    </w:p>
    <w:p w14:paraId="202F1CB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2、须本人前往产业发展局（安全监管局）接受学习教育并参加封闭化管理规定考试通过后，方可移出黑名单。</w:t>
      </w:r>
    </w:p>
    <w:p w14:paraId="4A6E67C9">
      <w:pPr>
        <w:ind w:firstLine="640"/>
        <w:rPr>
          <w:rFonts w:eastAsia="仿宋_GB2312"/>
          <w:szCs w:val="32"/>
        </w:rPr>
        <w:sectPr>
          <w:pgSz w:w="11906" w:h="16838"/>
          <w:pgMar w:top="1440" w:right="1800" w:bottom="1440" w:left="1800" w:header="851" w:footer="992" w:gutter="0"/>
          <w:cols w:space="720" w:num="1"/>
          <w:docGrid w:type="lines" w:linePitch="312" w:charSpace="0"/>
        </w:sectPr>
      </w:pPr>
      <w:r>
        <w:rPr>
          <w:rFonts w:ascii="Times New Roman" w:hAnsi="Times New Roman" w:eastAsia="仿宋" w:cs="Arial"/>
          <w:snapToGrid w:val="0"/>
          <w:kern w:val="0"/>
          <w:sz w:val="32"/>
          <w:szCs w:val="21"/>
        </w:rPr>
        <w:t>3、累计3次进入黑名单的，自第3次进入黑名单起6个月不得进入化工园区。</w:t>
      </w:r>
    </w:p>
    <w:p w14:paraId="08905DCB">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53" w:name="_Toc231863926"/>
      <w:r>
        <w:rPr>
          <w:rFonts w:ascii="Times New Roman" w:hAnsi="Times New Roman" w:eastAsia="方正小标宋简体" w:cs="Arial"/>
          <w:snapToGrid w:val="0"/>
          <w:kern w:val="0"/>
          <w:sz w:val="44"/>
          <w:szCs w:val="21"/>
        </w:rPr>
        <w:t>公用工程安全管理制度</w:t>
      </w:r>
      <w:bookmarkEnd w:id="53"/>
    </w:p>
    <w:p w14:paraId="256AEB12">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1C8DF78">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6231AE7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加强常德经济技术开发区枫树岗化工片区（以下简称“化工园区”）基础设施一体化建设，实现公用工程专业化、规范化管理运营，根据《中华人民共和国安全生产法》《危险化学品输送管道安全管理规定》《化工园区公共管廊管理规程》等法律法规和标准规范，制定本制度。</w:t>
      </w:r>
    </w:p>
    <w:p w14:paraId="26FF346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本制度适用于化工园区供水、供电、供气和公共管廊等公用工程安全管理。</w:t>
      </w:r>
    </w:p>
    <w:p w14:paraId="278ACC4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本制度所称化工园区公共管廊，是指建在化工园区内，用于敷设各个厂际管道的公用管廊。</w:t>
      </w:r>
    </w:p>
    <w:p w14:paraId="12CABC3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公用工程安全管理按照“谁建设、谁运营、谁管理”原则，由投资建设主体负责建设、运营、维护和管理。</w:t>
      </w:r>
    </w:p>
    <w:p w14:paraId="06A38BA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管委会所属内设机构、国有企业应依法依规、各司其职，共同做好公用工程的监管协调工作。</w:t>
      </w:r>
    </w:p>
    <w:p w14:paraId="4B327C2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1、开发建设局负责职能范围内的公用工程规划和项目谋划实施，对建设过程实施全过程监督管理，对运行安全实施日常监督管理；负责协调供水、供电、供气单位安全管理工作。</w:t>
      </w:r>
    </w:p>
    <w:p w14:paraId="6AD2049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2、开发建设局负责协调市相关部门办理由管委会实施的公用工程建设项目立项审批等相关手续。</w:t>
      </w:r>
    </w:p>
    <w:p w14:paraId="1606EA9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3、产业发展局（安全监管局）负责配合开发建设局协调办理项目安评、环评等手续；负责配合有关行业主管部门对存在上下游关系的企业之间自行建设用于输送产品或原料的企业间管道进行安全管理。</w:t>
      </w:r>
    </w:p>
    <w:p w14:paraId="2261DB7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4、德源集团负责管委会授权的公用工程建设和运行管理，建立完善运行管理制度。</w:t>
      </w:r>
    </w:p>
    <w:p w14:paraId="1F2CA0A6">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公共管廊和企业间管廊管理</w:t>
      </w:r>
    </w:p>
    <w:p w14:paraId="0E1BB9E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产业发展局（安全监管局）、开发建设局应结合化工园区企业生产、土地利用、物流运输和公用工程等现状条件，在满足企业安全生产需求和园区开发建设需要的基础上，开展公共管廊建设需求分析，编制需求分析报告。</w:t>
      </w:r>
    </w:p>
    <w:p w14:paraId="58B886B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根据化工园区公共管廊建设需求分析结果，有建设需求的，应结合总体规划、产业规划、企业上下游关系、公用工程配套等，科学合理编制公共管廊规划建设方案。</w:t>
      </w:r>
    </w:p>
    <w:p w14:paraId="3A1547F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公共管廊建设前，开发建设局应制定完善公共管廊管理制度，明确规划和设计、建设、运行（包括准入管理、施工管理、巡检管理、维护保养、安全管理、数字化管理）、事故与应急等要求，提出公共管廊设施保护措施和禁止行为，符合《化工园区公共管廊管理规程》（GB/T36762）有关要求。</w:t>
      </w:r>
    </w:p>
    <w:p w14:paraId="5D75AF2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公共管廊管理应采取在线检测、建立安全管理档案、风险评估模型分析、设置检测报警装置等方式。</w:t>
      </w:r>
    </w:p>
    <w:p w14:paraId="06CC893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企业间管道建设单位应进行正规设计，依法办理安全条件审查、安全设施设计审查和安全设施竣工验收手续。</w:t>
      </w:r>
    </w:p>
    <w:p w14:paraId="6FB9B37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企业间危险化学品输送管道规划、建设、运行应符合《危险化学品输送管道安全管理规定》（原国家安全生产监督管理总局令第43号）。</w:t>
      </w:r>
    </w:p>
    <w:p w14:paraId="4227A37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企业间管道的物料输送企业和使用企业应签订安全管理协议，明确安全管理职责，建立安全管理和巡护制度，将管道安全纳入企业安全生产工作中统一协调、管理，编制管道应急专项预案，定期组织开展应急演练，落实和储备相应的应急物资。</w:t>
      </w:r>
    </w:p>
    <w:p w14:paraId="05B6089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管道责任企业应采取管道保护措施，包括但不限于设置警示标志、防撞设施，具备条件的情况下应安装监控设备，防止恶意破坏防治设施。</w:t>
      </w:r>
    </w:p>
    <w:p w14:paraId="3374108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企业间管道应禁止采取以下行为：</w:t>
      </w:r>
    </w:p>
    <w:p w14:paraId="06A9C63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1、管道范围下无故滞留。</w:t>
      </w:r>
    </w:p>
    <w:p w14:paraId="3A25B29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2、管道下堆放杂物。</w:t>
      </w:r>
    </w:p>
    <w:p w14:paraId="53408AA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3、周边排放腐蚀性气体。</w:t>
      </w:r>
    </w:p>
    <w:p w14:paraId="6E139C3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4、周边敷设管道。</w:t>
      </w:r>
    </w:p>
    <w:p w14:paraId="015D576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5、拆除安全标识。</w:t>
      </w:r>
    </w:p>
    <w:p w14:paraId="74EFE24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6、其他威胁管道安全的行为。</w:t>
      </w:r>
    </w:p>
    <w:p w14:paraId="31C8133C">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其他公用工程管理</w:t>
      </w:r>
    </w:p>
    <w:p w14:paraId="6396C39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对管委会或所属国有企业投资建设的供水、供电、供气等公用工程，开发建设局应加强日常监督管理，督促指导运营单位落实安全生产主体责任，与使用单位签订安全生产管理协议，依法开展安全检查。</w:t>
      </w:r>
    </w:p>
    <w:p w14:paraId="29D9FC5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对其他供水、供电、供气等公用工程运营单位，开发建设局应加强沟通协调，确保稳定供应，因特殊情况需中断供输的，应提前通知相关使用单位，协调采取应急措施保障水电气的基本供应，避免引发生产安全事故。</w:t>
      </w:r>
    </w:p>
    <w:p w14:paraId="2AB2DEA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发现供水、供电、供气等公用工程存在安全风险隐患、违法违规行为的，应及时移交行业主管部门依法处理。</w:t>
      </w:r>
    </w:p>
    <w:p w14:paraId="2B13FA2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供水、供电、供气等公用工程中断供输可能影响企业安全生产的，产业发展局（安全监管局）应组织专家开展指导服务，指导企业制定应急预案，落实安全防范措施。</w:t>
      </w:r>
    </w:p>
    <w:p w14:paraId="38710D20">
      <w:pPr>
        <w:ind w:firstLine="640"/>
        <w:sectPr>
          <w:pgSz w:w="11906" w:h="16838"/>
          <w:pgMar w:top="1440" w:right="1800" w:bottom="1440" w:left="1800" w:header="851" w:footer="992" w:gutter="0"/>
          <w:cols w:space="720" w:num="1"/>
          <w:docGrid w:type="lines" w:linePitch="312" w:charSpace="0"/>
        </w:sectPr>
      </w:pPr>
    </w:p>
    <w:p w14:paraId="641165B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A78A05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0ACB2B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C506F9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4D5E9A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D71271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8F5C0D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26F42BB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03DA7A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85596E5">
      <w:pPr>
        <w:keepNext/>
        <w:keepLines/>
        <w:snapToGrid w:val="0"/>
        <w:spacing w:line="600" w:lineRule="exact"/>
        <w:jc w:val="center"/>
        <w:textAlignment w:val="baseline"/>
        <w:outlineLvl w:val="0"/>
        <w:rPr>
          <w:rFonts w:hint="eastAsia" w:ascii="方正小标宋简体" w:hAnsi="方正小标宋简体" w:eastAsia="方正小标宋简体" w:cs="方正小标宋简体"/>
          <w:b/>
          <w:snapToGrid w:val="0"/>
          <w:kern w:val="44"/>
          <w:sz w:val="48"/>
          <w:szCs w:val="21"/>
        </w:rPr>
      </w:pPr>
      <w:bookmarkStart w:id="54" w:name="_Toc129084339"/>
      <w:bookmarkStart w:id="55" w:name="_Toc30030"/>
      <w:bookmarkStart w:id="56" w:name="_Toc107141990"/>
      <w:bookmarkStart w:id="57" w:name="_Toc428649207"/>
      <w:r>
        <w:rPr>
          <w:rFonts w:hint="eastAsia" w:ascii="方正小标宋简体" w:hAnsi="方正小标宋简体" w:eastAsia="方正小标宋简体" w:cs="方正小标宋简体"/>
          <w:b/>
          <w:snapToGrid w:val="0"/>
          <w:kern w:val="44"/>
          <w:sz w:val="48"/>
          <w:szCs w:val="21"/>
        </w:rPr>
        <w:t>第五部分 建设项目类安全管理制度</w:t>
      </w:r>
      <w:bookmarkEnd w:id="54"/>
      <w:bookmarkEnd w:id="55"/>
      <w:bookmarkEnd w:id="56"/>
      <w:bookmarkEnd w:id="57"/>
    </w:p>
    <w:p w14:paraId="668AB83E">
      <w:pPr>
        <w:ind w:firstLine="640"/>
        <w:rPr>
          <w:rFonts w:hint="eastAsia" w:ascii="方正小标宋简体" w:hAnsi="方正小标宋简体" w:eastAsia="方正小标宋简体" w:cs="方正小标宋简体"/>
        </w:rPr>
        <w:sectPr>
          <w:pgSz w:w="11906" w:h="16838"/>
          <w:pgMar w:top="1440" w:right="1800" w:bottom="1440" w:left="1800" w:header="851" w:footer="992" w:gutter="0"/>
          <w:cols w:space="720" w:num="1"/>
          <w:docGrid w:type="lines" w:linePitch="312" w:charSpace="0"/>
        </w:sectPr>
      </w:pPr>
    </w:p>
    <w:p w14:paraId="72CAFDB5">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44"/>
        </w:rPr>
      </w:pPr>
      <w:bookmarkStart w:id="58" w:name="_Toc1425478732"/>
      <w:bookmarkStart w:id="59" w:name="_Toc1457518641"/>
      <w:bookmarkStart w:id="60" w:name="_Toc1830287466"/>
      <w:bookmarkStart w:id="61" w:name="_Toc734242285"/>
      <w:r>
        <w:rPr>
          <w:rFonts w:ascii="Times New Roman" w:hAnsi="Times New Roman" w:eastAsia="方正小标宋简体" w:cs="Arial"/>
          <w:snapToGrid w:val="0"/>
          <w:kern w:val="0"/>
          <w:sz w:val="44"/>
          <w:szCs w:val="44"/>
        </w:rPr>
        <w:t>入园项目联合审查管理办法</w:t>
      </w:r>
      <w:bookmarkEnd w:id="58"/>
      <w:bookmarkEnd w:id="59"/>
      <w:bookmarkEnd w:id="60"/>
      <w:bookmarkEnd w:id="61"/>
    </w:p>
    <w:p w14:paraId="70740B20">
      <w:pPr>
        <w:spacing w:line="560" w:lineRule="exact"/>
        <w:ind w:firstLine="420" w:firstLineChars="200"/>
        <w:rPr>
          <w:rFonts w:ascii="Times New Roman" w:hAnsi="Times New Roman" w:eastAsia="宋体" w:cs="Arial"/>
          <w:snapToGrid w:val="0"/>
          <w:szCs w:val="21"/>
        </w:rPr>
      </w:pPr>
    </w:p>
    <w:p w14:paraId="2EDBCCE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为进一步提高化工园区安全生产能力，有效防范和遏制安全事故的发生，根据应急管理部关于《危险化学品生产建设项目安全风险防控指南（试行）》相关规定，结合化工园区实际，特制定本管理办法。</w:t>
      </w:r>
    </w:p>
    <w:p w14:paraId="41517524">
      <w:pPr>
        <w:keepNext/>
        <w:keepLines/>
        <w:snapToGrid w:val="0"/>
        <w:spacing w:line="600" w:lineRule="exact"/>
        <w:jc w:val="center"/>
        <w:textAlignment w:val="baseline"/>
        <w:outlineLvl w:val="2"/>
        <w:rPr>
          <w:rFonts w:ascii="Times New Roman" w:hAnsi="Times New Roman" w:eastAsia="黑体" w:cs="Arial"/>
          <w:snapToGrid w:val="0"/>
          <w:kern w:val="0"/>
          <w:sz w:val="32"/>
          <w:szCs w:val="32"/>
        </w:rPr>
      </w:pPr>
      <w:bookmarkStart w:id="62" w:name="_Toc20645"/>
      <w:r>
        <w:rPr>
          <w:rFonts w:ascii="Times New Roman" w:hAnsi="Times New Roman" w:eastAsia="黑体" w:cs="Arial"/>
          <w:snapToGrid w:val="0"/>
          <w:kern w:val="0"/>
          <w:sz w:val="32"/>
          <w:szCs w:val="32"/>
        </w:rPr>
        <w:t>第一章  准入条件</w:t>
      </w:r>
      <w:bookmarkEnd w:id="62"/>
    </w:p>
    <w:p w14:paraId="6D07C622">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第一条  项目类别</w:t>
      </w:r>
    </w:p>
    <w:p w14:paraId="5E49014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入园项目须符合国家及省级产业政策、化工园区产业发展规划，符合国家规定的产业目录及《长江经济带发展负面清单指南（试行，2022年版）》要求。对国家产业政策鼓励类项目，应积极引导入园；对产能过剩、国家产业政策限制类、生产工艺技术装备落后及清洁生产水平低的项目，须严格控制入园；对国家或省明令淘汰的生产工艺、装备及落后产品相关项目，应全面禁止入园。</w:t>
      </w:r>
    </w:p>
    <w:p w14:paraId="31C41063">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第二条  集约用地</w:t>
      </w:r>
    </w:p>
    <w:p w14:paraId="49B573E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化工园区新引进项目工业用地固定资产投入强度、地均收入、地均税收参考湖南省自然资源厅《关于服务“五好”园区促进节约集约用地的若干措施》（湘自资发〔2021〕47号）文件指标执行。</w:t>
      </w:r>
    </w:p>
    <w:p w14:paraId="512BC812">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第三条  工艺设备</w:t>
      </w:r>
    </w:p>
    <w:p w14:paraId="17A7370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禁止使用《产业结构调整指导目录（2024年本）》《市场准入负面清单（2025年版）》《鼓励外商投资产业指导目录（2022年版）》中属于限制类和淘汰类的工艺。禁止使用《淘汰落后危险化学品安全生产工艺技术设备目录》《高耗能落后机电设备（产品）淘汰目录》《高耗水工艺、技术和装备淘汰目录》的工艺，优先采用安全、高效、节能、低耗的先进技术、工艺和设备，并且符合化工园区“产业发展指引”和“禁限控目录”的规定。</w:t>
      </w:r>
    </w:p>
    <w:p w14:paraId="04F5DA63">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第四条  反应安全风险评估</w:t>
      </w:r>
    </w:p>
    <w:p w14:paraId="66C7C43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精细化工项目应按规定进行反应安全风险评估，并确定反应工艺危险度等级。涉及硝化、氯化、氟化、重氮化、过氧化工艺的精细化工生产建设项目应进行有关产品生产工艺全流程的反应安全风险评估，并对相关原料、中间产品、产品及副产物进行热稳定性测试和蒸馏、干燥、储存等单元操作的风险评估。反应工艺危险度为I、Ⅱ级的项目可准入；危险度为Ⅲ级项目经专家认定，安全设施设置符合要求情况下可降低反应风险，方可允许准入；危险度为Ⅳ级项目禁止准入。</w:t>
      </w:r>
    </w:p>
    <w:p w14:paraId="18BF0098">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第五条  自动化控制程度</w:t>
      </w:r>
    </w:p>
    <w:p w14:paraId="72868AC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建设项目应满足国家法律法规、规章及标准规范，关于自动化系统装备建设的要求，自动化水平应居于国内同行业先进水平，实</w:t>
      </w:r>
      <w:r>
        <w:rPr>
          <w:rFonts w:ascii="Times New Roman" w:hAnsi="Times New Roman" w:eastAsia="仿宋" w:cs="Arial"/>
          <w:snapToGrid w:val="0"/>
          <w:kern w:val="0"/>
          <w:sz w:val="32"/>
          <w:szCs w:val="21"/>
          <w:lang w:eastAsia="en-US"/>
        </w:rPr>
        <mc:AlternateContent>
          <mc:Choice Requires="wps">
            <w:drawing>
              <wp:anchor distT="0" distB="0" distL="114300" distR="114300" simplePos="0" relativeHeight="251659264" behindDoc="0" locked="0" layoutInCell="1" allowOverlap="1">
                <wp:simplePos x="0" y="0"/>
                <wp:positionH relativeFrom="column">
                  <wp:posOffset>5097780</wp:posOffset>
                </wp:positionH>
                <wp:positionV relativeFrom="paragraph">
                  <wp:posOffset>208280</wp:posOffset>
                </wp:positionV>
                <wp:extent cx="109855" cy="273050"/>
                <wp:effectExtent l="0" t="0" r="0" b="0"/>
                <wp:wrapNone/>
                <wp:docPr id="1" name="文本框 7"/>
                <wp:cNvGraphicFramePr/>
                <a:graphic xmlns:a="http://schemas.openxmlformats.org/drawingml/2006/main">
                  <a:graphicData uri="http://schemas.microsoft.com/office/word/2010/wordprocessingShape">
                    <wps:wsp>
                      <wps:cNvSpPr/>
                      <wps:spPr>
                        <a:xfrm>
                          <a:off x="0" y="0"/>
                          <a:ext cx="109855" cy="273050"/>
                        </a:xfrm>
                        <a:prstGeom prst="rect">
                          <a:avLst/>
                        </a:prstGeom>
                        <a:noFill/>
                        <a:ln>
                          <a:noFill/>
                        </a:ln>
                      </wps:spPr>
                      <wps:txbx>
                        <w:txbxContent>
                          <w:p w14:paraId="2F54CA6B">
                            <w:pPr>
                              <w:widowControl/>
                              <w:kinsoku w:val="0"/>
                              <w:autoSpaceDE w:val="0"/>
                              <w:autoSpaceDN w:val="0"/>
                              <w:adjustRightInd w:val="0"/>
                              <w:snapToGrid w:val="0"/>
                              <w:spacing w:before="19" w:line="240" w:lineRule="auto"/>
                              <w:ind w:right="2" w:firstLine="600" w:firstLineChars="200"/>
                              <w:jc w:val="right"/>
                              <w:textAlignment w:val="baseline"/>
                              <w:rPr>
                                <w:rFonts w:hint="eastAsia" w:ascii="宋体" w:hAnsi="宋体" w:eastAsia="宋体" w:cs="宋体"/>
                                <w:snapToGrid w:val="0"/>
                                <w:color w:val="000000"/>
                                <w:kern w:val="0"/>
                                <w:sz w:val="30"/>
                                <w:szCs w:val="30"/>
                                <w:lang w:eastAsia="en-US"/>
                              </w:rPr>
                            </w:pPr>
                          </w:p>
                        </w:txbxContent>
                      </wps:txbx>
                      <wps:bodyPr wrap="square" lIns="0" tIns="0" rIns="0" bIns="0" upright="1"/>
                    </wps:wsp>
                  </a:graphicData>
                </a:graphic>
              </wp:anchor>
            </w:drawing>
          </mc:Choice>
          <mc:Fallback>
            <w:pict>
              <v:rect id="文本框 7" o:spid="_x0000_s1026" o:spt="1" style="position:absolute;left:0pt;margin-left:401.4pt;margin-top:16.4pt;height:21.5pt;width:8.65pt;z-index:251659264;mso-width-relative:page;mso-height-relative:page;" filled="f" stroked="f" coordsize="21600,21600" o:gfxdata="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LbgQVtkAAAAJAQAADwAAAAAAAAABACAAAAAiAAAAZHJzL2Rvd25yZXYueG1s&#10;UEsBAhQAFAAAAAgAh07iQL/JVDi+AQAAdQMAAA4AAAAAAAAAAQAgAAAAKAEAAGRycy9lMm9Eb2Mu&#10;eG1sUEsFBgAAAAAGAAYAWQEAAFgFAAAAAA==&#10;">
                <v:fill on="f" focussize="0,0"/>
                <v:stroke on="f"/>
                <v:imagedata o:title=""/>
                <o:lock v:ext="edit" aspectratio="f"/>
                <v:textbox inset="0mm,0mm,0mm,0mm">
                  <w:txbxContent>
                    <w:p w14:paraId="2F54CA6B">
                      <w:pPr>
                        <w:widowControl/>
                        <w:kinsoku w:val="0"/>
                        <w:autoSpaceDE w:val="0"/>
                        <w:autoSpaceDN w:val="0"/>
                        <w:adjustRightInd w:val="0"/>
                        <w:snapToGrid w:val="0"/>
                        <w:spacing w:before="19" w:line="240" w:lineRule="auto"/>
                        <w:ind w:right="2" w:firstLine="600" w:firstLineChars="200"/>
                        <w:jc w:val="right"/>
                        <w:textAlignment w:val="baseline"/>
                        <w:rPr>
                          <w:rFonts w:hint="eastAsia" w:ascii="宋体" w:hAnsi="宋体" w:eastAsia="宋体" w:cs="宋体"/>
                          <w:snapToGrid w:val="0"/>
                          <w:color w:val="000000"/>
                          <w:kern w:val="0"/>
                          <w:sz w:val="30"/>
                          <w:szCs w:val="30"/>
                          <w:lang w:eastAsia="en-US"/>
                        </w:rPr>
                      </w:pPr>
                    </w:p>
                  </w:txbxContent>
                </v:textbox>
              </v:rect>
            </w:pict>
          </mc:Fallback>
        </mc:AlternateContent>
      </w:r>
      <w:r>
        <w:rPr>
          <w:rFonts w:ascii="Times New Roman" w:hAnsi="Times New Roman" w:eastAsia="仿宋" w:cs="Arial"/>
          <w:snapToGrid w:val="0"/>
          <w:kern w:val="0"/>
          <w:sz w:val="32"/>
          <w:szCs w:val="21"/>
        </w:rPr>
        <w:t>现最大程度减少现场作业人员数量。涉及硝化、氯化、氟化、重氮化、过氧化等高危工艺装置的上下游配套装置应实现原料处理、反应工序、精馏精制和产品储存（包装）等全流程自动化。</w:t>
      </w:r>
    </w:p>
    <w:p w14:paraId="2E87D488">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第六条  能耗能效</w:t>
      </w:r>
    </w:p>
    <w:p w14:paraId="2BF13B3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严格执行《湖南省固定资产投资项目节能审查和碳排放评价实施办法》，切实加强节能审查与本地区能耗双控目标衔接，在项目设计、施工及投入生产过程中，应严格落实资源能源节约有关法律法规，推进能源节约，提高能源利用效率。根据《高耗能行业重点领域能效标杆水平和基准水平（2023年版）》，新建项目单位产品能耗达到国内先进水平，高耗能行业重点领域能效达到标杆水平。</w:t>
      </w:r>
    </w:p>
    <w:p w14:paraId="6078EC8A">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第七条  生态环保</w:t>
      </w:r>
    </w:p>
    <w:p w14:paraId="1A17623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严格执行《环境影响评价法》《建设项目环境保护管理条例》 《建设项目环境影响评价分类管理名录》等有关规定，规范新建、 改建、扩建等建设项目环评审批程序。入园项目须满足“三线一单”生态环境分区管控要求，污染物排放总量不得突破区域生态环境承载能力，环境风险可控。严格执行项目环境影响评价、环保设施“三同时”制度。</w:t>
      </w:r>
    </w:p>
    <w:p w14:paraId="0E20C4E2">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第八条  安全生产</w:t>
      </w:r>
    </w:p>
    <w:p w14:paraId="1A2DDC3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认真执行建设项目安全设施“三同时”制度，相关企业在新建、改建、扩建工程项目时，安全设施必须与主体工程同时设计、同时施工、同时投入生产和使用。要对项目的设计、施工、试生产（运行）、竣工验收等各个环节严格审查把关，确保项目安全水平符合要求，通过从源头上提高准入门槛，提高企业的安全生产水平。国家或省明确淘汰、禁止使用、危及安全的生产工艺或设备一律不予准入。</w:t>
      </w:r>
    </w:p>
    <w:p w14:paraId="6C65A96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w:t>
      </w:r>
      <w:r>
        <w:rPr>
          <w:rFonts w:ascii="Times New Roman" w:hAnsi="Times New Roman" w:eastAsia="仿宋" w:cs="Arial"/>
          <w:b/>
          <w:bCs/>
          <w:snapToGrid w:val="0"/>
          <w:kern w:val="0"/>
          <w:sz w:val="32"/>
          <w:szCs w:val="21"/>
        </w:rPr>
        <w:t>人才配备</w:t>
      </w:r>
    </w:p>
    <w:p w14:paraId="131FDD0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项目应考虑常德本地产业技术人员储备或大中专院校专业人才储备情况。</w:t>
      </w:r>
    </w:p>
    <w:p w14:paraId="487054C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bookmarkStart w:id="63" w:name="_Toc31947"/>
      <w:r>
        <w:rPr>
          <w:rFonts w:ascii="Times New Roman" w:hAnsi="Times New Roman" w:eastAsia="黑体" w:cs="Arial"/>
          <w:snapToGrid w:val="0"/>
          <w:kern w:val="0"/>
          <w:sz w:val="32"/>
          <w:szCs w:val="21"/>
        </w:rPr>
        <w:t>第二章  项目评估</w:t>
      </w:r>
      <w:bookmarkEnd w:id="63"/>
    </w:p>
    <w:p w14:paraId="187219D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区招商部门对拟入园项目组织专家及产业、安全、环保、节能、自然资源等主管部门对拟入园项目，围绕合规性、产业发展、技术水平、安全风险控制、污染控制、应急管理、能源消耗控制、资源利用、经济效益等方面进行综合评估，涉及“两重点一重大”和能耗较大的项目，各相关职能部门应事先征询省市应急、生态环境、发改、工信、能源等有关部门的意见，前置审批的项目需提供项目前置的审批意见书。项目评估合格，符合入园条件的，方可入园落地建设。各项目严格按照以下九点（但不限于此）进行评估：</w:t>
      </w:r>
    </w:p>
    <w:p w14:paraId="6C55E6A7">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第十条  合规性</w:t>
      </w:r>
    </w:p>
    <w:p w14:paraId="367E928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1、政策合规——准入项目需符合国家、省、市相关产业政策以及国际环境公约的要求。</w:t>
      </w:r>
    </w:p>
    <w:p w14:paraId="30C8E4B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2、规划合规——准入项目需符合本地国土空间总体规划、控制性详细规划、产业发展规划、安全专项规划、环保专项规划等要求。</w:t>
      </w:r>
    </w:p>
    <w:p w14:paraId="25FA405B">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第十一条  产业发展</w:t>
      </w:r>
    </w:p>
    <w:p w14:paraId="0C83A5A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1.产业定位——准入项目原则上与园区现有企业具有一定关联度，能构成上下游产业链，或具有一定产业特色，或具有一定功能配套产业。</w:t>
      </w:r>
    </w:p>
    <w:p w14:paraId="31777D5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2.市场前景——宜具有一定生命周期、市场地位、市场前景、市场增长率。</w:t>
      </w:r>
    </w:p>
    <w:p w14:paraId="500F715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3.产业化条件——宜具有稳定的原辅料供应，有良好的产品市场半径。</w:t>
      </w:r>
    </w:p>
    <w:p w14:paraId="7B7C7D3B">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第十二条  技术水平</w:t>
      </w:r>
    </w:p>
    <w:p w14:paraId="71DD441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1.技术成熟度——对项目的生产工艺和生产装备水平进行评估。</w:t>
      </w:r>
    </w:p>
    <w:p w14:paraId="5089B90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2.技术可获得性——有可靠的技术来源。</w:t>
      </w:r>
    </w:p>
    <w:p w14:paraId="4E8B8AC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3.清洁生产——应对项目清洁生产水平进行评估。</w:t>
      </w:r>
    </w:p>
    <w:p w14:paraId="5A5789DF">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第十三条  安全风险控制</w:t>
      </w:r>
    </w:p>
    <w:p w14:paraId="6B5115D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1.本质安全——申请准入项目必须完成重点监管的危险化工工艺、重点监管的危险化学品、大宗危险化学品储运、危险化学品重大危险源、精细化工反应安全风险评估，对项目自动化水平提供说明材料。</w:t>
      </w:r>
    </w:p>
    <w:p w14:paraId="20BFAD2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2.防护距离——项目内部防护间距需符合相应国家标</w:t>
      </w:r>
      <w:r>
        <w:rPr>
          <w:rFonts w:hint="eastAsia" w:ascii="Times New Roman" w:hAnsi="Times New Roman" w:eastAsia="仿宋" w:cs="Arial"/>
          <w:snapToGrid w:val="0"/>
          <w:kern w:val="0"/>
          <w:sz w:val="32"/>
          <w:szCs w:val="21"/>
        </w:rPr>
        <w:t>准和</w:t>
      </w:r>
      <w:r>
        <w:rPr>
          <w:rFonts w:ascii="Times New Roman" w:hAnsi="Times New Roman" w:eastAsia="仿宋" w:cs="Arial"/>
          <w:snapToGrid w:val="0"/>
          <w:kern w:val="0"/>
          <w:sz w:val="32"/>
          <w:szCs w:val="21"/>
        </w:rPr>
        <w:t>规范要求，外部安全防护距离必须符合要求。</w:t>
      </w:r>
    </w:p>
    <w:p w14:paraId="746369B1">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第十四条  污染控制</w:t>
      </w:r>
    </w:p>
    <w:p w14:paraId="24DA9D0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1、产业定位——准入项目原则上与园区现有企业具有一定关联度，能构成上下游产业链，或具有一定产业特色，或具有一定功能配套产业。</w:t>
      </w:r>
    </w:p>
    <w:p w14:paraId="71C77EA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2、市场前景——宜具有一定生命周期、市场地位、市场前景、市场增长率。</w:t>
      </w:r>
    </w:p>
    <w:p w14:paraId="0D525D01">
      <w:pPr>
        <w:snapToGrid w:val="0"/>
        <w:spacing w:line="600" w:lineRule="exact"/>
        <w:ind w:firstLine="640" w:firstLineChars="200"/>
        <w:textAlignment w:val="baseline"/>
        <w:rPr>
          <w:rFonts w:ascii="Times New Roman" w:hAnsi="Times New Roman" w:eastAsia="仿宋_GB2312" w:cs="Arial"/>
          <w:snapToGrid w:val="0"/>
          <w:kern w:val="0"/>
          <w:sz w:val="32"/>
          <w:szCs w:val="32"/>
        </w:rPr>
      </w:pPr>
      <w:r>
        <w:rPr>
          <w:rFonts w:ascii="Times New Roman" w:hAnsi="Times New Roman" w:eastAsia="仿宋" w:cs="Arial"/>
          <w:snapToGrid w:val="0"/>
          <w:kern w:val="0"/>
          <w:sz w:val="32"/>
          <w:szCs w:val="21"/>
        </w:rPr>
        <w:t>3、产业化条件——宜具有稳定的原辅料供应，有良好的产品市场半径</w:t>
      </w:r>
      <w:r>
        <w:rPr>
          <w:rFonts w:ascii="Times New Roman" w:hAnsi="Times New Roman" w:eastAsia="仿宋_GB2312" w:cs="Arial"/>
          <w:snapToGrid w:val="0"/>
          <w:kern w:val="0"/>
          <w:sz w:val="32"/>
          <w:szCs w:val="32"/>
        </w:rPr>
        <w:t>。</w:t>
      </w:r>
    </w:p>
    <w:p w14:paraId="2BC6B9EB">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第十五条  应急管理</w:t>
      </w:r>
    </w:p>
    <w:p w14:paraId="01D73BF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入园项目需明确安全风险等级、环境风险等级；企业必须配备 应急物资和应急救援队伍；需定期进行应急培训和应急演练。</w:t>
      </w:r>
    </w:p>
    <w:p w14:paraId="39238902">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第十六条  能源消耗控制</w:t>
      </w:r>
    </w:p>
    <w:p w14:paraId="234BE04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入园项目必须明确能源消耗总量、万元产值能耗、单位工业增加值能耗、单位产品能源消耗限额、燃料管控、碳减排目标；须使用节能设备和工艺。年综合能源消费量达1000吨标准煤及以上或年电力消费量达500万千瓦时及以上的固定资产投资项目，应开展节能审查。</w:t>
      </w:r>
    </w:p>
    <w:p w14:paraId="30E6F5E1">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第十七条  资源利用</w:t>
      </w:r>
    </w:p>
    <w:p w14:paraId="2773918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入园项目建设用地控制指标和单位产品用水定额应符合园区的要求，提倡工业用水重复利用、能源梯级利用、中水回用。</w:t>
      </w:r>
    </w:p>
    <w:p w14:paraId="17A2CB40">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第十八条  经济效益</w:t>
      </w:r>
    </w:p>
    <w:p w14:paraId="5B5C1C9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入园项目的固定资产投资强度、单位土地税收等必须符合园区指标要求。</w:t>
      </w:r>
    </w:p>
    <w:p w14:paraId="77C255A6">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bookmarkStart w:id="64" w:name="_Toc3398"/>
      <w:r>
        <w:rPr>
          <w:rFonts w:ascii="Times New Roman" w:hAnsi="Times New Roman" w:eastAsia="黑体" w:cs="Arial"/>
          <w:snapToGrid w:val="0"/>
          <w:kern w:val="0"/>
          <w:sz w:val="32"/>
          <w:szCs w:val="21"/>
        </w:rPr>
        <w:t>第三章  新建、改建和扩建项目评估程序</w:t>
      </w:r>
      <w:bookmarkEnd w:id="64"/>
    </w:p>
    <w:p w14:paraId="755CBE5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第十九条  项目申请。</w:t>
      </w:r>
      <w:r>
        <w:rPr>
          <w:rFonts w:ascii="Times New Roman" w:hAnsi="Times New Roman" w:eastAsia="仿宋" w:cs="Arial"/>
          <w:snapToGrid w:val="0"/>
          <w:kern w:val="0"/>
          <w:sz w:val="32"/>
          <w:szCs w:val="21"/>
        </w:rPr>
        <w:t>项目投资单位向区招商部门提出项目进区申请，并提交以下材料：</w:t>
      </w:r>
    </w:p>
    <w:p w14:paraId="01FFAF6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a. 企业投资项目可行性研究报告或者投资计划书；</w:t>
      </w:r>
    </w:p>
    <w:p w14:paraId="48F8F67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b.项目入园初审表（附件1）</w:t>
      </w:r>
      <w:r>
        <w:rPr>
          <w:rFonts w:hint="eastAsia" w:ascii="Times New Roman" w:hAnsi="Times New Roman" w:eastAsia="仿宋" w:cs="Arial"/>
          <w:snapToGrid w:val="0"/>
          <w:kern w:val="0"/>
          <w:sz w:val="32"/>
          <w:szCs w:val="21"/>
        </w:rPr>
        <w:t>；</w:t>
      </w:r>
    </w:p>
    <w:p w14:paraId="1214B46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c. 入园项目意向性用地位置、面积；</w:t>
      </w:r>
    </w:p>
    <w:p w14:paraId="3F59136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此外，涉及“两重点一重大”和能耗较大的项目，应事先征询省市应急、生态环境、发改等有关部门的意见；前置审批的项目需提供项目前置的审批意见书。</w:t>
      </w:r>
    </w:p>
    <w:p w14:paraId="574B382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第二十条  项目初审。</w:t>
      </w:r>
      <w:r>
        <w:rPr>
          <w:rFonts w:ascii="Times New Roman" w:hAnsi="Times New Roman" w:eastAsia="仿宋" w:cs="Arial"/>
          <w:snapToGrid w:val="0"/>
          <w:kern w:val="0"/>
          <w:sz w:val="32"/>
          <w:szCs w:val="21"/>
        </w:rPr>
        <w:t>区招商部门在受理申请报告之后将项目可研报告及项目意向性用地位置、面积转交相关职能部门进行初审，发改、生态环境、应急管理、自然资源、工信等部门按照各自职能在3个工作日内提出项目入园初审意见，区招商部门收集项目入园申报材料和初审意见（附件2）。</w:t>
      </w:r>
    </w:p>
    <w:p w14:paraId="7BB61E2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对涉及省市部门审批的项目，须提前征询省市相关职能部门的意见，同意后再报送管委会审定。</w:t>
      </w:r>
    </w:p>
    <w:p w14:paraId="14AFFD9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第二十一条  项目联审。</w:t>
      </w:r>
      <w:r>
        <w:rPr>
          <w:rFonts w:ascii="Times New Roman" w:hAnsi="Times New Roman" w:eastAsia="仿宋" w:cs="Arial"/>
          <w:snapToGrid w:val="0"/>
          <w:kern w:val="0"/>
          <w:sz w:val="32"/>
          <w:szCs w:val="21"/>
        </w:rPr>
        <w:t>区招商部门原则上每月组织成员单位进行一次集中联审。项目投资人或受委托人列席项目集中联审会议，介绍项目基本情况，各成员单位就产业准入、用地、用林、安全、环保、能耗等条件进行审核。联审会召开后，形成会议纪要。通过联审的，各相关单位在《常德经济技术开发区枫树岗化工片区项目申报审批表》（附件3）相应栏中签署意见、加盖公章。</w:t>
      </w:r>
    </w:p>
    <w:p w14:paraId="3EA1271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第二十二条  决策。</w:t>
      </w:r>
      <w:r>
        <w:rPr>
          <w:rFonts w:ascii="Times New Roman" w:hAnsi="Times New Roman" w:eastAsia="仿宋" w:cs="Arial"/>
          <w:snapToGrid w:val="0"/>
          <w:kern w:val="0"/>
          <w:sz w:val="32"/>
          <w:szCs w:val="21"/>
        </w:rPr>
        <w:t>由工委会议研究决策。区招商部门负责提交项目评 审意见、招商合同（草案）、决策建议等。</w:t>
      </w:r>
    </w:p>
    <w:p w14:paraId="4766240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第二十三条  协议签订。</w:t>
      </w:r>
      <w:r>
        <w:rPr>
          <w:rFonts w:ascii="Times New Roman" w:hAnsi="Times New Roman" w:eastAsia="仿宋" w:cs="Arial"/>
          <w:snapToGrid w:val="0"/>
          <w:kern w:val="0"/>
          <w:sz w:val="32"/>
          <w:szCs w:val="21"/>
        </w:rPr>
        <w:t>项目投资协议书应当就固定资产投资强度、亩均税收、开竣工投产时间等事项及其违约责任作出约定。项目准入后，企业要开展建设项目安全评价、环境影响评价、节能评估并上报主管部门审查，审查后未予批准的，建设单位不得开工建设。</w:t>
      </w:r>
    </w:p>
    <w:p w14:paraId="3482007B">
      <w:pPr>
        <w:spacing w:line="560" w:lineRule="exact"/>
        <w:ind w:firstLine="640" w:firstLineChars="200"/>
        <w:rPr>
          <w:rFonts w:ascii="Times New Roman" w:hAnsi="Times New Roman" w:eastAsia="仿宋_GB2312" w:cs="Arial"/>
          <w:snapToGrid w:val="0"/>
          <w:kern w:val="0"/>
          <w:sz w:val="32"/>
          <w:szCs w:val="32"/>
        </w:rPr>
      </w:pPr>
    </w:p>
    <w:p w14:paraId="7A594EE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附件：</w:t>
      </w:r>
    </w:p>
    <w:p w14:paraId="4F34635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1.《常德经济技术开发区枫树岗化工片区项目入园初审表》</w:t>
      </w:r>
    </w:p>
    <w:p w14:paraId="27D494D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2.《化工园区入园项目基本情况和初审意见表》</w:t>
      </w:r>
    </w:p>
    <w:p w14:paraId="215FD75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3.《常德经济技术开发区枫树岗化工片区项目申报审批表》</w:t>
      </w:r>
    </w:p>
    <w:p w14:paraId="74D45A59">
      <w:pPr>
        <w:spacing w:line="560" w:lineRule="exact"/>
        <w:ind w:firstLine="640"/>
        <w:rPr>
          <w:rFonts w:eastAsia="仿宋_GB2312"/>
          <w:szCs w:val="32"/>
        </w:rPr>
        <w:sectPr>
          <w:footerReference r:id="rId7" w:type="default"/>
          <w:pgSz w:w="11910" w:h="16840"/>
          <w:pgMar w:top="1431" w:right="1668" w:bottom="2109" w:left="1549" w:header="0" w:footer="1732" w:gutter="0"/>
          <w:cols w:space="720" w:num="1"/>
        </w:sectPr>
      </w:pPr>
    </w:p>
    <w:p w14:paraId="119B0850">
      <w:pPr>
        <w:widowControl/>
        <w:snapToGrid w:val="0"/>
        <w:spacing w:before="91" w:line="224" w:lineRule="auto"/>
        <w:textAlignment w:val="baseline"/>
        <w:rPr>
          <w:rFonts w:ascii="Times New Roman" w:hAnsi="Times New Roman" w:eastAsia="黑体" w:cs="Arial"/>
          <w:snapToGrid w:val="0"/>
          <w:kern w:val="0"/>
          <w:sz w:val="32"/>
          <w:szCs w:val="32"/>
        </w:rPr>
      </w:pPr>
      <w:r>
        <w:rPr>
          <w:rFonts w:ascii="Times New Roman" w:hAnsi="Times New Roman" w:eastAsia="黑体" w:cs="Arial"/>
          <w:snapToGrid w:val="0"/>
          <w:spacing w:val="11"/>
          <w:kern w:val="0"/>
          <w:sz w:val="32"/>
          <w:szCs w:val="32"/>
        </w:rPr>
        <w:t>附件1</w:t>
      </w:r>
    </w:p>
    <w:p w14:paraId="631CBE70">
      <w:pPr>
        <w:widowControl/>
        <w:snapToGrid w:val="0"/>
        <w:spacing w:line="193" w:lineRule="exact"/>
        <w:textAlignment w:val="baseline"/>
        <w:rPr>
          <w:rFonts w:hint="eastAsia" w:ascii="Times New Roman" w:hAnsi="Times New Roman" w:cs="Arial"/>
          <w:snapToGrid w:val="0"/>
          <w:kern w:val="0"/>
          <w:sz w:val="16"/>
          <w:szCs w:val="21"/>
        </w:rPr>
      </w:pPr>
    </w:p>
    <w:p w14:paraId="454CEFBD">
      <w:pPr>
        <w:widowControl/>
        <w:kinsoku w:val="0"/>
        <w:autoSpaceDE w:val="0"/>
        <w:autoSpaceDN w:val="0"/>
        <w:adjustRightInd w:val="0"/>
        <w:snapToGrid w:val="0"/>
        <w:spacing w:before="311" w:after="0" w:line="240" w:lineRule="auto"/>
        <w:ind w:right="531"/>
        <w:jc w:val="center"/>
        <w:textAlignment w:val="baseline"/>
        <w:rPr>
          <w:rFonts w:ascii="宋体" w:hAnsi="宋体" w:eastAsia="宋体" w:cs="Arial"/>
          <w:color w:val="000000"/>
          <w:kern w:val="0"/>
          <w:sz w:val="45"/>
          <w:szCs w:val="45"/>
        </w:rPr>
      </w:pPr>
      <w:r>
        <w:rPr>
          <w:rFonts w:hint="eastAsia" w:ascii="宋体" w:hAnsi="宋体" w:eastAsia="宋体" w:cs="Arial"/>
          <w:b/>
          <w:bCs/>
          <w:color w:val="000000"/>
          <w:spacing w:val="6"/>
          <w:kern w:val="0"/>
          <w:sz w:val="45"/>
          <w:szCs w:val="45"/>
        </w:rPr>
        <w:t>常德经济技术开发区枫树岗化工片区</w:t>
      </w:r>
      <w:r>
        <w:rPr>
          <w:rFonts w:hint="eastAsia" w:ascii="宋体" w:hAnsi="宋体" w:eastAsia="宋体" w:cs="Arial"/>
          <w:b/>
          <w:bCs/>
          <w:color w:val="000000"/>
          <w:spacing w:val="-4"/>
          <w:kern w:val="0"/>
          <w:sz w:val="45"/>
          <w:szCs w:val="45"/>
        </w:rPr>
        <w:t>项目入园初审表</w:t>
      </w:r>
    </w:p>
    <w:p w14:paraId="33960DBD">
      <w:pPr>
        <w:widowControl/>
        <w:kinsoku w:val="0"/>
        <w:autoSpaceDE w:val="0"/>
        <w:autoSpaceDN w:val="0"/>
        <w:adjustRightInd w:val="0"/>
        <w:snapToGrid w:val="0"/>
        <w:spacing w:after="0" w:line="240" w:lineRule="auto"/>
        <w:jc w:val="left"/>
        <w:textAlignment w:val="baseline"/>
        <w:rPr>
          <w:rFonts w:hint="eastAsia" w:ascii="Arial" w:hAnsi="Arial" w:eastAsia="宋体" w:cs="Arial"/>
          <w:color w:val="000000"/>
          <w:kern w:val="0"/>
          <w:sz w:val="2"/>
          <w:szCs w:val="2"/>
        </w:rPr>
      </w:pPr>
      <w:r>
        <w:rPr>
          <w:rFonts w:ascii="Arial" w:hAnsi="Arial" w:eastAsia="宋体" w:cs="Arial"/>
          <w:color w:val="000000"/>
          <w:kern w:val="0"/>
          <w:sz w:val="2"/>
          <w:szCs w:val="2"/>
        </w:rPr>
        <w:t xml:space="preserve"> </w:t>
      </w:r>
    </w:p>
    <w:tbl>
      <w:tblPr>
        <w:tblStyle w:val="4"/>
        <w:tblW w:w="85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57" w:type="dxa"/>
          <w:bottom w:w="0" w:type="dxa"/>
          <w:right w:w="57" w:type="dxa"/>
        </w:tblCellMar>
      </w:tblPr>
      <w:tblGrid>
        <w:gridCol w:w="2442"/>
        <w:gridCol w:w="2247"/>
        <w:gridCol w:w="2337"/>
        <w:gridCol w:w="1503"/>
      </w:tblGrid>
      <w:tr w14:paraId="2BC12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5" w:hRule="atLeast"/>
          <w:jc w:val="center"/>
        </w:trPr>
        <w:tc>
          <w:tcPr>
            <w:tcW w:w="2442" w:type="dxa"/>
            <w:tcBorders>
              <w:top w:val="single" w:color="000000" w:sz="4" w:space="0"/>
              <w:left w:val="single" w:color="000000" w:sz="4" w:space="0"/>
              <w:bottom w:val="single" w:color="000000" w:sz="4" w:space="0"/>
              <w:right w:val="single" w:color="000000" w:sz="4" w:space="0"/>
            </w:tcBorders>
            <w:vAlign w:val="center"/>
          </w:tcPr>
          <w:p w14:paraId="1E99CA9A">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企业名称</w:t>
            </w:r>
          </w:p>
        </w:tc>
        <w:tc>
          <w:tcPr>
            <w:tcW w:w="2247" w:type="dxa"/>
            <w:tcBorders>
              <w:top w:val="single" w:color="000000" w:sz="4" w:space="0"/>
              <w:left w:val="nil"/>
              <w:bottom w:val="single" w:color="000000" w:sz="4" w:space="0"/>
              <w:right w:val="single" w:color="000000" w:sz="4" w:space="0"/>
            </w:tcBorders>
            <w:vAlign w:val="center"/>
          </w:tcPr>
          <w:p w14:paraId="0CFE3F9A">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p>
        </w:tc>
        <w:tc>
          <w:tcPr>
            <w:tcW w:w="2337" w:type="dxa"/>
            <w:tcBorders>
              <w:top w:val="single" w:color="000000" w:sz="4" w:space="0"/>
              <w:left w:val="nil"/>
              <w:bottom w:val="single" w:color="000000" w:sz="4" w:space="0"/>
              <w:right w:val="single" w:color="000000" w:sz="4" w:space="0"/>
            </w:tcBorders>
            <w:vAlign w:val="center"/>
          </w:tcPr>
          <w:p w14:paraId="10DABFA1">
            <w:pPr>
              <w:widowControl/>
              <w:kinsoku w:val="0"/>
              <w:autoSpaceDE w:val="0"/>
              <w:autoSpaceDN w:val="0"/>
              <w:adjustRightInd w:val="0"/>
              <w:snapToGrid w:val="0"/>
              <w:spacing w:before="72"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所属行业</w:t>
            </w:r>
          </w:p>
        </w:tc>
        <w:tc>
          <w:tcPr>
            <w:tcW w:w="1503" w:type="dxa"/>
            <w:tcBorders>
              <w:top w:val="single" w:color="000000" w:sz="4" w:space="0"/>
              <w:left w:val="nil"/>
              <w:bottom w:val="single" w:color="000000" w:sz="4" w:space="0"/>
              <w:right w:val="single" w:color="000000" w:sz="4" w:space="0"/>
            </w:tcBorders>
            <w:vAlign w:val="center"/>
          </w:tcPr>
          <w:p w14:paraId="32F63E4F">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p>
        </w:tc>
      </w:tr>
      <w:tr w14:paraId="11B2B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550" w:hRule="atLeast"/>
          <w:jc w:val="center"/>
        </w:trPr>
        <w:tc>
          <w:tcPr>
            <w:tcW w:w="2442" w:type="dxa"/>
            <w:tcBorders>
              <w:top w:val="single" w:color="000000" w:sz="4" w:space="0"/>
              <w:left w:val="single" w:color="000000" w:sz="4" w:space="0"/>
              <w:bottom w:val="single" w:color="000000" w:sz="4" w:space="0"/>
              <w:right w:val="single" w:color="000000" w:sz="4" w:space="0"/>
            </w:tcBorders>
            <w:vAlign w:val="center"/>
          </w:tcPr>
          <w:p w14:paraId="2BF79918">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法定代表人</w:t>
            </w:r>
          </w:p>
          <w:p w14:paraId="54B8FA4B">
            <w:pPr>
              <w:widowControl/>
              <w:kinsoku w:val="0"/>
              <w:autoSpaceDE w:val="0"/>
              <w:autoSpaceDN w:val="0"/>
              <w:adjustRightInd w:val="0"/>
              <w:snapToGrid w:val="0"/>
              <w:spacing w:before="72"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及联系方式</w:t>
            </w:r>
          </w:p>
        </w:tc>
        <w:tc>
          <w:tcPr>
            <w:tcW w:w="2247" w:type="dxa"/>
            <w:tcBorders>
              <w:top w:val="single" w:color="000000" w:sz="4" w:space="0"/>
              <w:left w:val="nil"/>
              <w:bottom w:val="single" w:color="000000" w:sz="4" w:space="0"/>
              <w:right w:val="single" w:color="000000" w:sz="4" w:space="0"/>
            </w:tcBorders>
            <w:vAlign w:val="center"/>
          </w:tcPr>
          <w:p w14:paraId="57670183">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p>
        </w:tc>
        <w:tc>
          <w:tcPr>
            <w:tcW w:w="2337" w:type="dxa"/>
            <w:tcBorders>
              <w:top w:val="single" w:color="000000" w:sz="4" w:space="0"/>
              <w:left w:val="nil"/>
              <w:bottom w:val="single" w:color="000000" w:sz="4" w:space="0"/>
              <w:right w:val="single" w:color="000000" w:sz="4" w:space="0"/>
            </w:tcBorders>
            <w:vAlign w:val="center"/>
          </w:tcPr>
          <w:p w14:paraId="25B1D881">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具体负责人</w:t>
            </w:r>
          </w:p>
          <w:p w14:paraId="32CBA581">
            <w:pPr>
              <w:widowControl/>
              <w:kinsoku w:val="0"/>
              <w:autoSpaceDE w:val="0"/>
              <w:autoSpaceDN w:val="0"/>
              <w:adjustRightInd w:val="0"/>
              <w:snapToGrid w:val="0"/>
              <w:spacing w:before="72"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及联系方式</w:t>
            </w:r>
          </w:p>
        </w:tc>
        <w:tc>
          <w:tcPr>
            <w:tcW w:w="1503" w:type="dxa"/>
            <w:tcBorders>
              <w:top w:val="single" w:color="000000" w:sz="4" w:space="0"/>
              <w:left w:val="nil"/>
              <w:bottom w:val="single" w:color="000000" w:sz="4" w:space="0"/>
              <w:right w:val="single" w:color="000000" w:sz="4" w:space="0"/>
            </w:tcBorders>
            <w:vAlign w:val="center"/>
          </w:tcPr>
          <w:p w14:paraId="49991B22">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p>
        </w:tc>
      </w:tr>
      <w:tr w14:paraId="5A1B9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0" w:hRule="atLeast"/>
          <w:jc w:val="center"/>
        </w:trPr>
        <w:tc>
          <w:tcPr>
            <w:tcW w:w="2442" w:type="dxa"/>
            <w:tcBorders>
              <w:top w:val="single" w:color="000000" w:sz="4" w:space="0"/>
              <w:left w:val="single" w:color="000000" w:sz="4" w:space="0"/>
              <w:bottom w:val="single" w:color="000000" w:sz="4" w:space="0"/>
              <w:right w:val="single" w:color="000000" w:sz="4" w:space="0"/>
            </w:tcBorders>
            <w:vAlign w:val="center"/>
          </w:tcPr>
          <w:p w14:paraId="0FFB19E0">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公司注册地址</w:t>
            </w:r>
          </w:p>
        </w:tc>
        <w:tc>
          <w:tcPr>
            <w:tcW w:w="2247" w:type="dxa"/>
            <w:tcBorders>
              <w:top w:val="single" w:color="000000" w:sz="4" w:space="0"/>
              <w:left w:val="nil"/>
              <w:bottom w:val="single" w:color="000000" w:sz="4" w:space="0"/>
              <w:right w:val="single" w:color="000000" w:sz="4" w:space="0"/>
            </w:tcBorders>
          </w:tcPr>
          <w:p w14:paraId="2F1C5DC0">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p>
        </w:tc>
        <w:tc>
          <w:tcPr>
            <w:tcW w:w="2337" w:type="dxa"/>
            <w:tcBorders>
              <w:top w:val="single" w:color="000000" w:sz="4" w:space="0"/>
              <w:left w:val="nil"/>
              <w:bottom w:val="single" w:color="000000" w:sz="4" w:space="0"/>
              <w:right w:val="single" w:color="000000" w:sz="4" w:space="0"/>
            </w:tcBorders>
            <w:vAlign w:val="center"/>
          </w:tcPr>
          <w:p w14:paraId="6E454B24">
            <w:pPr>
              <w:widowControl/>
              <w:kinsoku w:val="0"/>
              <w:autoSpaceDE w:val="0"/>
              <w:autoSpaceDN w:val="0"/>
              <w:adjustRightInd w:val="0"/>
              <w:snapToGrid w:val="0"/>
              <w:spacing w:before="72"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员工规划数量</w:t>
            </w:r>
          </w:p>
        </w:tc>
        <w:tc>
          <w:tcPr>
            <w:tcW w:w="1503" w:type="dxa"/>
            <w:tcBorders>
              <w:top w:val="single" w:color="000000" w:sz="4" w:space="0"/>
              <w:left w:val="nil"/>
              <w:bottom w:val="single" w:color="000000" w:sz="4" w:space="0"/>
              <w:right w:val="single" w:color="000000" w:sz="4" w:space="0"/>
            </w:tcBorders>
            <w:vAlign w:val="center"/>
          </w:tcPr>
          <w:p w14:paraId="73608D59">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p>
        </w:tc>
      </w:tr>
      <w:tr w14:paraId="26A4B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9" w:hRule="atLeast"/>
          <w:jc w:val="center"/>
        </w:trPr>
        <w:tc>
          <w:tcPr>
            <w:tcW w:w="2442" w:type="dxa"/>
            <w:tcBorders>
              <w:top w:val="single" w:color="000000" w:sz="4" w:space="0"/>
              <w:left w:val="single" w:color="000000" w:sz="4" w:space="0"/>
              <w:bottom w:val="single" w:color="000000" w:sz="4" w:space="0"/>
              <w:right w:val="single" w:color="000000" w:sz="4" w:space="0"/>
            </w:tcBorders>
            <w:vAlign w:val="center"/>
          </w:tcPr>
          <w:p w14:paraId="6F8EFECE">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项目预计投资（万元）</w:t>
            </w:r>
          </w:p>
        </w:tc>
        <w:tc>
          <w:tcPr>
            <w:tcW w:w="6087" w:type="dxa"/>
            <w:gridSpan w:val="3"/>
            <w:tcBorders>
              <w:top w:val="single" w:color="000000" w:sz="4" w:space="0"/>
              <w:left w:val="nil"/>
              <w:bottom w:val="single" w:color="000000" w:sz="4" w:space="0"/>
              <w:right w:val="single" w:color="000000" w:sz="4" w:space="0"/>
            </w:tcBorders>
            <w:vAlign w:val="center"/>
          </w:tcPr>
          <w:p w14:paraId="5BD21CB8">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tc>
      </w:tr>
      <w:tr w14:paraId="5A4E2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50" w:hRule="atLeast"/>
          <w:jc w:val="center"/>
        </w:trPr>
        <w:tc>
          <w:tcPr>
            <w:tcW w:w="2442" w:type="dxa"/>
            <w:tcBorders>
              <w:top w:val="single" w:color="000000" w:sz="4" w:space="0"/>
              <w:left w:val="single" w:color="000000" w:sz="4" w:space="0"/>
              <w:bottom w:val="single" w:color="000000" w:sz="4" w:space="0"/>
              <w:right w:val="single" w:color="000000" w:sz="4" w:space="0"/>
            </w:tcBorders>
          </w:tcPr>
          <w:p w14:paraId="171A19DD">
            <w:pPr>
              <w:widowControl/>
              <w:kinsoku w:val="0"/>
              <w:autoSpaceDE w:val="0"/>
              <w:autoSpaceDN w:val="0"/>
              <w:adjustRightInd w:val="0"/>
              <w:snapToGrid w:val="0"/>
              <w:spacing w:before="72" w:after="0" w:line="240" w:lineRule="auto"/>
              <w:ind w:firstLine="420" w:firstLineChars="200"/>
              <w:textAlignment w:val="baseline"/>
              <w:rPr>
                <w:rFonts w:ascii="仿宋" w:hAnsi="仿宋" w:eastAsia="仿宋" w:cs="Arial"/>
                <w:color w:val="000000"/>
                <w:kern w:val="0"/>
                <w:szCs w:val="21"/>
              </w:rPr>
            </w:pPr>
            <w:r>
              <w:rPr>
                <w:rFonts w:hint="eastAsia" w:ascii="仿宋" w:hAnsi="仿宋" w:eastAsia="仿宋" w:cs="Arial"/>
                <w:color w:val="000000"/>
                <w:kern w:val="0"/>
                <w:szCs w:val="21"/>
              </w:rPr>
              <w:t>申请入区时间</w:t>
            </w:r>
          </w:p>
        </w:tc>
        <w:tc>
          <w:tcPr>
            <w:tcW w:w="6087" w:type="dxa"/>
            <w:gridSpan w:val="3"/>
            <w:tcBorders>
              <w:top w:val="single" w:color="000000" w:sz="4" w:space="0"/>
              <w:left w:val="nil"/>
              <w:bottom w:val="single" w:color="000000" w:sz="4" w:space="0"/>
              <w:right w:val="single" w:color="000000" w:sz="4" w:space="0"/>
            </w:tcBorders>
            <w:vAlign w:val="center"/>
          </w:tcPr>
          <w:p w14:paraId="5F5EFE49">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tc>
      </w:tr>
      <w:tr w14:paraId="02A6D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560" w:hRule="atLeast"/>
          <w:jc w:val="center"/>
        </w:trPr>
        <w:tc>
          <w:tcPr>
            <w:tcW w:w="2442" w:type="dxa"/>
            <w:vMerge w:val="restart"/>
            <w:tcBorders>
              <w:top w:val="nil"/>
              <w:left w:val="single" w:color="000000" w:sz="4" w:space="0"/>
              <w:bottom w:val="nil"/>
              <w:right w:val="single" w:color="000000" w:sz="4" w:space="0"/>
            </w:tcBorders>
            <w:vAlign w:val="center"/>
          </w:tcPr>
          <w:p w14:paraId="049094A7">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条件符合性</w:t>
            </w:r>
          </w:p>
          <w:p w14:paraId="39A37514">
            <w:pPr>
              <w:widowControl/>
              <w:kinsoku w:val="0"/>
              <w:autoSpaceDE w:val="0"/>
              <w:autoSpaceDN w:val="0"/>
              <w:adjustRightInd w:val="0"/>
              <w:snapToGrid w:val="0"/>
              <w:spacing w:before="8"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（符合在□内打 √ ）</w:t>
            </w:r>
          </w:p>
        </w:tc>
        <w:tc>
          <w:tcPr>
            <w:tcW w:w="6087" w:type="dxa"/>
            <w:gridSpan w:val="3"/>
            <w:tcBorders>
              <w:top w:val="single" w:color="000000" w:sz="4" w:space="0"/>
              <w:left w:val="nil"/>
              <w:bottom w:val="single" w:color="000000" w:sz="4" w:space="0"/>
              <w:right w:val="single" w:color="000000" w:sz="4" w:space="0"/>
            </w:tcBorders>
          </w:tcPr>
          <w:p w14:paraId="4ECF52C3">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 xml:space="preserve">□1.投资项目符合国家、省、市产业导向政策和化工园区产业发展方向 </w:t>
            </w:r>
          </w:p>
        </w:tc>
      </w:tr>
      <w:tr w14:paraId="342B6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29" w:hRule="atLeast"/>
          <w:jc w:val="center"/>
        </w:trPr>
        <w:tc>
          <w:tcPr>
            <w:tcW w:w="0" w:type="auto"/>
            <w:vMerge w:val="continue"/>
            <w:tcBorders>
              <w:top w:val="nil"/>
              <w:left w:val="single" w:color="000000" w:sz="4" w:space="0"/>
              <w:bottom w:val="nil"/>
              <w:right w:val="single" w:color="000000" w:sz="4" w:space="0"/>
            </w:tcBorders>
            <w:vAlign w:val="center"/>
          </w:tcPr>
          <w:p w14:paraId="5658B1C9">
            <w:pPr>
              <w:widowControl/>
              <w:spacing w:after="0" w:line="240" w:lineRule="auto"/>
              <w:jc w:val="left"/>
              <w:rPr>
                <w:rFonts w:ascii="仿宋" w:hAnsi="仿宋" w:eastAsia="仿宋" w:cs="Arial"/>
                <w:color w:val="000000"/>
                <w:kern w:val="0"/>
                <w:szCs w:val="21"/>
              </w:rPr>
            </w:pPr>
          </w:p>
        </w:tc>
        <w:tc>
          <w:tcPr>
            <w:tcW w:w="6087" w:type="dxa"/>
            <w:gridSpan w:val="3"/>
            <w:tcBorders>
              <w:top w:val="single" w:color="000000" w:sz="4" w:space="0"/>
              <w:left w:val="nil"/>
              <w:bottom w:val="single" w:color="000000" w:sz="4" w:space="0"/>
              <w:right w:val="single" w:color="000000" w:sz="4" w:space="0"/>
            </w:tcBorders>
          </w:tcPr>
          <w:p w14:paraId="23A96243">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□2.满足化工园区总体规划及产业规划要求</w:t>
            </w:r>
          </w:p>
        </w:tc>
      </w:tr>
      <w:tr w14:paraId="66C4E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70" w:hRule="atLeast"/>
          <w:jc w:val="center"/>
        </w:trPr>
        <w:tc>
          <w:tcPr>
            <w:tcW w:w="0" w:type="auto"/>
            <w:vMerge w:val="continue"/>
            <w:tcBorders>
              <w:top w:val="nil"/>
              <w:left w:val="single" w:color="000000" w:sz="4" w:space="0"/>
              <w:bottom w:val="nil"/>
              <w:right w:val="single" w:color="000000" w:sz="4" w:space="0"/>
            </w:tcBorders>
            <w:vAlign w:val="center"/>
          </w:tcPr>
          <w:p w14:paraId="7F250F77">
            <w:pPr>
              <w:widowControl/>
              <w:spacing w:after="0" w:line="240" w:lineRule="auto"/>
              <w:jc w:val="left"/>
              <w:rPr>
                <w:rFonts w:ascii="仿宋" w:hAnsi="仿宋" w:eastAsia="仿宋" w:cs="Arial"/>
                <w:color w:val="000000"/>
                <w:kern w:val="0"/>
                <w:szCs w:val="21"/>
              </w:rPr>
            </w:pPr>
          </w:p>
        </w:tc>
        <w:tc>
          <w:tcPr>
            <w:tcW w:w="6087" w:type="dxa"/>
            <w:gridSpan w:val="3"/>
            <w:tcBorders>
              <w:top w:val="single" w:color="000000" w:sz="4" w:space="0"/>
              <w:left w:val="nil"/>
              <w:bottom w:val="single" w:color="000000" w:sz="4" w:space="0"/>
              <w:right w:val="single" w:color="000000" w:sz="4" w:space="0"/>
            </w:tcBorders>
          </w:tcPr>
          <w:p w14:paraId="4BCF322E">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3.产业类别：</w:t>
            </w:r>
          </w:p>
        </w:tc>
      </w:tr>
      <w:tr w14:paraId="6E11D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59" w:hRule="atLeast"/>
          <w:jc w:val="center"/>
        </w:trPr>
        <w:tc>
          <w:tcPr>
            <w:tcW w:w="0" w:type="auto"/>
            <w:vMerge w:val="continue"/>
            <w:tcBorders>
              <w:top w:val="nil"/>
              <w:left w:val="single" w:color="000000" w:sz="4" w:space="0"/>
              <w:bottom w:val="nil"/>
              <w:right w:val="single" w:color="000000" w:sz="4" w:space="0"/>
            </w:tcBorders>
            <w:vAlign w:val="center"/>
          </w:tcPr>
          <w:p w14:paraId="2A34453E">
            <w:pPr>
              <w:widowControl/>
              <w:spacing w:after="0" w:line="240" w:lineRule="auto"/>
              <w:jc w:val="left"/>
              <w:rPr>
                <w:rFonts w:ascii="仿宋" w:hAnsi="仿宋" w:eastAsia="仿宋" w:cs="Arial"/>
                <w:color w:val="000000"/>
                <w:kern w:val="0"/>
                <w:szCs w:val="21"/>
              </w:rPr>
            </w:pPr>
          </w:p>
        </w:tc>
        <w:tc>
          <w:tcPr>
            <w:tcW w:w="6087" w:type="dxa"/>
            <w:gridSpan w:val="3"/>
            <w:tcBorders>
              <w:top w:val="single" w:color="000000" w:sz="4" w:space="0"/>
              <w:left w:val="nil"/>
              <w:bottom w:val="single" w:color="000000" w:sz="4" w:space="0"/>
              <w:right w:val="single" w:color="000000" w:sz="4" w:space="0"/>
            </w:tcBorders>
          </w:tcPr>
          <w:p w14:paraId="32512554">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□4.符合《常德经济技术开发区（枫树岗化工片区）总体规划（2022-2030）环境保护规划》要求</w:t>
            </w:r>
          </w:p>
        </w:tc>
      </w:tr>
      <w:tr w14:paraId="68C82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79" w:hRule="atLeast"/>
          <w:jc w:val="center"/>
        </w:trPr>
        <w:tc>
          <w:tcPr>
            <w:tcW w:w="0" w:type="auto"/>
            <w:vMerge w:val="continue"/>
            <w:tcBorders>
              <w:top w:val="nil"/>
              <w:left w:val="single" w:color="000000" w:sz="4" w:space="0"/>
              <w:bottom w:val="nil"/>
              <w:right w:val="single" w:color="000000" w:sz="4" w:space="0"/>
            </w:tcBorders>
            <w:vAlign w:val="center"/>
          </w:tcPr>
          <w:p w14:paraId="3E83974B">
            <w:pPr>
              <w:widowControl/>
              <w:spacing w:after="0" w:line="240" w:lineRule="auto"/>
              <w:jc w:val="left"/>
              <w:rPr>
                <w:rFonts w:ascii="仿宋" w:hAnsi="仿宋" w:eastAsia="仿宋" w:cs="Arial"/>
                <w:color w:val="000000"/>
                <w:kern w:val="0"/>
                <w:szCs w:val="21"/>
              </w:rPr>
            </w:pPr>
          </w:p>
        </w:tc>
        <w:tc>
          <w:tcPr>
            <w:tcW w:w="6087" w:type="dxa"/>
            <w:gridSpan w:val="3"/>
            <w:tcBorders>
              <w:top w:val="single" w:color="000000" w:sz="4" w:space="0"/>
              <w:left w:val="nil"/>
              <w:bottom w:val="single" w:color="000000" w:sz="4" w:space="0"/>
              <w:right w:val="single" w:color="000000" w:sz="4" w:space="0"/>
            </w:tcBorders>
          </w:tcPr>
          <w:p w14:paraId="594FE319">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□5.投资项目采用设备、生产工艺、技术和能源消耗达到或接近国内同行业先进水平</w:t>
            </w:r>
          </w:p>
        </w:tc>
      </w:tr>
      <w:tr w14:paraId="65178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0" w:hRule="atLeast"/>
          <w:jc w:val="center"/>
        </w:trPr>
        <w:tc>
          <w:tcPr>
            <w:tcW w:w="0" w:type="auto"/>
            <w:vMerge w:val="continue"/>
            <w:tcBorders>
              <w:top w:val="nil"/>
              <w:left w:val="single" w:color="000000" w:sz="4" w:space="0"/>
              <w:bottom w:val="nil"/>
              <w:right w:val="single" w:color="000000" w:sz="4" w:space="0"/>
            </w:tcBorders>
            <w:vAlign w:val="center"/>
          </w:tcPr>
          <w:p w14:paraId="60BB2403">
            <w:pPr>
              <w:widowControl/>
              <w:spacing w:after="0" w:line="240" w:lineRule="auto"/>
              <w:jc w:val="left"/>
              <w:rPr>
                <w:rFonts w:ascii="仿宋" w:hAnsi="仿宋" w:eastAsia="仿宋" w:cs="Arial"/>
                <w:color w:val="000000"/>
                <w:kern w:val="0"/>
                <w:szCs w:val="21"/>
              </w:rPr>
            </w:pPr>
          </w:p>
        </w:tc>
        <w:tc>
          <w:tcPr>
            <w:tcW w:w="6087" w:type="dxa"/>
            <w:gridSpan w:val="3"/>
            <w:tcBorders>
              <w:top w:val="single" w:color="000000" w:sz="4" w:space="0"/>
              <w:left w:val="nil"/>
              <w:bottom w:val="single" w:color="000000" w:sz="4" w:space="0"/>
              <w:right w:val="single" w:color="000000" w:sz="4" w:space="0"/>
            </w:tcBorders>
          </w:tcPr>
          <w:p w14:paraId="06617D7B">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□6.投资项目符合园区“禁限控”目录要求</w:t>
            </w:r>
          </w:p>
        </w:tc>
      </w:tr>
      <w:tr w14:paraId="45F4B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19" w:hRule="atLeast"/>
          <w:jc w:val="center"/>
        </w:trPr>
        <w:tc>
          <w:tcPr>
            <w:tcW w:w="0" w:type="auto"/>
            <w:vMerge w:val="continue"/>
            <w:tcBorders>
              <w:top w:val="nil"/>
              <w:left w:val="single" w:color="000000" w:sz="4" w:space="0"/>
              <w:bottom w:val="nil"/>
              <w:right w:val="single" w:color="000000" w:sz="4" w:space="0"/>
            </w:tcBorders>
            <w:vAlign w:val="center"/>
          </w:tcPr>
          <w:p w14:paraId="5336F615">
            <w:pPr>
              <w:widowControl/>
              <w:spacing w:after="0" w:line="240" w:lineRule="auto"/>
              <w:jc w:val="left"/>
              <w:rPr>
                <w:rFonts w:ascii="仿宋" w:hAnsi="仿宋" w:eastAsia="仿宋" w:cs="Arial"/>
                <w:color w:val="000000"/>
                <w:kern w:val="0"/>
                <w:szCs w:val="21"/>
              </w:rPr>
            </w:pPr>
          </w:p>
        </w:tc>
        <w:tc>
          <w:tcPr>
            <w:tcW w:w="6087" w:type="dxa"/>
            <w:gridSpan w:val="3"/>
            <w:tcBorders>
              <w:top w:val="single" w:color="000000" w:sz="4" w:space="0"/>
              <w:left w:val="nil"/>
              <w:bottom w:val="single" w:color="000000" w:sz="4" w:space="0"/>
              <w:right w:val="single" w:color="000000" w:sz="4" w:space="0"/>
            </w:tcBorders>
          </w:tcPr>
          <w:p w14:paraId="7E8B6D80">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□7.入园企业（项目）投资强度、产值、税收预期和建设用地控 制性指标等，达到国家、自治区、市和区的有关要求</w:t>
            </w:r>
          </w:p>
        </w:tc>
      </w:tr>
      <w:tr w14:paraId="382AE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549" w:hRule="atLeast"/>
          <w:jc w:val="center"/>
        </w:trPr>
        <w:tc>
          <w:tcPr>
            <w:tcW w:w="0" w:type="auto"/>
            <w:vMerge w:val="continue"/>
            <w:tcBorders>
              <w:top w:val="nil"/>
              <w:left w:val="single" w:color="000000" w:sz="4" w:space="0"/>
              <w:bottom w:val="nil"/>
              <w:right w:val="single" w:color="000000" w:sz="4" w:space="0"/>
            </w:tcBorders>
            <w:vAlign w:val="center"/>
          </w:tcPr>
          <w:p w14:paraId="58A70CB1">
            <w:pPr>
              <w:widowControl/>
              <w:spacing w:after="0" w:line="240" w:lineRule="auto"/>
              <w:jc w:val="left"/>
              <w:rPr>
                <w:rFonts w:ascii="仿宋" w:hAnsi="仿宋" w:eastAsia="仿宋" w:cs="Arial"/>
                <w:color w:val="000000"/>
                <w:kern w:val="0"/>
                <w:szCs w:val="21"/>
              </w:rPr>
            </w:pPr>
          </w:p>
        </w:tc>
        <w:tc>
          <w:tcPr>
            <w:tcW w:w="6087" w:type="dxa"/>
            <w:gridSpan w:val="3"/>
            <w:tcBorders>
              <w:top w:val="single" w:color="000000" w:sz="4" w:space="0"/>
              <w:left w:val="nil"/>
              <w:bottom w:val="single" w:color="000000" w:sz="4" w:space="0"/>
              <w:right w:val="single" w:color="000000" w:sz="4" w:space="0"/>
            </w:tcBorders>
          </w:tcPr>
          <w:p w14:paraId="1B9EDA57">
            <w:pPr>
              <w:widowControl/>
              <w:kinsoku w:val="0"/>
              <w:autoSpaceDE w:val="0"/>
              <w:autoSpaceDN w:val="0"/>
              <w:adjustRightInd w:val="0"/>
              <w:snapToGrid w:val="0"/>
              <w:spacing w:before="43" w:after="0" w:line="240" w:lineRule="auto"/>
              <w:ind w:left="72" w:right="21" w:firstLine="30"/>
              <w:jc w:val="left"/>
              <w:textAlignment w:val="baseline"/>
              <w:rPr>
                <w:rFonts w:hint="eastAsia" w:ascii="仿宋" w:hAnsi="仿宋" w:eastAsia="仿宋" w:cs="Times New Roman"/>
                <w:color w:val="000000"/>
                <w:kern w:val="0"/>
                <w:sz w:val="22"/>
                <w:szCs w:val="22"/>
              </w:rPr>
            </w:pPr>
            <w:r>
              <w:rPr>
                <w:rFonts w:hint="eastAsia" w:ascii="仿宋" w:hAnsi="仿宋" w:eastAsia="仿宋" w:cs="Times New Roman"/>
                <w:color w:val="000000"/>
                <w:kern w:val="0"/>
                <w:sz w:val="22"/>
                <w:szCs w:val="22"/>
              </w:rPr>
              <w:t>□</w:t>
            </w:r>
            <w:r>
              <w:rPr>
                <w:rFonts w:hint="eastAsia" w:ascii="仿宋" w:hAnsi="仿宋" w:eastAsia="仿宋" w:cs="Arial"/>
                <w:color w:val="000000"/>
                <w:kern w:val="0"/>
                <w:szCs w:val="21"/>
              </w:rPr>
              <w:t>8.主要负责人或授权管理人能在现场负责项目建设期安全工作</w:t>
            </w:r>
          </w:p>
        </w:tc>
      </w:tr>
      <w:tr w14:paraId="027B4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90" w:hRule="atLeast"/>
          <w:jc w:val="center"/>
        </w:trPr>
        <w:tc>
          <w:tcPr>
            <w:tcW w:w="2442" w:type="dxa"/>
            <w:tcBorders>
              <w:top w:val="single" w:color="000000" w:sz="4" w:space="0"/>
              <w:left w:val="single" w:color="000000" w:sz="4" w:space="0"/>
              <w:bottom w:val="single" w:color="000000" w:sz="4" w:space="0"/>
              <w:right w:val="single" w:color="000000" w:sz="4" w:space="0"/>
            </w:tcBorders>
          </w:tcPr>
          <w:p w14:paraId="62118B13">
            <w:pPr>
              <w:widowControl/>
              <w:kinsoku w:val="0"/>
              <w:autoSpaceDE w:val="0"/>
              <w:autoSpaceDN w:val="0"/>
              <w:adjustRightInd w:val="0"/>
              <w:snapToGrid w:val="0"/>
              <w:spacing w:after="0" w:line="268" w:lineRule="auto"/>
              <w:jc w:val="left"/>
              <w:textAlignment w:val="baseline"/>
              <w:rPr>
                <w:rFonts w:hint="eastAsia" w:ascii="仿宋" w:hAnsi="仿宋" w:eastAsia="仿宋" w:cs="Arial"/>
                <w:color w:val="000000"/>
                <w:kern w:val="0"/>
                <w:szCs w:val="21"/>
              </w:rPr>
            </w:pPr>
          </w:p>
          <w:p w14:paraId="56114A04">
            <w:pPr>
              <w:widowControl/>
              <w:kinsoku w:val="0"/>
              <w:autoSpaceDE w:val="0"/>
              <w:autoSpaceDN w:val="0"/>
              <w:adjustRightInd w:val="0"/>
              <w:snapToGrid w:val="0"/>
              <w:spacing w:after="0" w:line="271" w:lineRule="auto"/>
              <w:jc w:val="left"/>
              <w:textAlignment w:val="baseline"/>
              <w:rPr>
                <w:rFonts w:hint="eastAsia" w:ascii="仿宋" w:hAnsi="仿宋" w:eastAsia="仿宋" w:cs="Arial"/>
                <w:color w:val="000000"/>
                <w:kern w:val="0"/>
                <w:szCs w:val="21"/>
              </w:rPr>
            </w:pPr>
          </w:p>
          <w:p w14:paraId="70516DCB">
            <w:pPr>
              <w:widowControl/>
              <w:kinsoku w:val="0"/>
              <w:autoSpaceDE w:val="0"/>
              <w:autoSpaceDN w:val="0"/>
              <w:adjustRightInd w:val="0"/>
              <w:snapToGrid w:val="0"/>
              <w:spacing w:after="0" w:line="271" w:lineRule="auto"/>
              <w:jc w:val="left"/>
              <w:textAlignment w:val="baseline"/>
              <w:rPr>
                <w:rFonts w:hint="eastAsia" w:ascii="仿宋" w:hAnsi="仿宋" w:eastAsia="仿宋" w:cs="Arial"/>
                <w:color w:val="000000"/>
                <w:kern w:val="0"/>
                <w:szCs w:val="21"/>
              </w:rPr>
            </w:pPr>
          </w:p>
          <w:p w14:paraId="7EEDE5A0">
            <w:pPr>
              <w:widowControl/>
              <w:kinsoku w:val="0"/>
              <w:autoSpaceDE w:val="0"/>
              <w:autoSpaceDN w:val="0"/>
              <w:adjustRightInd w:val="0"/>
              <w:snapToGrid w:val="0"/>
              <w:spacing w:after="0" w:line="271" w:lineRule="auto"/>
              <w:jc w:val="left"/>
              <w:textAlignment w:val="baseline"/>
              <w:rPr>
                <w:rFonts w:hint="eastAsia" w:ascii="仿宋" w:hAnsi="仿宋" w:eastAsia="仿宋" w:cs="Arial"/>
                <w:color w:val="000000"/>
                <w:kern w:val="0"/>
                <w:szCs w:val="21"/>
              </w:rPr>
            </w:pPr>
          </w:p>
          <w:p w14:paraId="078F2616">
            <w:pPr>
              <w:widowControl/>
              <w:kinsoku w:val="0"/>
              <w:autoSpaceDE w:val="0"/>
              <w:autoSpaceDN w:val="0"/>
              <w:adjustRightInd w:val="0"/>
              <w:snapToGrid w:val="0"/>
              <w:spacing w:before="71" w:after="0" w:line="240" w:lineRule="auto"/>
              <w:ind w:left="664"/>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申请人承诺</w:t>
            </w:r>
          </w:p>
        </w:tc>
        <w:tc>
          <w:tcPr>
            <w:tcW w:w="6087" w:type="dxa"/>
            <w:gridSpan w:val="3"/>
            <w:tcBorders>
              <w:top w:val="single" w:color="000000" w:sz="4" w:space="0"/>
              <w:left w:val="nil"/>
              <w:bottom w:val="single" w:color="000000" w:sz="4" w:space="0"/>
              <w:right w:val="single" w:color="000000" w:sz="4" w:space="0"/>
            </w:tcBorders>
          </w:tcPr>
          <w:p w14:paraId="19B4D051">
            <w:pPr>
              <w:widowControl/>
              <w:kinsoku w:val="0"/>
              <w:autoSpaceDE w:val="0"/>
              <w:autoSpaceDN w:val="0"/>
              <w:adjustRightInd w:val="0"/>
              <w:snapToGrid w:val="0"/>
              <w:spacing w:after="0" w:line="268" w:lineRule="auto"/>
              <w:ind w:firstLine="420" w:firstLineChars="200"/>
              <w:jc w:val="left"/>
              <w:textAlignment w:val="baseline"/>
              <w:rPr>
                <w:rFonts w:hint="eastAsia" w:ascii="仿宋" w:hAnsi="仿宋" w:eastAsia="仿宋" w:cs="Arial"/>
                <w:color w:val="000000"/>
                <w:kern w:val="0"/>
                <w:szCs w:val="21"/>
              </w:rPr>
            </w:pPr>
          </w:p>
          <w:p w14:paraId="48A8815A">
            <w:pPr>
              <w:widowControl/>
              <w:kinsoku w:val="0"/>
              <w:autoSpaceDE w:val="0"/>
              <w:autoSpaceDN w:val="0"/>
              <w:adjustRightInd w:val="0"/>
              <w:snapToGrid w:val="0"/>
              <w:spacing w:after="0" w:line="268" w:lineRule="auto"/>
              <w:ind w:firstLine="420" w:firstLineChars="20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上述填表内容属实，我司将严格履行主体责任，做好入化工园区相关审批手续的完善，遵守国家法律、法规要求，符合化工园区相关规定，并对企业建设、运行期间发生的所有问题将承担全部责任。</w:t>
            </w:r>
          </w:p>
          <w:p w14:paraId="03772FF1">
            <w:pPr>
              <w:widowControl/>
              <w:kinsoku w:val="0"/>
              <w:autoSpaceDE w:val="0"/>
              <w:autoSpaceDN w:val="0"/>
              <w:adjustRightInd w:val="0"/>
              <w:snapToGrid w:val="0"/>
              <w:spacing w:after="0" w:line="268" w:lineRule="auto"/>
              <w:ind w:firstLine="3360" w:firstLineChars="160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签名（盖章）：</w:t>
            </w:r>
          </w:p>
          <w:p w14:paraId="0E76E6A7">
            <w:pPr>
              <w:widowControl/>
              <w:kinsoku w:val="0"/>
              <w:autoSpaceDE w:val="0"/>
              <w:autoSpaceDN w:val="0"/>
              <w:adjustRightInd w:val="0"/>
              <w:snapToGrid w:val="0"/>
              <w:spacing w:after="0" w:line="268" w:lineRule="auto"/>
              <w:ind w:firstLine="4200" w:firstLineChars="200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时间：</w:t>
            </w:r>
          </w:p>
        </w:tc>
      </w:tr>
      <w:tr w14:paraId="3E3AC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915" w:hRule="atLeast"/>
          <w:jc w:val="center"/>
        </w:trPr>
        <w:tc>
          <w:tcPr>
            <w:tcW w:w="2442" w:type="dxa"/>
            <w:tcBorders>
              <w:top w:val="single" w:color="000000" w:sz="4" w:space="0"/>
              <w:left w:val="single" w:color="000000" w:sz="4" w:space="0"/>
              <w:bottom w:val="single" w:color="000000" w:sz="4" w:space="0"/>
              <w:right w:val="single" w:color="000000" w:sz="4" w:space="0"/>
            </w:tcBorders>
            <w:vAlign w:val="center"/>
          </w:tcPr>
          <w:p w14:paraId="4F603B8B">
            <w:pPr>
              <w:widowControl/>
              <w:kinsoku w:val="0"/>
              <w:autoSpaceDE w:val="0"/>
              <w:autoSpaceDN w:val="0"/>
              <w:adjustRightInd w:val="0"/>
              <w:snapToGrid w:val="0"/>
              <w:spacing w:after="0" w:line="268"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审核意见</w:t>
            </w:r>
          </w:p>
        </w:tc>
        <w:tc>
          <w:tcPr>
            <w:tcW w:w="6087" w:type="dxa"/>
            <w:gridSpan w:val="3"/>
            <w:tcBorders>
              <w:top w:val="single" w:color="000000" w:sz="4" w:space="0"/>
              <w:left w:val="nil"/>
              <w:bottom w:val="single" w:color="000000" w:sz="4" w:space="0"/>
              <w:right w:val="single" w:color="000000" w:sz="4" w:space="0"/>
            </w:tcBorders>
          </w:tcPr>
          <w:p w14:paraId="39D91ED6">
            <w:pPr>
              <w:widowControl/>
              <w:kinsoku w:val="0"/>
              <w:autoSpaceDE w:val="0"/>
              <w:autoSpaceDN w:val="0"/>
              <w:adjustRightInd w:val="0"/>
              <w:snapToGrid w:val="0"/>
              <w:spacing w:after="0" w:line="268" w:lineRule="auto"/>
              <w:jc w:val="left"/>
              <w:textAlignment w:val="baseline"/>
              <w:rPr>
                <w:rFonts w:ascii="仿宋" w:hAnsi="仿宋" w:eastAsia="仿宋" w:cs="Arial"/>
                <w:color w:val="000000"/>
                <w:kern w:val="0"/>
                <w:szCs w:val="21"/>
              </w:rPr>
            </w:pPr>
          </w:p>
          <w:p w14:paraId="5980D254">
            <w:pPr>
              <w:widowControl/>
              <w:kinsoku w:val="0"/>
              <w:autoSpaceDE w:val="0"/>
              <w:autoSpaceDN w:val="0"/>
              <w:adjustRightInd w:val="0"/>
              <w:snapToGrid w:val="0"/>
              <w:spacing w:after="0" w:line="268" w:lineRule="auto"/>
              <w:jc w:val="left"/>
              <w:textAlignment w:val="baseline"/>
              <w:rPr>
                <w:rFonts w:hint="eastAsia" w:ascii="仿宋" w:hAnsi="仿宋" w:eastAsia="仿宋" w:cs="Arial"/>
                <w:color w:val="000000"/>
                <w:kern w:val="0"/>
                <w:szCs w:val="21"/>
              </w:rPr>
            </w:pPr>
          </w:p>
          <w:p w14:paraId="3E11D182">
            <w:pPr>
              <w:widowControl/>
              <w:kinsoku w:val="0"/>
              <w:autoSpaceDE w:val="0"/>
              <w:autoSpaceDN w:val="0"/>
              <w:adjustRightInd w:val="0"/>
              <w:snapToGrid w:val="0"/>
              <w:spacing w:after="0" w:line="268" w:lineRule="auto"/>
              <w:jc w:val="left"/>
              <w:textAlignment w:val="baseline"/>
              <w:rPr>
                <w:rFonts w:hint="eastAsia" w:ascii="仿宋" w:hAnsi="仿宋" w:eastAsia="仿宋" w:cs="Arial"/>
                <w:color w:val="000000"/>
                <w:kern w:val="0"/>
                <w:szCs w:val="21"/>
              </w:rPr>
            </w:pPr>
          </w:p>
          <w:p w14:paraId="4C9F3EC5">
            <w:pPr>
              <w:widowControl/>
              <w:kinsoku w:val="0"/>
              <w:autoSpaceDE w:val="0"/>
              <w:autoSpaceDN w:val="0"/>
              <w:adjustRightInd w:val="0"/>
              <w:snapToGrid w:val="0"/>
              <w:spacing w:after="0" w:line="268" w:lineRule="auto"/>
              <w:ind w:firstLine="2310" w:firstLineChars="110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 xml:space="preserve">         签名（盖章）：</w:t>
            </w:r>
          </w:p>
          <w:p w14:paraId="1437DD8A">
            <w:pPr>
              <w:widowControl/>
              <w:kinsoku w:val="0"/>
              <w:autoSpaceDE w:val="0"/>
              <w:autoSpaceDN w:val="0"/>
              <w:adjustRightInd w:val="0"/>
              <w:snapToGrid w:val="0"/>
              <w:spacing w:after="0" w:line="268" w:lineRule="auto"/>
              <w:ind w:firstLine="3990" w:firstLineChars="1900"/>
              <w:jc w:val="left"/>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时间：</w:t>
            </w:r>
          </w:p>
        </w:tc>
      </w:tr>
    </w:tbl>
    <w:p w14:paraId="60C2BE07">
      <w:pPr>
        <w:spacing w:line="193" w:lineRule="exact"/>
        <w:ind w:firstLine="320"/>
        <w:rPr>
          <w:sz w:val="16"/>
          <w:szCs w:val="16"/>
        </w:rPr>
        <w:sectPr>
          <w:footerReference r:id="rId8" w:type="default"/>
          <w:pgSz w:w="11910" w:h="16840"/>
          <w:pgMar w:top="1431" w:right="1786" w:bottom="1681" w:left="1425" w:header="0" w:footer="1331" w:gutter="0"/>
          <w:cols w:space="720" w:num="1"/>
        </w:sectPr>
      </w:pPr>
    </w:p>
    <w:p w14:paraId="01F10E3B">
      <w:pPr>
        <w:widowControl/>
        <w:snapToGrid w:val="0"/>
        <w:spacing w:before="91" w:line="224" w:lineRule="auto"/>
        <w:textAlignment w:val="baseline"/>
        <w:rPr>
          <w:rFonts w:hint="eastAsia" w:ascii="Times New Roman" w:hAnsi="Times New Roman" w:eastAsia="黑体" w:cs="Arial"/>
          <w:snapToGrid w:val="0"/>
          <w:kern w:val="0"/>
          <w:sz w:val="32"/>
          <w:szCs w:val="32"/>
        </w:rPr>
      </w:pPr>
      <w:r>
        <w:rPr>
          <w:rFonts w:ascii="Times New Roman" w:hAnsi="Times New Roman" w:eastAsia="黑体" w:cs="Arial"/>
          <w:snapToGrid w:val="0"/>
          <w:spacing w:val="11"/>
          <w:kern w:val="0"/>
          <w:sz w:val="32"/>
          <w:szCs w:val="32"/>
        </w:rPr>
        <w:t>附件</w:t>
      </w:r>
      <w:r>
        <w:rPr>
          <w:rFonts w:hint="eastAsia" w:ascii="Times New Roman" w:hAnsi="Times New Roman" w:eastAsia="黑体" w:cs="Arial"/>
          <w:snapToGrid w:val="0"/>
          <w:spacing w:val="11"/>
          <w:kern w:val="0"/>
          <w:sz w:val="32"/>
          <w:szCs w:val="32"/>
        </w:rPr>
        <w:t>2</w:t>
      </w:r>
    </w:p>
    <w:p w14:paraId="3848C286">
      <w:pPr>
        <w:widowControl/>
        <w:kinsoku w:val="0"/>
        <w:autoSpaceDE w:val="0"/>
        <w:autoSpaceDN w:val="0"/>
        <w:adjustRightInd w:val="0"/>
        <w:snapToGrid w:val="0"/>
        <w:spacing w:before="318" w:after="0" w:line="240" w:lineRule="auto"/>
        <w:ind w:left="451"/>
        <w:jc w:val="left"/>
        <w:textAlignment w:val="baseline"/>
        <w:rPr>
          <w:rFonts w:ascii="宋体" w:hAnsi="宋体" w:eastAsia="宋体" w:cs="Arial"/>
          <w:color w:val="000000"/>
          <w:kern w:val="0"/>
          <w:sz w:val="44"/>
          <w:szCs w:val="44"/>
        </w:rPr>
      </w:pPr>
      <w:r>
        <w:rPr>
          <w:rFonts w:hint="eastAsia" w:ascii="宋体" w:hAnsi="宋体" w:eastAsia="宋体" w:cs="Arial"/>
          <w:b/>
          <w:bCs/>
          <w:color w:val="000000"/>
          <w:spacing w:val="-5"/>
          <w:kern w:val="0"/>
          <w:sz w:val="44"/>
          <w:szCs w:val="44"/>
        </w:rPr>
        <w:t>化工园区入园项目基本情况和初审意见表</w:t>
      </w:r>
    </w:p>
    <w:tbl>
      <w:tblPr>
        <w:tblStyle w:val="4"/>
        <w:tblW w:w="8450" w:type="dxa"/>
        <w:tblInd w:w="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4"/>
        <w:gridCol w:w="2207"/>
        <w:gridCol w:w="1968"/>
        <w:gridCol w:w="1208"/>
        <w:gridCol w:w="2413"/>
      </w:tblGrid>
      <w:tr w14:paraId="0589E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894" w:hRule="atLeast"/>
        </w:trPr>
        <w:tc>
          <w:tcPr>
            <w:tcW w:w="654" w:type="dxa"/>
            <w:vMerge w:val="restart"/>
            <w:tcBorders>
              <w:top w:val="single" w:color="000000" w:sz="4" w:space="0"/>
              <w:left w:val="single" w:color="000000" w:sz="4" w:space="0"/>
              <w:bottom w:val="single" w:color="000000" w:sz="4" w:space="0"/>
              <w:right w:val="single" w:color="000000" w:sz="4" w:space="0"/>
            </w:tcBorders>
            <w:vAlign w:val="center"/>
          </w:tcPr>
          <w:p w14:paraId="5A5B6645">
            <w:pPr>
              <w:widowControl/>
              <w:kinsoku w:val="0"/>
              <w:autoSpaceDE w:val="0"/>
              <w:autoSpaceDN w:val="0"/>
              <w:adjustRightInd w:val="0"/>
              <w:snapToGrid w:val="0"/>
              <w:spacing w:before="72" w:after="0" w:line="240" w:lineRule="auto"/>
              <w:ind w:right="92"/>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基</w:t>
            </w:r>
          </w:p>
          <w:p w14:paraId="7F6F4BDD">
            <w:pPr>
              <w:widowControl/>
              <w:kinsoku w:val="0"/>
              <w:autoSpaceDE w:val="0"/>
              <w:autoSpaceDN w:val="0"/>
              <w:adjustRightInd w:val="0"/>
              <w:snapToGrid w:val="0"/>
              <w:spacing w:before="72" w:after="0" w:line="240" w:lineRule="auto"/>
              <w:ind w:right="92"/>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本 信</w:t>
            </w:r>
          </w:p>
          <w:p w14:paraId="6BBE6594">
            <w:pPr>
              <w:widowControl/>
              <w:kinsoku w:val="0"/>
              <w:autoSpaceDE w:val="0"/>
              <w:autoSpaceDN w:val="0"/>
              <w:adjustRightInd w:val="0"/>
              <w:snapToGrid w:val="0"/>
              <w:spacing w:before="72" w:after="0" w:line="240" w:lineRule="auto"/>
              <w:ind w:right="92"/>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息</w:t>
            </w:r>
          </w:p>
        </w:tc>
        <w:tc>
          <w:tcPr>
            <w:tcW w:w="2207" w:type="dxa"/>
            <w:tcBorders>
              <w:top w:val="single" w:color="000000" w:sz="4" w:space="0"/>
              <w:left w:val="nil"/>
              <w:bottom w:val="single" w:color="000000" w:sz="4" w:space="0"/>
              <w:right w:val="single" w:color="000000" w:sz="4" w:space="0"/>
            </w:tcBorders>
            <w:vAlign w:val="center"/>
          </w:tcPr>
          <w:p w14:paraId="024BC832">
            <w:pPr>
              <w:widowControl/>
              <w:kinsoku w:val="0"/>
              <w:autoSpaceDE w:val="0"/>
              <w:autoSpaceDN w:val="0"/>
              <w:adjustRightInd w:val="0"/>
              <w:snapToGrid w:val="0"/>
              <w:spacing w:before="71"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项目名称</w:t>
            </w:r>
          </w:p>
        </w:tc>
        <w:tc>
          <w:tcPr>
            <w:tcW w:w="1968" w:type="dxa"/>
            <w:tcBorders>
              <w:top w:val="single" w:color="000000" w:sz="4" w:space="0"/>
              <w:left w:val="nil"/>
              <w:bottom w:val="single" w:color="000000" w:sz="4" w:space="0"/>
              <w:right w:val="single" w:color="000000" w:sz="4" w:space="0"/>
            </w:tcBorders>
            <w:vAlign w:val="center"/>
          </w:tcPr>
          <w:p w14:paraId="304BC928">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Cs w:val="21"/>
              </w:rPr>
            </w:pPr>
          </w:p>
        </w:tc>
        <w:tc>
          <w:tcPr>
            <w:tcW w:w="1208" w:type="dxa"/>
            <w:tcBorders>
              <w:top w:val="single" w:color="000000" w:sz="4" w:space="0"/>
              <w:left w:val="nil"/>
              <w:bottom w:val="single" w:color="000000" w:sz="4" w:space="0"/>
              <w:right w:val="single" w:color="000000" w:sz="4" w:space="0"/>
            </w:tcBorders>
          </w:tcPr>
          <w:p w14:paraId="6670D6B4">
            <w:pPr>
              <w:widowControl/>
              <w:kinsoku w:val="0"/>
              <w:autoSpaceDE w:val="0"/>
              <w:autoSpaceDN w:val="0"/>
              <w:adjustRightInd w:val="0"/>
              <w:snapToGrid w:val="0"/>
              <w:spacing w:before="71" w:after="0" w:line="240" w:lineRule="auto"/>
              <w:jc w:val="center"/>
              <w:textAlignment w:val="baseline"/>
              <w:rPr>
                <w:rFonts w:ascii="仿宋" w:hAnsi="仿宋" w:eastAsia="仿宋" w:cs="Arial"/>
                <w:color w:val="000000"/>
                <w:kern w:val="0"/>
                <w:szCs w:val="21"/>
              </w:rPr>
            </w:pPr>
          </w:p>
          <w:p w14:paraId="11E999B3">
            <w:pPr>
              <w:widowControl/>
              <w:kinsoku w:val="0"/>
              <w:autoSpaceDE w:val="0"/>
              <w:autoSpaceDN w:val="0"/>
              <w:adjustRightInd w:val="0"/>
              <w:snapToGrid w:val="0"/>
              <w:spacing w:before="71"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项目类别</w:t>
            </w:r>
          </w:p>
        </w:tc>
        <w:tc>
          <w:tcPr>
            <w:tcW w:w="2413" w:type="dxa"/>
            <w:tcBorders>
              <w:top w:val="single" w:color="000000" w:sz="4" w:space="0"/>
              <w:left w:val="nil"/>
              <w:bottom w:val="single" w:color="000000" w:sz="4" w:space="0"/>
              <w:right w:val="single" w:color="000000" w:sz="4" w:space="0"/>
            </w:tcBorders>
            <w:vAlign w:val="center"/>
          </w:tcPr>
          <w:p w14:paraId="49BA277E">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tc>
      </w:tr>
      <w:tr w14:paraId="032AD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20" w:hRule="atLeast"/>
        </w:trPr>
        <w:tc>
          <w:tcPr>
            <w:tcW w:w="654" w:type="dxa"/>
            <w:vMerge w:val="continue"/>
            <w:tcBorders>
              <w:top w:val="single" w:color="000000" w:sz="4" w:space="0"/>
              <w:left w:val="single" w:color="000000" w:sz="4" w:space="0"/>
              <w:bottom w:val="single" w:color="000000" w:sz="4" w:space="0"/>
              <w:right w:val="single" w:color="000000" w:sz="4" w:space="0"/>
            </w:tcBorders>
            <w:vAlign w:val="center"/>
          </w:tcPr>
          <w:p w14:paraId="158390AB">
            <w:pPr>
              <w:widowControl/>
              <w:spacing w:after="0" w:line="240" w:lineRule="auto"/>
              <w:jc w:val="left"/>
              <w:rPr>
                <w:rFonts w:ascii="仿宋" w:hAnsi="仿宋" w:eastAsia="仿宋" w:cs="Arial"/>
                <w:color w:val="000000"/>
                <w:kern w:val="0"/>
                <w:szCs w:val="21"/>
              </w:rPr>
            </w:pPr>
          </w:p>
        </w:tc>
        <w:tc>
          <w:tcPr>
            <w:tcW w:w="2207" w:type="dxa"/>
            <w:tcBorders>
              <w:top w:val="single" w:color="000000" w:sz="4" w:space="0"/>
              <w:left w:val="nil"/>
              <w:bottom w:val="single" w:color="000000" w:sz="4" w:space="0"/>
              <w:right w:val="single" w:color="000000" w:sz="4" w:space="0"/>
            </w:tcBorders>
            <w:vAlign w:val="center"/>
          </w:tcPr>
          <w:p w14:paraId="7351AD8F">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占地面积</w:t>
            </w:r>
          </w:p>
          <w:p w14:paraId="1F7C450E">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（亩）</w:t>
            </w:r>
          </w:p>
        </w:tc>
        <w:tc>
          <w:tcPr>
            <w:tcW w:w="1968" w:type="dxa"/>
            <w:tcBorders>
              <w:top w:val="single" w:color="000000" w:sz="4" w:space="0"/>
              <w:left w:val="nil"/>
              <w:bottom w:val="single" w:color="000000" w:sz="4" w:space="0"/>
              <w:right w:val="single" w:color="000000" w:sz="4" w:space="0"/>
            </w:tcBorders>
            <w:vAlign w:val="center"/>
          </w:tcPr>
          <w:p w14:paraId="7D71F888">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tc>
        <w:tc>
          <w:tcPr>
            <w:tcW w:w="1208" w:type="dxa"/>
            <w:tcBorders>
              <w:top w:val="single" w:color="000000" w:sz="4" w:space="0"/>
              <w:left w:val="nil"/>
              <w:bottom w:val="single" w:color="000000" w:sz="4" w:space="0"/>
              <w:right w:val="single" w:color="000000" w:sz="4" w:space="0"/>
            </w:tcBorders>
            <w:vAlign w:val="center"/>
          </w:tcPr>
          <w:p w14:paraId="1858806E">
            <w:pPr>
              <w:widowControl/>
              <w:kinsoku w:val="0"/>
              <w:autoSpaceDE w:val="0"/>
              <w:autoSpaceDN w:val="0"/>
              <w:adjustRightInd w:val="0"/>
              <w:snapToGrid w:val="0"/>
              <w:spacing w:before="71"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投资规模</w:t>
            </w:r>
          </w:p>
          <w:p w14:paraId="1643BBBA">
            <w:pPr>
              <w:widowControl/>
              <w:kinsoku w:val="0"/>
              <w:autoSpaceDE w:val="0"/>
              <w:autoSpaceDN w:val="0"/>
              <w:adjustRightInd w:val="0"/>
              <w:snapToGrid w:val="0"/>
              <w:spacing w:before="71"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（万元）</w:t>
            </w:r>
          </w:p>
        </w:tc>
        <w:tc>
          <w:tcPr>
            <w:tcW w:w="2413" w:type="dxa"/>
            <w:tcBorders>
              <w:top w:val="single" w:color="000000" w:sz="4" w:space="0"/>
              <w:left w:val="nil"/>
              <w:bottom w:val="single" w:color="000000" w:sz="4" w:space="0"/>
              <w:right w:val="single" w:color="000000" w:sz="4" w:space="0"/>
            </w:tcBorders>
            <w:vAlign w:val="center"/>
          </w:tcPr>
          <w:p w14:paraId="3F859826">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tc>
      </w:tr>
      <w:tr w14:paraId="0D1FC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49" w:hRule="atLeast"/>
        </w:trPr>
        <w:tc>
          <w:tcPr>
            <w:tcW w:w="654" w:type="dxa"/>
            <w:vMerge w:val="continue"/>
            <w:tcBorders>
              <w:top w:val="single" w:color="000000" w:sz="4" w:space="0"/>
              <w:left w:val="single" w:color="000000" w:sz="4" w:space="0"/>
              <w:bottom w:val="single" w:color="000000" w:sz="4" w:space="0"/>
              <w:right w:val="single" w:color="000000" w:sz="4" w:space="0"/>
            </w:tcBorders>
            <w:vAlign w:val="center"/>
          </w:tcPr>
          <w:p w14:paraId="1CC28A0B">
            <w:pPr>
              <w:widowControl/>
              <w:spacing w:after="0" w:line="240" w:lineRule="auto"/>
              <w:jc w:val="left"/>
              <w:rPr>
                <w:rFonts w:ascii="仿宋" w:hAnsi="仿宋" w:eastAsia="仿宋" w:cs="Arial"/>
                <w:color w:val="000000"/>
                <w:kern w:val="0"/>
                <w:szCs w:val="21"/>
              </w:rPr>
            </w:pPr>
          </w:p>
        </w:tc>
        <w:tc>
          <w:tcPr>
            <w:tcW w:w="2207" w:type="dxa"/>
            <w:tcBorders>
              <w:top w:val="single" w:color="000000" w:sz="4" w:space="0"/>
              <w:left w:val="nil"/>
              <w:bottom w:val="single" w:color="000000" w:sz="4" w:space="0"/>
              <w:right w:val="single" w:color="000000" w:sz="4" w:space="0"/>
            </w:tcBorders>
            <w:vAlign w:val="center"/>
          </w:tcPr>
          <w:p w14:paraId="6E3691A7">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p>
          <w:p w14:paraId="3E7E935A">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建设内容</w:t>
            </w:r>
          </w:p>
        </w:tc>
        <w:tc>
          <w:tcPr>
            <w:tcW w:w="5589" w:type="dxa"/>
            <w:gridSpan w:val="3"/>
            <w:tcBorders>
              <w:top w:val="single" w:color="000000" w:sz="4" w:space="0"/>
              <w:left w:val="nil"/>
              <w:bottom w:val="single" w:color="000000" w:sz="4" w:space="0"/>
              <w:right w:val="single" w:color="000000" w:sz="4" w:space="0"/>
            </w:tcBorders>
          </w:tcPr>
          <w:p w14:paraId="18E7BBE3">
            <w:pPr>
              <w:widowControl/>
              <w:kinsoku w:val="0"/>
              <w:autoSpaceDE w:val="0"/>
              <w:autoSpaceDN w:val="0"/>
              <w:adjustRightInd w:val="0"/>
              <w:snapToGrid w:val="0"/>
              <w:spacing w:after="0" w:line="240" w:lineRule="auto"/>
              <w:ind w:firstLine="420" w:firstLineChars="200"/>
              <w:textAlignment w:val="baseline"/>
              <w:rPr>
                <w:rFonts w:hint="eastAsia" w:ascii="仿宋" w:hAnsi="仿宋" w:eastAsia="仿宋" w:cs="Arial"/>
                <w:color w:val="000000"/>
                <w:kern w:val="0"/>
                <w:szCs w:val="21"/>
              </w:rPr>
            </w:pPr>
          </w:p>
        </w:tc>
      </w:tr>
      <w:tr w14:paraId="74D85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872" w:hRule="atLeast"/>
        </w:trPr>
        <w:tc>
          <w:tcPr>
            <w:tcW w:w="654" w:type="dxa"/>
            <w:vMerge w:val="continue"/>
            <w:tcBorders>
              <w:top w:val="single" w:color="000000" w:sz="4" w:space="0"/>
              <w:left w:val="single" w:color="000000" w:sz="4" w:space="0"/>
              <w:bottom w:val="single" w:color="000000" w:sz="4" w:space="0"/>
              <w:right w:val="single" w:color="000000" w:sz="4" w:space="0"/>
            </w:tcBorders>
            <w:vAlign w:val="center"/>
          </w:tcPr>
          <w:p w14:paraId="16E068D9">
            <w:pPr>
              <w:widowControl/>
              <w:spacing w:after="0" w:line="240" w:lineRule="auto"/>
              <w:jc w:val="left"/>
              <w:rPr>
                <w:rFonts w:ascii="仿宋" w:hAnsi="仿宋" w:eastAsia="仿宋" w:cs="Arial"/>
                <w:color w:val="000000"/>
                <w:kern w:val="0"/>
                <w:szCs w:val="21"/>
              </w:rPr>
            </w:pPr>
          </w:p>
        </w:tc>
        <w:tc>
          <w:tcPr>
            <w:tcW w:w="2207" w:type="dxa"/>
            <w:tcBorders>
              <w:top w:val="single" w:color="000000" w:sz="4" w:space="0"/>
              <w:left w:val="nil"/>
              <w:bottom w:val="single" w:color="000000" w:sz="4" w:space="0"/>
              <w:right w:val="single" w:color="000000" w:sz="4" w:space="0"/>
            </w:tcBorders>
            <w:vAlign w:val="center"/>
          </w:tcPr>
          <w:p w14:paraId="3A2312D1">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产业产品</w:t>
            </w:r>
          </w:p>
          <w:p w14:paraId="6E95A86D">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（名称、用途、关联）</w:t>
            </w:r>
          </w:p>
        </w:tc>
        <w:tc>
          <w:tcPr>
            <w:tcW w:w="5589" w:type="dxa"/>
            <w:gridSpan w:val="3"/>
            <w:tcBorders>
              <w:top w:val="single" w:color="000000" w:sz="4" w:space="0"/>
              <w:left w:val="nil"/>
              <w:bottom w:val="single" w:color="000000" w:sz="4" w:space="0"/>
              <w:right w:val="single" w:color="000000" w:sz="4" w:space="0"/>
            </w:tcBorders>
            <w:vAlign w:val="center"/>
          </w:tcPr>
          <w:p w14:paraId="7E6B48E4">
            <w:pPr>
              <w:widowControl/>
              <w:kinsoku w:val="0"/>
              <w:autoSpaceDE w:val="0"/>
              <w:autoSpaceDN w:val="0"/>
              <w:adjustRightInd w:val="0"/>
              <w:snapToGrid w:val="0"/>
              <w:spacing w:after="0" w:line="240" w:lineRule="auto"/>
              <w:ind w:firstLine="420" w:firstLineChars="200"/>
              <w:textAlignment w:val="baseline"/>
              <w:rPr>
                <w:rFonts w:hint="eastAsia" w:ascii="仿宋" w:hAnsi="仿宋" w:eastAsia="仿宋" w:cs="Arial"/>
                <w:color w:val="000000"/>
                <w:kern w:val="0"/>
                <w:szCs w:val="21"/>
              </w:rPr>
            </w:pPr>
          </w:p>
        </w:tc>
      </w:tr>
      <w:tr w14:paraId="3E567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925" w:hRule="atLeast"/>
        </w:trPr>
        <w:tc>
          <w:tcPr>
            <w:tcW w:w="654" w:type="dxa"/>
            <w:vMerge w:val="continue"/>
            <w:tcBorders>
              <w:top w:val="single" w:color="000000" w:sz="4" w:space="0"/>
              <w:left w:val="single" w:color="000000" w:sz="4" w:space="0"/>
              <w:bottom w:val="single" w:color="000000" w:sz="4" w:space="0"/>
              <w:right w:val="single" w:color="000000" w:sz="4" w:space="0"/>
            </w:tcBorders>
            <w:vAlign w:val="center"/>
          </w:tcPr>
          <w:p w14:paraId="2A97246A">
            <w:pPr>
              <w:widowControl/>
              <w:spacing w:after="0" w:line="240" w:lineRule="auto"/>
              <w:jc w:val="left"/>
              <w:rPr>
                <w:rFonts w:ascii="仿宋" w:hAnsi="仿宋" w:eastAsia="仿宋" w:cs="Arial"/>
                <w:color w:val="000000"/>
                <w:kern w:val="0"/>
                <w:szCs w:val="21"/>
              </w:rPr>
            </w:pPr>
          </w:p>
        </w:tc>
        <w:tc>
          <w:tcPr>
            <w:tcW w:w="2207" w:type="dxa"/>
            <w:tcBorders>
              <w:top w:val="single" w:color="000000" w:sz="4" w:space="0"/>
              <w:left w:val="nil"/>
              <w:bottom w:val="single" w:color="000000" w:sz="4" w:space="0"/>
              <w:right w:val="single" w:color="000000" w:sz="4" w:space="0"/>
            </w:tcBorders>
            <w:vAlign w:val="center"/>
          </w:tcPr>
          <w:p w14:paraId="035CAFFB">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效益分析</w:t>
            </w:r>
          </w:p>
          <w:p w14:paraId="15D7EFE0">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（产值/利税/就业）</w:t>
            </w:r>
          </w:p>
        </w:tc>
        <w:tc>
          <w:tcPr>
            <w:tcW w:w="5589" w:type="dxa"/>
            <w:gridSpan w:val="3"/>
            <w:tcBorders>
              <w:top w:val="single" w:color="000000" w:sz="4" w:space="0"/>
              <w:left w:val="nil"/>
              <w:bottom w:val="single" w:color="000000" w:sz="4" w:space="0"/>
              <w:right w:val="single" w:color="000000" w:sz="4" w:space="0"/>
            </w:tcBorders>
            <w:vAlign w:val="center"/>
          </w:tcPr>
          <w:p w14:paraId="181A26FD">
            <w:pPr>
              <w:widowControl/>
              <w:kinsoku w:val="0"/>
              <w:autoSpaceDE w:val="0"/>
              <w:autoSpaceDN w:val="0"/>
              <w:adjustRightInd w:val="0"/>
              <w:snapToGrid w:val="0"/>
              <w:spacing w:after="0" w:line="240" w:lineRule="auto"/>
              <w:ind w:firstLine="420" w:firstLineChars="200"/>
              <w:textAlignment w:val="baseline"/>
              <w:rPr>
                <w:rFonts w:hint="eastAsia" w:ascii="仿宋" w:hAnsi="仿宋" w:eastAsia="仿宋" w:cs="Arial"/>
                <w:color w:val="000000"/>
                <w:kern w:val="0"/>
                <w:szCs w:val="21"/>
              </w:rPr>
            </w:pPr>
          </w:p>
        </w:tc>
      </w:tr>
      <w:tr w14:paraId="30588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804" w:hRule="atLeast"/>
        </w:trPr>
        <w:tc>
          <w:tcPr>
            <w:tcW w:w="654" w:type="dxa"/>
            <w:vMerge w:val="restart"/>
            <w:tcBorders>
              <w:top w:val="nil"/>
              <w:left w:val="single" w:color="000000" w:sz="4" w:space="0"/>
              <w:bottom w:val="single" w:color="000000" w:sz="4" w:space="0"/>
              <w:right w:val="single" w:color="000000" w:sz="4" w:space="0"/>
            </w:tcBorders>
            <w:vAlign w:val="center"/>
          </w:tcPr>
          <w:p w14:paraId="1722C6F4">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生</w:t>
            </w:r>
          </w:p>
          <w:p w14:paraId="2C374BD1">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产</w:t>
            </w:r>
          </w:p>
          <w:p w14:paraId="60646E36">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工</w:t>
            </w:r>
          </w:p>
          <w:p w14:paraId="07E4ECEE">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艺</w:t>
            </w:r>
          </w:p>
        </w:tc>
        <w:tc>
          <w:tcPr>
            <w:tcW w:w="2207" w:type="dxa"/>
            <w:tcBorders>
              <w:top w:val="single" w:color="000000" w:sz="4" w:space="0"/>
              <w:left w:val="nil"/>
              <w:bottom w:val="single" w:color="000000" w:sz="4" w:space="0"/>
              <w:right w:val="single" w:color="000000" w:sz="4" w:space="0"/>
            </w:tcBorders>
            <w:vAlign w:val="center"/>
          </w:tcPr>
          <w:p w14:paraId="74621BBB">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p w14:paraId="72CEDAC1">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工艺流程</w:t>
            </w:r>
          </w:p>
        </w:tc>
        <w:tc>
          <w:tcPr>
            <w:tcW w:w="5589" w:type="dxa"/>
            <w:gridSpan w:val="3"/>
            <w:tcBorders>
              <w:top w:val="single" w:color="000000" w:sz="4" w:space="0"/>
              <w:left w:val="nil"/>
              <w:bottom w:val="single" w:color="000000" w:sz="4" w:space="0"/>
              <w:right w:val="single" w:color="000000" w:sz="4" w:space="0"/>
            </w:tcBorders>
          </w:tcPr>
          <w:p w14:paraId="04AB07D7">
            <w:pPr>
              <w:widowControl/>
              <w:kinsoku w:val="0"/>
              <w:autoSpaceDE w:val="0"/>
              <w:autoSpaceDN w:val="0"/>
              <w:adjustRightInd w:val="0"/>
              <w:snapToGrid w:val="0"/>
              <w:spacing w:after="0" w:line="240" w:lineRule="auto"/>
              <w:jc w:val="left"/>
              <w:textAlignment w:val="baseline"/>
              <w:rPr>
                <w:rFonts w:hint="eastAsia" w:ascii="仿宋" w:hAnsi="仿宋" w:eastAsia="仿宋" w:cs="Arial"/>
                <w:color w:val="000000"/>
                <w:kern w:val="0"/>
                <w:szCs w:val="21"/>
              </w:rPr>
            </w:pPr>
          </w:p>
        </w:tc>
      </w:tr>
      <w:tr w14:paraId="0154E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48" w:hRule="atLeast"/>
        </w:trPr>
        <w:tc>
          <w:tcPr>
            <w:tcW w:w="654" w:type="dxa"/>
            <w:vMerge w:val="continue"/>
            <w:tcBorders>
              <w:top w:val="nil"/>
              <w:left w:val="single" w:color="000000" w:sz="4" w:space="0"/>
              <w:bottom w:val="single" w:color="000000" w:sz="4" w:space="0"/>
              <w:right w:val="single" w:color="000000" w:sz="4" w:space="0"/>
            </w:tcBorders>
            <w:vAlign w:val="center"/>
          </w:tcPr>
          <w:p w14:paraId="4E7EF025">
            <w:pPr>
              <w:widowControl/>
              <w:spacing w:after="0" w:line="240" w:lineRule="auto"/>
              <w:jc w:val="left"/>
              <w:rPr>
                <w:rFonts w:ascii="仿宋" w:hAnsi="仿宋" w:eastAsia="仿宋" w:cs="Arial"/>
                <w:color w:val="000000"/>
                <w:kern w:val="0"/>
                <w:szCs w:val="21"/>
              </w:rPr>
            </w:pPr>
          </w:p>
        </w:tc>
        <w:tc>
          <w:tcPr>
            <w:tcW w:w="2207" w:type="dxa"/>
            <w:tcBorders>
              <w:top w:val="single" w:color="000000" w:sz="4" w:space="0"/>
              <w:left w:val="nil"/>
              <w:bottom w:val="single" w:color="000000" w:sz="4" w:space="0"/>
              <w:right w:val="single" w:color="000000" w:sz="4" w:space="0"/>
            </w:tcBorders>
            <w:vAlign w:val="center"/>
          </w:tcPr>
          <w:p w14:paraId="76CF883D">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工艺来源</w:t>
            </w:r>
          </w:p>
          <w:p w14:paraId="12AA9355">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（是否涉监管工艺）</w:t>
            </w:r>
          </w:p>
        </w:tc>
        <w:tc>
          <w:tcPr>
            <w:tcW w:w="5589" w:type="dxa"/>
            <w:gridSpan w:val="3"/>
            <w:tcBorders>
              <w:top w:val="single" w:color="000000" w:sz="4" w:space="0"/>
              <w:left w:val="nil"/>
              <w:bottom w:val="single" w:color="000000" w:sz="4" w:space="0"/>
              <w:right w:val="single" w:color="000000" w:sz="4" w:space="0"/>
            </w:tcBorders>
            <w:vAlign w:val="center"/>
          </w:tcPr>
          <w:p w14:paraId="34E2F16E">
            <w:pPr>
              <w:widowControl/>
              <w:kinsoku w:val="0"/>
              <w:autoSpaceDE w:val="0"/>
              <w:autoSpaceDN w:val="0"/>
              <w:adjustRightInd w:val="0"/>
              <w:snapToGrid w:val="0"/>
              <w:spacing w:after="0" w:line="240" w:lineRule="auto"/>
              <w:ind w:firstLine="420" w:firstLineChars="200"/>
              <w:textAlignment w:val="baseline"/>
              <w:rPr>
                <w:rFonts w:hint="eastAsia" w:ascii="仿宋" w:hAnsi="仿宋" w:eastAsia="仿宋" w:cs="Arial"/>
                <w:color w:val="000000"/>
                <w:kern w:val="0"/>
                <w:szCs w:val="21"/>
              </w:rPr>
            </w:pPr>
          </w:p>
        </w:tc>
      </w:tr>
      <w:tr w14:paraId="6C354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109" w:hRule="atLeast"/>
        </w:trPr>
        <w:tc>
          <w:tcPr>
            <w:tcW w:w="654" w:type="dxa"/>
            <w:tcBorders>
              <w:top w:val="single" w:color="000000" w:sz="4" w:space="0"/>
              <w:left w:val="single" w:color="000000" w:sz="4" w:space="0"/>
              <w:bottom w:val="single" w:color="000000" w:sz="4" w:space="0"/>
              <w:right w:val="single" w:color="000000" w:sz="4" w:space="0"/>
            </w:tcBorders>
            <w:vAlign w:val="center"/>
          </w:tcPr>
          <w:p w14:paraId="308AC446">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原</w:t>
            </w:r>
          </w:p>
          <w:p w14:paraId="56988EF1">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辅</w:t>
            </w:r>
          </w:p>
          <w:p w14:paraId="35B08CE7">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材</w:t>
            </w:r>
          </w:p>
          <w:p w14:paraId="511A57E1">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料</w:t>
            </w:r>
          </w:p>
        </w:tc>
        <w:tc>
          <w:tcPr>
            <w:tcW w:w="7796" w:type="dxa"/>
            <w:gridSpan w:val="4"/>
            <w:tcBorders>
              <w:top w:val="single" w:color="000000" w:sz="4" w:space="0"/>
              <w:left w:val="nil"/>
              <w:bottom w:val="single" w:color="000000" w:sz="4" w:space="0"/>
              <w:right w:val="single" w:color="000000" w:sz="4" w:space="0"/>
            </w:tcBorders>
            <w:vAlign w:val="center"/>
          </w:tcPr>
          <w:p w14:paraId="7AAA2408">
            <w:pPr>
              <w:widowControl/>
              <w:kinsoku w:val="0"/>
              <w:autoSpaceDE w:val="0"/>
              <w:autoSpaceDN w:val="0"/>
              <w:adjustRightInd w:val="0"/>
              <w:snapToGrid w:val="0"/>
              <w:spacing w:after="0" w:line="240" w:lineRule="auto"/>
              <w:textAlignment w:val="baseline"/>
              <w:rPr>
                <w:rFonts w:ascii="仿宋" w:hAnsi="仿宋" w:eastAsia="仿宋" w:cs="Arial"/>
                <w:color w:val="000000"/>
                <w:kern w:val="0"/>
                <w:szCs w:val="21"/>
              </w:rPr>
            </w:pPr>
          </w:p>
        </w:tc>
      </w:tr>
    </w:tbl>
    <w:p w14:paraId="536BA98A">
      <w:pPr>
        <w:widowControl/>
        <w:spacing w:after="0" w:line="240" w:lineRule="auto"/>
        <w:jc w:val="left"/>
        <w:rPr>
          <w:rFonts w:hint="eastAsia" w:ascii="仿宋" w:hAnsi="仿宋" w:eastAsia="仿宋" w:cs="Arial"/>
          <w:color w:val="000000"/>
          <w:kern w:val="0"/>
          <w:szCs w:val="21"/>
        </w:rPr>
        <w:sectPr>
          <w:pgSz w:w="11910" w:h="16840"/>
          <w:pgMar w:top="1440" w:right="1800" w:bottom="1440" w:left="1800" w:header="720" w:footer="720" w:gutter="0"/>
          <w:cols w:space="720" w:num="1"/>
        </w:sectPr>
      </w:pPr>
    </w:p>
    <w:p w14:paraId="64540373">
      <w:pPr>
        <w:widowControl/>
        <w:kinsoku w:val="0"/>
        <w:autoSpaceDE w:val="0"/>
        <w:autoSpaceDN w:val="0"/>
        <w:adjustRightInd w:val="0"/>
        <w:snapToGrid w:val="0"/>
        <w:spacing w:before="34" w:after="0" w:line="240" w:lineRule="auto"/>
        <w:jc w:val="left"/>
        <w:textAlignment w:val="baseline"/>
        <w:rPr>
          <w:rFonts w:hint="eastAsia" w:ascii="仿宋" w:hAnsi="仿宋" w:eastAsia="仿宋" w:cs="Arial"/>
          <w:color w:val="000000"/>
          <w:kern w:val="0"/>
          <w:szCs w:val="21"/>
        </w:rPr>
      </w:pPr>
    </w:p>
    <w:tbl>
      <w:tblPr>
        <w:tblStyle w:val="4"/>
        <w:tblW w:w="8462" w:type="dxa"/>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57" w:type="dxa"/>
          <w:bottom w:w="0" w:type="dxa"/>
          <w:right w:w="57" w:type="dxa"/>
        </w:tblCellMar>
      </w:tblPr>
      <w:tblGrid>
        <w:gridCol w:w="721"/>
        <w:gridCol w:w="1996"/>
        <w:gridCol w:w="189"/>
        <w:gridCol w:w="1231"/>
        <w:gridCol w:w="580"/>
        <w:gridCol w:w="720"/>
        <w:gridCol w:w="1185"/>
        <w:gridCol w:w="1840"/>
      </w:tblGrid>
      <w:tr w14:paraId="42018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0" w:type="dxa"/>
            <w:right w:w="57" w:type="dxa"/>
          </w:tblCellMar>
        </w:tblPrEx>
        <w:trPr>
          <w:trHeight w:val="999" w:hRule="atLeast"/>
        </w:trPr>
        <w:tc>
          <w:tcPr>
            <w:tcW w:w="721" w:type="dxa"/>
            <w:vMerge w:val="restart"/>
            <w:tcBorders>
              <w:top w:val="single" w:color="000000" w:sz="4" w:space="0"/>
              <w:left w:val="single" w:color="000000" w:sz="4" w:space="0"/>
              <w:bottom w:val="single" w:color="000000" w:sz="4" w:space="0"/>
              <w:right w:val="single" w:color="000000" w:sz="4" w:space="0"/>
            </w:tcBorders>
            <w:vAlign w:val="center"/>
          </w:tcPr>
          <w:p w14:paraId="06153756">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ascii="仿宋" w:hAnsi="仿宋" w:eastAsia="仿宋" w:cs="Arial"/>
                <w:color w:val="000000"/>
                <w:kern w:val="0"/>
                <w:szCs w:val="21"/>
              </w:rPr>
              <w:t>能</w:t>
            </w:r>
          </w:p>
          <w:p w14:paraId="76F88893">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ascii="仿宋" w:hAnsi="仿宋" w:eastAsia="仿宋" w:cs="Arial"/>
                <w:color w:val="000000"/>
                <w:kern w:val="0"/>
                <w:szCs w:val="21"/>
              </w:rPr>
              <w:t>源</w:t>
            </w:r>
          </w:p>
          <w:p w14:paraId="379C614B">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ascii="仿宋" w:hAnsi="仿宋" w:eastAsia="仿宋" w:cs="Arial"/>
                <w:color w:val="000000"/>
                <w:kern w:val="0"/>
                <w:szCs w:val="21"/>
              </w:rPr>
              <w:t>消</w:t>
            </w:r>
          </w:p>
          <w:p w14:paraId="054D57B0">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ascii="仿宋" w:hAnsi="仿宋" w:eastAsia="仿宋" w:cs="Arial"/>
                <w:color w:val="000000"/>
                <w:kern w:val="0"/>
                <w:szCs w:val="21"/>
              </w:rPr>
              <w:t>耗</w:t>
            </w:r>
          </w:p>
        </w:tc>
        <w:tc>
          <w:tcPr>
            <w:tcW w:w="2185" w:type="dxa"/>
            <w:gridSpan w:val="2"/>
            <w:tcBorders>
              <w:top w:val="single" w:color="000000" w:sz="4" w:space="0"/>
              <w:left w:val="nil"/>
              <w:bottom w:val="single" w:color="000000" w:sz="4" w:space="0"/>
              <w:right w:val="single" w:color="000000" w:sz="4" w:space="0"/>
            </w:tcBorders>
            <w:vAlign w:val="center"/>
          </w:tcPr>
          <w:p w14:paraId="03299B76">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p>
          <w:p w14:paraId="6E3DAAE6">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能源种类</w:t>
            </w:r>
          </w:p>
        </w:tc>
        <w:tc>
          <w:tcPr>
            <w:tcW w:w="1231" w:type="dxa"/>
            <w:tcBorders>
              <w:top w:val="single" w:color="000000" w:sz="4" w:space="0"/>
              <w:left w:val="nil"/>
              <w:bottom w:val="single" w:color="000000" w:sz="4" w:space="0"/>
              <w:right w:val="single" w:color="000000" w:sz="4" w:space="0"/>
            </w:tcBorders>
            <w:vAlign w:val="center"/>
          </w:tcPr>
          <w:p w14:paraId="4ED219C4">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tc>
        <w:tc>
          <w:tcPr>
            <w:tcW w:w="1300" w:type="dxa"/>
            <w:gridSpan w:val="2"/>
            <w:tcBorders>
              <w:top w:val="single" w:color="000000" w:sz="4" w:space="0"/>
              <w:left w:val="nil"/>
              <w:bottom w:val="single" w:color="000000" w:sz="4" w:space="0"/>
              <w:right w:val="single" w:color="000000" w:sz="4" w:space="0"/>
            </w:tcBorders>
            <w:vAlign w:val="center"/>
          </w:tcPr>
          <w:p w14:paraId="6D334772">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tc>
        <w:tc>
          <w:tcPr>
            <w:tcW w:w="1185" w:type="dxa"/>
            <w:tcBorders>
              <w:top w:val="single" w:color="000000" w:sz="4" w:space="0"/>
              <w:left w:val="nil"/>
              <w:bottom w:val="single" w:color="000000" w:sz="4" w:space="0"/>
              <w:right w:val="single" w:color="000000" w:sz="4" w:space="0"/>
            </w:tcBorders>
            <w:vAlign w:val="center"/>
          </w:tcPr>
          <w:p w14:paraId="6348D90C">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tc>
        <w:tc>
          <w:tcPr>
            <w:tcW w:w="1840" w:type="dxa"/>
            <w:tcBorders>
              <w:top w:val="single" w:color="000000" w:sz="4" w:space="0"/>
              <w:left w:val="nil"/>
              <w:bottom w:val="single" w:color="000000" w:sz="4" w:space="0"/>
              <w:right w:val="single" w:color="000000" w:sz="4" w:space="0"/>
            </w:tcBorders>
          </w:tcPr>
          <w:p w14:paraId="7CBB8C47">
            <w:pPr>
              <w:widowControl/>
              <w:kinsoku w:val="0"/>
              <w:autoSpaceDE w:val="0"/>
              <w:autoSpaceDN w:val="0"/>
              <w:adjustRightInd w:val="0"/>
              <w:snapToGrid w:val="0"/>
              <w:spacing w:after="0" w:line="240" w:lineRule="auto"/>
              <w:jc w:val="left"/>
              <w:textAlignment w:val="baseline"/>
              <w:rPr>
                <w:rFonts w:hint="eastAsia" w:ascii="仿宋" w:hAnsi="仿宋" w:eastAsia="仿宋" w:cs="Arial"/>
                <w:color w:val="000000"/>
                <w:kern w:val="0"/>
                <w:szCs w:val="21"/>
              </w:rPr>
            </w:pPr>
          </w:p>
        </w:tc>
      </w:tr>
      <w:tr w14:paraId="7927F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0" w:type="dxa"/>
            <w:right w:w="57" w:type="dxa"/>
          </w:tblCellMar>
        </w:tblPrEx>
        <w:trPr>
          <w:trHeight w:val="1069" w:hRule="atLeast"/>
        </w:trPr>
        <w:tc>
          <w:tcPr>
            <w:tcW w:w="721" w:type="dxa"/>
            <w:vMerge w:val="continue"/>
            <w:tcBorders>
              <w:top w:val="single" w:color="000000" w:sz="4" w:space="0"/>
              <w:left w:val="single" w:color="000000" w:sz="4" w:space="0"/>
              <w:bottom w:val="single" w:color="000000" w:sz="4" w:space="0"/>
              <w:right w:val="single" w:color="000000" w:sz="4" w:space="0"/>
            </w:tcBorders>
            <w:vAlign w:val="center"/>
          </w:tcPr>
          <w:p w14:paraId="4FC03E23">
            <w:pPr>
              <w:widowControl/>
              <w:spacing w:after="0" w:line="240" w:lineRule="auto"/>
              <w:jc w:val="left"/>
              <w:rPr>
                <w:rFonts w:ascii="仿宋" w:hAnsi="仿宋" w:eastAsia="仿宋" w:cs="Arial"/>
                <w:color w:val="000000"/>
                <w:kern w:val="0"/>
                <w:szCs w:val="21"/>
              </w:rPr>
            </w:pPr>
          </w:p>
        </w:tc>
        <w:tc>
          <w:tcPr>
            <w:tcW w:w="2185" w:type="dxa"/>
            <w:gridSpan w:val="2"/>
            <w:tcBorders>
              <w:top w:val="single" w:color="000000" w:sz="4" w:space="0"/>
              <w:left w:val="nil"/>
              <w:bottom w:val="single" w:color="000000" w:sz="4" w:space="0"/>
              <w:right w:val="single" w:color="000000" w:sz="4" w:space="0"/>
            </w:tcBorders>
            <w:vAlign w:val="center"/>
          </w:tcPr>
          <w:p w14:paraId="1D1CA992">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hint="eastAsia" w:ascii="仿宋" w:hAnsi="仿宋" w:eastAsia="仿宋" w:cs="Arial"/>
                <w:color w:val="000000"/>
                <w:kern w:val="0"/>
                <w:szCs w:val="21"/>
              </w:rPr>
              <w:t>年消耗量</w:t>
            </w:r>
          </w:p>
          <w:p w14:paraId="6FA20C3F">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（用量）</w:t>
            </w:r>
          </w:p>
        </w:tc>
        <w:tc>
          <w:tcPr>
            <w:tcW w:w="1231" w:type="dxa"/>
            <w:tcBorders>
              <w:top w:val="single" w:color="000000" w:sz="4" w:space="0"/>
              <w:left w:val="nil"/>
              <w:bottom w:val="single" w:color="000000" w:sz="4" w:space="0"/>
              <w:right w:val="single" w:color="000000" w:sz="4" w:space="0"/>
            </w:tcBorders>
            <w:vAlign w:val="center"/>
          </w:tcPr>
          <w:p w14:paraId="36BCAE4B">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p>
        </w:tc>
        <w:tc>
          <w:tcPr>
            <w:tcW w:w="1300" w:type="dxa"/>
            <w:gridSpan w:val="2"/>
            <w:tcBorders>
              <w:top w:val="single" w:color="000000" w:sz="4" w:space="0"/>
              <w:left w:val="nil"/>
              <w:bottom w:val="single" w:color="000000" w:sz="4" w:space="0"/>
              <w:right w:val="single" w:color="000000" w:sz="4" w:space="0"/>
            </w:tcBorders>
            <w:vAlign w:val="center"/>
          </w:tcPr>
          <w:p w14:paraId="7F77522D">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Cs w:val="21"/>
              </w:rPr>
            </w:pPr>
          </w:p>
        </w:tc>
        <w:tc>
          <w:tcPr>
            <w:tcW w:w="1185" w:type="dxa"/>
            <w:tcBorders>
              <w:top w:val="single" w:color="000000" w:sz="4" w:space="0"/>
              <w:left w:val="nil"/>
              <w:bottom w:val="single" w:color="000000" w:sz="4" w:space="0"/>
              <w:right w:val="single" w:color="000000" w:sz="4" w:space="0"/>
            </w:tcBorders>
            <w:vAlign w:val="center"/>
          </w:tcPr>
          <w:p w14:paraId="1F988DDF">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Cs w:val="21"/>
              </w:rPr>
            </w:pPr>
          </w:p>
        </w:tc>
        <w:tc>
          <w:tcPr>
            <w:tcW w:w="1840" w:type="dxa"/>
            <w:tcBorders>
              <w:top w:val="single" w:color="000000" w:sz="4" w:space="0"/>
              <w:left w:val="nil"/>
              <w:bottom w:val="single" w:color="000000" w:sz="4" w:space="0"/>
              <w:right w:val="single" w:color="000000" w:sz="4" w:space="0"/>
            </w:tcBorders>
          </w:tcPr>
          <w:p w14:paraId="3A8771DD">
            <w:pPr>
              <w:widowControl/>
              <w:kinsoku w:val="0"/>
              <w:autoSpaceDE w:val="0"/>
              <w:autoSpaceDN w:val="0"/>
              <w:adjustRightInd w:val="0"/>
              <w:snapToGrid w:val="0"/>
              <w:spacing w:after="0" w:line="240" w:lineRule="auto"/>
              <w:jc w:val="left"/>
              <w:textAlignment w:val="baseline"/>
              <w:rPr>
                <w:rFonts w:hint="eastAsia" w:ascii="仿宋" w:hAnsi="仿宋" w:eastAsia="仿宋" w:cs="Arial"/>
                <w:color w:val="000000"/>
                <w:kern w:val="0"/>
                <w:szCs w:val="21"/>
              </w:rPr>
            </w:pPr>
          </w:p>
        </w:tc>
      </w:tr>
      <w:tr w14:paraId="44917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0" w:type="dxa"/>
            <w:right w:w="57" w:type="dxa"/>
          </w:tblCellMar>
        </w:tblPrEx>
        <w:trPr>
          <w:trHeight w:val="1795" w:hRule="atLeast"/>
        </w:trPr>
        <w:tc>
          <w:tcPr>
            <w:tcW w:w="721" w:type="dxa"/>
            <w:vMerge w:val="restart"/>
            <w:tcBorders>
              <w:top w:val="nil"/>
              <w:left w:val="single" w:color="000000" w:sz="4" w:space="0"/>
              <w:bottom w:val="single" w:color="000000" w:sz="4" w:space="0"/>
              <w:right w:val="single" w:color="000000" w:sz="4" w:space="0"/>
            </w:tcBorders>
            <w:vAlign w:val="center"/>
          </w:tcPr>
          <w:p w14:paraId="0DC42089">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ascii="仿宋" w:hAnsi="仿宋" w:eastAsia="仿宋" w:cs="Arial"/>
                <w:color w:val="000000"/>
                <w:kern w:val="0"/>
                <w:szCs w:val="21"/>
              </w:rPr>
              <w:t>安</w:t>
            </w:r>
          </w:p>
          <w:p w14:paraId="3820E07E">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ascii="仿宋" w:hAnsi="仿宋" w:eastAsia="仿宋" w:cs="Arial"/>
                <w:color w:val="000000"/>
                <w:kern w:val="0"/>
                <w:szCs w:val="21"/>
              </w:rPr>
              <w:t>全</w:t>
            </w:r>
          </w:p>
          <w:p w14:paraId="60510881">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ascii="仿宋" w:hAnsi="仿宋" w:eastAsia="仿宋" w:cs="Arial"/>
                <w:color w:val="000000"/>
                <w:kern w:val="0"/>
                <w:szCs w:val="21"/>
              </w:rPr>
              <w:t>环</w:t>
            </w:r>
          </w:p>
          <w:p w14:paraId="1FC028B0">
            <w:pPr>
              <w:widowControl/>
              <w:kinsoku w:val="0"/>
              <w:autoSpaceDE w:val="0"/>
              <w:autoSpaceDN w:val="0"/>
              <w:adjustRightInd w:val="0"/>
              <w:snapToGrid w:val="0"/>
              <w:spacing w:before="72" w:after="0" w:line="240" w:lineRule="auto"/>
              <w:jc w:val="center"/>
              <w:textAlignment w:val="baseline"/>
              <w:rPr>
                <w:rFonts w:ascii="仿宋" w:hAnsi="仿宋" w:eastAsia="仿宋" w:cs="Arial"/>
                <w:color w:val="000000"/>
                <w:kern w:val="0"/>
                <w:szCs w:val="21"/>
              </w:rPr>
            </w:pPr>
            <w:r>
              <w:rPr>
                <w:rFonts w:ascii="仿宋" w:hAnsi="仿宋" w:eastAsia="仿宋" w:cs="Arial"/>
                <w:color w:val="000000"/>
                <w:kern w:val="0"/>
                <w:szCs w:val="21"/>
              </w:rPr>
              <w:t>保</w:t>
            </w:r>
          </w:p>
        </w:tc>
        <w:tc>
          <w:tcPr>
            <w:tcW w:w="2185" w:type="dxa"/>
            <w:gridSpan w:val="2"/>
            <w:tcBorders>
              <w:top w:val="single" w:color="000000" w:sz="4" w:space="0"/>
              <w:left w:val="nil"/>
              <w:bottom w:val="single" w:color="000000" w:sz="4" w:space="0"/>
              <w:right w:val="single" w:color="000000" w:sz="4" w:space="0"/>
            </w:tcBorders>
            <w:vAlign w:val="center"/>
          </w:tcPr>
          <w:p w14:paraId="29E5AA07">
            <w:pPr>
              <w:widowControl/>
              <w:kinsoku w:val="0"/>
              <w:autoSpaceDE w:val="0"/>
              <w:autoSpaceDN w:val="0"/>
              <w:adjustRightInd w:val="0"/>
              <w:snapToGrid w:val="0"/>
              <w:spacing w:before="72" w:after="0" w:line="240" w:lineRule="auto"/>
              <w:ind w:left="110"/>
              <w:textAlignment w:val="baseline"/>
              <w:rPr>
                <w:rFonts w:ascii="仿宋" w:hAnsi="仿宋" w:eastAsia="仿宋" w:cs="Arial"/>
                <w:color w:val="000000"/>
                <w:kern w:val="0"/>
                <w:szCs w:val="21"/>
              </w:rPr>
            </w:pPr>
            <w:r>
              <w:rPr>
                <w:rFonts w:ascii="仿宋" w:hAnsi="仿宋" w:eastAsia="仿宋" w:cs="Arial"/>
                <w:color w:val="000000"/>
                <w:kern w:val="0"/>
                <w:szCs w:val="21"/>
              </w:rPr>
              <w:t>环保风险、处置措施</w:t>
            </w:r>
          </w:p>
        </w:tc>
        <w:tc>
          <w:tcPr>
            <w:tcW w:w="5556" w:type="dxa"/>
            <w:gridSpan w:val="5"/>
            <w:tcBorders>
              <w:top w:val="single" w:color="000000" w:sz="4" w:space="0"/>
              <w:left w:val="nil"/>
              <w:bottom w:val="single" w:color="000000" w:sz="4" w:space="0"/>
              <w:right w:val="single" w:color="000000" w:sz="4" w:space="0"/>
            </w:tcBorders>
            <w:vAlign w:val="center"/>
          </w:tcPr>
          <w:p w14:paraId="6AB889F5">
            <w:pPr>
              <w:widowControl/>
              <w:kinsoku w:val="0"/>
              <w:autoSpaceDE w:val="0"/>
              <w:autoSpaceDN w:val="0"/>
              <w:adjustRightInd w:val="0"/>
              <w:snapToGrid w:val="0"/>
              <w:spacing w:before="71" w:after="0" w:line="240" w:lineRule="auto"/>
              <w:ind w:left="110"/>
              <w:textAlignment w:val="baseline"/>
              <w:rPr>
                <w:rFonts w:ascii="仿宋" w:hAnsi="仿宋" w:eastAsia="仿宋" w:cs="Arial"/>
                <w:color w:val="000000"/>
                <w:kern w:val="0"/>
                <w:szCs w:val="21"/>
              </w:rPr>
            </w:pPr>
          </w:p>
        </w:tc>
      </w:tr>
      <w:tr w14:paraId="4865B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0" w:type="dxa"/>
            <w:right w:w="57" w:type="dxa"/>
          </w:tblCellMar>
        </w:tblPrEx>
        <w:trPr>
          <w:trHeight w:val="1940" w:hRule="atLeast"/>
        </w:trPr>
        <w:tc>
          <w:tcPr>
            <w:tcW w:w="721" w:type="dxa"/>
            <w:vMerge w:val="continue"/>
            <w:tcBorders>
              <w:top w:val="nil"/>
              <w:left w:val="single" w:color="000000" w:sz="4" w:space="0"/>
              <w:bottom w:val="single" w:color="000000" w:sz="4" w:space="0"/>
              <w:right w:val="single" w:color="000000" w:sz="4" w:space="0"/>
            </w:tcBorders>
            <w:vAlign w:val="center"/>
          </w:tcPr>
          <w:p w14:paraId="1C932C36">
            <w:pPr>
              <w:widowControl/>
              <w:spacing w:after="0" w:line="240" w:lineRule="auto"/>
              <w:jc w:val="left"/>
              <w:rPr>
                <w:rFonts w:ascii="仿宋" w:hAnsi="仿宋" w:eastAsia="仿宋" w:cs="Arial"/>
                <w:color w:val="000000"/>
                <w:kern w:val="0"/>
                <w:szCs w:val="21"/>
              </w:rPr>
            </w:pPr>
          </w:p>
        </w:tc>
        <w:tc>
          <w:tcPr>
            <w:tcW w:w="2185" w:type="dxa"/>
            <w:gridSpan w:val="2"/>
            <w:tcBorders>
              <w:top w:val="single" w:color="000000" w:sz="4" w:space="0"/>
              <w:left w:val="nil"/>
              <w:bottom w:val="single" w:color="000000" w:sz="4" w:space="0"/>
              <w:right w:val="single" w:color="000000" w:sz="4" w:space="0"/>
            </w:tcBorders>
            <w:vAlign w:val="center"/>
          </w:tcPr>
          <w:p w14:paraId="5513E331">
            <w:pPr>
              <w:widowControl/>
              <w:kinsoku w:val="0"/>
              <w:autoSpaceDE w:val="0"/>
              <w:autoSpaceDN w:val="0"/>
              <w:adjustRightInd w:val="0"/>
              <w:snapToGrid w:val="0"/>
              <w:spacing w:before="72" w:after="0" w:line="240" w:lineRule="auto"/>
              <w:ind w:left="110"/>
              <w:textAlignment w:val="baseline"/>
              <w:rPr>
                <w:rFonts w:hint="eastAsia" w:ascii="仿宋" w:hAnsi="仿宋" w:eastAsia="仿宋" w:cs="Arial"/>
                <w:color w:val="000000"/>
                <w:kern w:val="0"/>
                <w:szCs w:val="21"/>
              </w:rPr>
            </w:pPr>
            <w:r>
              <w:rPr>
                <w:rFonts w:ascii="仿宋" w:hAnsi="仿宋" w:eastAsia="仿宋" w:cs="Arial"/>
                <w:color w:val="000000"/>
                <w:kern w:val="0"/>
                <w:szCs w:val="21"/>
              </w:rPr>
              <w:t>安全风险、处置措施</w:t>
            </w:r>
          </w:p>
        </w:tc>
        <w:tc>
          <w:tcPr>
            <w:tcW w:w="5556" w:type="dxa"/>
            <w:gridSpan w:val="5"/>
            <w:tcBorders>
              <w:top w:val="single" w:color="000000" w:sz="4" w:space="0"/>
              <w:left w:val="nil"/>
              <w:bottom w:val="single" w:color="000000" w:sz="4" w:space="0"/>
              <w:right w:val="single" w:color="000000" w:sz="4" w:space="0"/>
            </w:tcBorders>
            <w:vAlign w:val="center"/>
          </w:tcPr>
          <w:p w14:paraId="76FFA4E4">
            <w:pPr>
              <w:widowControl/>
              <w:kinsoku w:val="0"/>
              <w:autoSpaceDE w:val="0"/>
              <w:autoSpaceDN w:val="0"/>
              <w:adjustRightInd w:val="0"/>
              <w:snapToGrid w:val="0"/>
              <w:spacing w:before="72" w:after="0" w:line="240" w:lineRule="auto"/>
              <w:ind w:left="110"/>
              <w:textAlignment w:val="baseline"/>
              <w:rPr>
                <w:rFonts w:ascii="仿宋" w:hAnsi="仿宋" w:eastAsia="仿宋" w:cs="Arial"/>
                <w:color w:val="000000"/>
                <w:kern w:val="0"/>
                <w:szCs w:val="21"/>
              </w:rPr>
            </w:pPr>
          </w:p>
        </w:tc>
      </w:tr>
      <w:tr w14:paraId="10CCF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0" w:type="dxa"/>
            <w:right w:w="57" w:type="dxa"/>
          </w:tblCellMar>
        </w:tblPrEx>
        <w:trPr>
          <w:trHeight w:val="3046" w:hRule="atLeast"/>
        </w:trPr>
        <w:tc>
          <w:tcPr>
            <w:tcW w:w="721" w:type="dxa"/>
            <w:vMerge w:val="restart"/>
            <w:tcBorders>
              <w:top w:val="nil"/>
              <w:left w:val="single" w:color="000000" w:sz="4" w:space="0"/>
              <w:bottom w:val="single" w:color="000000" w:sz="4" w:space="0"/>
              <w:right w:val="single" w:color="000000" w:sz="4" w:space="0"/>
            </w:tcBorders>
            <w:vAlign w:val="center"/>
          </w:tcPr>
          <w:p w14:paraId="00AC5B1C">
            <w:pPr>
              <w:widowControl/>
              <w:kinsoku w:val="0"/>
              <w:autoSpaceDE w:val="0"/>
              <w:autoSpaceDN w:val="0"/>
              <w:adjustRightInd w:val="0"/>
              <w:snapToGrid w:val="0"/>
              <w:spacing w:before="72" w:after="0" w:line="240" w:lineRule="auto"/>
              <w:ind w:left="110"/>
              <w:jc w:val="center"/>
              <w:textAlignment w:val="baseline"/>
              <w:rPr>
                <w:rFonts w:hint="eastAsia" w:ascii="仿宋" w:hAnsi="仿宋" w:eastAsia="仿宋" w:cs="Arial"/>
                <w:color w:val="000000"/>
                <w:kern w:val="0"/>
                <w:szCs w:val="21"/>
              </w:rPr>
            </w:pPr>
            <w:r>
              <w:rPr>
                <w:rFonts w:ascii="仿宋" w:hAnsi="仿宋" w:eastAsia="仿宋" w:cs="Arial"/>
                <w:color w:val="000000"/>
                <w:kern w:val="0"/>
                <w:szCs w:val="21"/>
              </w:rPr>
              <w:t>准</w:t>
            </w:r>
          </w:p>
          <w:p w14:paraId="6F2FFCAA">
            <w:pPr>
              <w:widowControl/>
              <w:kinsoku w:val="0"/>
              <w:autoSpaceDE w:val="0"/>
              <w:autoSpaceDN w:val="0"/>
              <w:adjustRightInd w:val="0"/>
              <w:snapToGrid w:val="0"/>
              <w:spacing w:before="72" w:after="0" w:line="240" w:lineRule="auto"/>
              <w:ind w:left="110"/>
              <w:jc w:val="center"/>
              <w:textAlignment w:val="baseline"/>
              <w:rPr>
                <w:rFonts w:ascii="仿宋" w:hAnsi="仿宋" w:eastAsia="仿宋" w:cs="Arial"/>
                <w:color w:val="000000"/>
                <w:kern w:val="0"/>
                <w:szCs w:val="21"/>
              </w:rPr>
            </w:pPr>
            <w:r>
              <w:rPr>
                <w:rFonts w:ascii="仿宋" w:hAnsi="仿宋" w:eastAsia="仿宋" w:cs="Arial"/>
                <w:color w:val="000000"/>
                <w:kern w:val="0"/>
                <w:szCs w:val="21"/>
              </w:rPr>
              <w:t>入</w:t>
            </w:r>
          </w:p>
          <w:p w14:paraId="1EFCE824">
            <w:pPr>
              <w:widowControl/>
              <w:kinsoku w:val="0"/>
              <w:autoSpaceDE w:val="0"/>
              <w:autoSpaceDN w:val="0"/>
              <w:adjustRightInd w:val="0"/>
              <w:snapToGrid w:val="0"/>
              <w:spacing w:before="72" w:after="0" w:line="240" w:lineRule="auto"/>
              <w:ind w:left="110"/>
              <w:jc w:val="center"/>
              <w:textAlignment w:val="baseline"/>
              <w:rPr>
                <w:rFonts w:ascii="仿宋" w:hAnsi="仿宋" w:eastAsia="仿宋" w:cs="Arial"/>
                <w:color w:val="000000"/>
                <w:kern w:val="0"/>
                <w:szCs w:val="21"/>
              </w:rPr>
            </w:pPr>
            <w:r>
              <w:rPr>
                <w:rFonts w:ascii="仿宋" w:hAnsi="仿宋" w:eastAsia="仿宋" w:cs="Arial"/>
                <w:color w:val="000000"/>
                <w:kern w:val="0"/>
                <w:szCs w:val="21"/>
              </w:rPr>
              <w:t>评</w:t>
            </w:r>
          </w:p>
          <w:p w14:paraId="67627F1F">
            <w:pPr>
              <w:widowControl/>
              <w:kinsoku w:val="0"/>
              <w:autoSpaceDE w:val="0"/>
              <w:autoSpaceDN w:val="0"/>
              <w:adjustRightInd w:val="0"/>
              <w:snapToGrid w:val="0"/>
              <w:spacing w:before="72" w:after="0" w:line="240" w:lineRule="auto"/>
              <w:ind w:left="110"/>
              <w:jc w:val="center"/>
              <w:textAlignment w:val="baseline"/>
              <w:rPr>
                <w:rFonts w:ascii="仿宋" w:hAnsi="仿宋" w:eastAsia="仿宋" w:cs="Arial"/>
                <w:color w:val="000000"/>
                <w:kern w:val="0"/>
                <w:szCs w:val="21"/>
              </w:rPr>
            </w:pPr>
            <w:r>
              <w:rPr>
                <w:rFonts w:ascii="仿宋" w:hAnsi="仿宋" w:eastAsia="仿宋" w:cs="Arial"/>
                <w:color w:val="000000"/>
                <w:kern w:val="0"/>
                <w:szCs w:val="21"/>
              </w:rPr>
              <w:t>估</w:t>
            </w:r>
          </w:p>
        </w:tc>
        <w:tc>
          <w:tcPr>
            <w:tcW w:w="1996" w:type="dxa"/>
            <w:tcBorders>
              <w:top w:val="single" w:color="000000" w:sz="4" w:space="0"/>
              <w:left w:val="nil"/>
              <w:bottom w:val="single" w:color="000000" w:sz="4" w:space="0"/>
              <w:right w:val="single" w:color="000000" w:sz="4" w:space="0"/>
            </w:tcBorders>
          </w:tcPr>
          <w:p w14:paraId="48B3C47E">
            <w:pPr>
              <w:widowControl/>
              <w:kinsoku w:val="0"/>
              <w:autoSpaceDE w:val="0"/>
              <w:autoSpaceDN w:val="0"/>
              <w:adjustRightInd w:val="0"/>
              <w:snapToGrid w:val="0"/>
              <w:spacing w:after="0" w:line="240" w:lineRule="auto"/>
              <w:textAlignment w:val="baseline"/>
              <w:rPr>
                <w:rFonts w:ascii="仿宋" w:hAnsi="仿宋" w:eastAsia="仿宋" w:cs="Arial"/>
                <w:color w:val="000000"/>
                <w:kern w:val="0"/>
                <w:szCs w:val="21"/>
              </w:rPr>
            </w:pPr>
            <w:r>
              <w:rPr>
                <w:rFonts w:hint="eastAsia" w:ascii="仿宋" w:hAnsi="仿宋" w:eastAsia="仿宋" w:cs="Arial"/>
                <w:color w:val="000000"/>
                <w:kern w:val="0"/>
                <w:szCs w:val="21"/>
              </w:rPr>
              <w:t>关于政策合规与产业发展</w:t>
            </w:r>
          </w:p>
          <w:p w14:paraId="3385F5C2">
            <w:pPr>
              <w:widowControl/>
              <w:kinsoku w:val="0"/>
              <w:autoSpaceDE w:val="0"/>
              <w:autoSpaceDN w:val="0"/>
              <w:adjustRightInd w:val="0"/>
              <w:snapToGrid w:val="0"/>
              <w:spacing w:after="0" w:line="240" w:lineRule="auto"/>
              <w:textAlignment w:val="baseline"/>
              <w:rPr>
                <w:rFonts w:ascii="仿宋" w:hAnsi="仿宋" w:eastAsia="仿宋" w:cs="Arial"/>
                <w:color w:val="000000"/>
                <w:kern w:val="0"/>
                <w:sz w:val="16"/>
                <w:szCs w:val="16"/>
              </w:rPr>
            </w:pPr>
          </w:p>
          <w:p w14:paraId="3531E11A">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5595832D">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63D6424B">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2DBA1522">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56C983AE">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0BCD8B3F">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6763ABFA">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4FB00B52">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2FAF1BBC">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r>
              <w:rPr>
                <w:rFonts w:hint="eastAsia" w:ascii="仿宋" w:hAnsi="仿宋" w:eastAsia="仿宋" w:cs="Arial"/>
                <w:color w:val="000000"/>
                <w:kern w:val="0"/>
                <w:sz w:val="16"/>
                <w:szCs w:val="16"/>
              </w:rPr>
              <w:t>初审单位签章：</w:t>
            </w:r>
          </w:p>
          <w:p w14:paraId="6BC7D80E">
            <w:pPr>
              <w:widowControl/>
              <w:kinsoku w:val="0"/>
              <w:autoSpaceDE w:val="0"/>
              <w:autoSpaceDN w:val="0"/>
              <w:adjustRightInd w:val="0"/>
              <w:snapToGrid w:val="0"/>
              <w:spacing w:after="0" w:line="240" w:lineRule="auto"/>
              <w:ind w:firstLine="160" w:firstLineChars="100"/>
              <w:textAlignment w:val="baseline"/>
              <w:rPr>
                <w:rFonts w:ascii="仿宋" w:hAnsi="仿宋" w:eastAsia="仿宋" w:cs="Arial"/>
                <w:color w:val="000000"/>
                <w:kern w:val="0"/>
                <w:sz w:val="16"/>
                <w:szCs w:val="16"/>
              </w:rPr>
            </w:pPr>
          </w:p>
          <w:p w14:paraId="6CB88C57">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Cs w:val="21"/>
              </w:rPr>
            </w:pPr>
            <w:r>
              <w:rPr>
                <w:rFonts w:hint="eastAsia" w:ascii="仿宋" w:hAnsi="仿宋" w:eastAsia="仿宋" w:cs="Arial"/>
                <w:color w:val="000000"/>
                <w:kern w:val="0"/>
                <w:sz w:val="16"/>
                <w:szCs w:val="16"/>
              </w:rPr>
              <w:t>评估论证时间：</w:t>
            </w:r>
          </w:p>
        </w:tc>
        <w:tc>
          <w:tcPr>
            <w:tcW w:w="2000" w:type="dxa"/>
            <w:gridSpan w:val="3"/>
            <w:tcBorders>
              <w:top w:val="single" w:color="000000" w:sz="4" w:space="0"/>
              <w:left w:val="nil"/>
              <w:bottom w:val="single" w:color="000000" w:sz="4" w:space="0"/>
              <w:right w:val="single" w:color="000000" w:sz="4" w:space="0"/>
            </w:tcBorders>
          </w:tcPr>
          <w:p w14:paraId="7EECDE29">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Cs w:val="21"/>
              </w:rPr>
            </w:pPr>
            <w:r>
              <w:rPr>
                <w:rFonts w:hint="eastAsia" w:ascii="仿宋" w:hAnsi="仿宋" w:eastAsia="仿宋" w:cs="Arial"/>
                <w:color w:val="000000"/>
                <w:kern w:val="0"/>
                <w:szCs w:val="21"/>
              </w:rPr>
              <w:t>关于</w:t>
            </w:r>
            <w:r>
              <w:rPr>
                <w:rFonts w:ascii="仿宋" w:hAnsi="仿宋" w:eastAsia="仿宋" w:cs="Arial"/>
                <w:color w:val="000000"/>
                <w:kern w:val="0"/>
                <w:szCs w:val="21"/>
              </w:rPr>
              <w:t>能源消耗控制</w:t>
            </w:r>
            <w:r>
              <w:rPr>
                <w:rFonts w:hint="eastAsia" w:ascii="仿宋" w:hAnsi="仿宋" w:eastAsia="仿宋" w:cs="Arial"/>
                <w:color w:val="000000"/>
                <w:kern w:val="0"/>
                <w:szCs w:val="21"/>
              </w:rPr>
              <w:t>、资源利用与“禁限控”</w:t>
            </w:r>
          </w:p>
          <w:p w14:paraId="6013D523">
            <w:pPr>
              <w:widowControl/>
              <w:kinsoku w:val="0"/>
              <w:autoSpaceDE w:val="0"/>
              <w:autoSpaceDN w:val="0"/>
              <w:adjustRightInd w:val="0"/>
              <w:snapToGrid w:val="0"/>
              <w:spacing w:after="0" w:line="240" w:lineRule="auto"/>
              <w:textAlignment w:val="baseline"/>
              <w:rPr>
                <w:rFonts w:ascii="仿宋" w:hAnsi="仿宋" w:eastAsia="仿宋" w:cs="Arial"/>
                <w:color w:val="000000"/>
                <w:kern w:val="0"/>
                <w:sz w:val="16"/>
                <w:szCs w:val="16"/>
              </w:rPr>
            </w:pPr>
          </w:p>
          <w:p w14:paraId="73E47E7F">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1FD5C5B9">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670F2026">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4A5138C1">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28FB33FC">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4806054A">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3C3B8CFB">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539C4563">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r>
              <w:rPr>
                <w:rFonts w:hint="eastAsia" w:ascii="仿宋" w:hAnsi="仿宋" w:eastAsia="仿宋" w:cs="Arial"/>
                <w:color w:val="000000"/>
                <w:kern w:val="0"/>
                <w:sz w:val="16"/>
                <w:szCs w:val="16"/>
              </w:rPr>
              <w:t>初审单位签章：</w:t>
            </w:r>
          </w:p>
          <w:p w14:paraId="2D1EB664">
            <w:pPr>
              <w:widowControl/>
              <w:kinsoku w:val="0"/>
              <w:autoSpaceDE w:val="0"/>
              <w:autoSpaceDN w:val="0"/>
              <w:adjustRightInd w:val="0"/>
              <w:snapToGrid w:val="0"/>
              <w:spacing w:after="0" w:line="240" w:lineRule="auto"/>
              <w:ind w:firstLine="160" w:firstLineChars="100"/>
              <w:textAlignment w:val="baseline"/>
              <w:rPr>
                <w:rFonts w:ascii="仿宋" w:hAnsi="仿宋" w:eastAsia="仿宋" w:cs="Arial"/>
                <w:color w:val="000000"/>
                <w:kern w:val="0"/>
                <w:sz w:val="16"/>
                <w:szCs w:val="16"/>
              </w:rPr>
            </w:pPr>
          </w:p>
          <w:p w14:paraId="0E47E27D">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Cs w:val="21"/>
              </w:rPr>
            </w:pPr>
            <w:r>
              <w:rPr>
                <w:rFonts w:hint="eastAsia" w:ascii="仿宋" w:hAnsi="仿宋" w:eastAsia="仿宋" w:cs="Arial"/>
                <w:color w:val="000000"/>
                <w:kern w:val="0"/>
                <w:sz w:val="16"/>
                <w:szCs w:val="16"/>
              </w:rPr>
              <w:t>评估论证时间：</w:t>
            </w:r>
          </w:p>
        </w:tc>
        <w:tc>
          <w:tcPr>
            <w:tcW w:w="1905" w:type="dxa"/>
            <w:gridSpan w:val="2"/>
            <w:tcBorders>
              <w:top w:val="single" w:color="000000" w:sz="4" w:space="0"/>
              <w:left w:val="nil"/>
              <w:bottom w:val="single" w:color="000000" w:sz="4" w:space="0"/>
              <w:right w:val="single" w:color="000000" w:sz="4" w:space="0"/>
            </w:tcBorders>
          </w:tcPr>
          <w:p w14:paraId="76C885D0">
            <w:pPr>
              <w:widowControl/>
              <w:kinsoku w:val="0"/>
              <w:autoSpaceDE w:val="0"/>
              <w:autoSpaceDN w:val="0"/>
              <w:adjustRightInd w:val="0"/>
              <w:snapToGrid w:val="0"/>
              <w:spacing w:before="72" w:after="0" w:line="240" w:lineRule="auto"/>
              <w:textAlignment w:val="baseline"/>
              <w:rPr>
                <w:rFonts w:ascii="仿宋" w:hAnsi="仿宋" w:eastAsia="仿宋" w:cs="Arial"/>
                <w:color w:val="000000"/>
                <w:kern w:val="0"/>
                <w:szCs w:val="21"/>
              </w:rPr>
            </w:pPr>
            <w:r>
              <w:rPr>
                <w:rFonts w:hint="eastAsia" w:ascii="仿宋" w:hAnsi="仿宋" w:eastAsia="仿宋" w:cs="Arial"/>
                <w:color w:val="000000"/>
                <w:kern w:val="0"/>
                <w:szCs w:val="21"/>
              </w:rPr>
              <w:t>关于规划合规与</w:t>
            </w:r>
            <w:r>
              <w:rPr>
                <w:rFonts w:ascii="仿宋" w:hAnsi="仿宋" w:eastAsia="仿宋" w:cs="Arial"/>
                <w:color w:val="000000"/>
                <w:kern w:val="0"/>
                <w:szCs w:val="21"/>
              </w:rPr>
              <w:t>集约用地</w:t>
            </w:r>
          </w:p>
          <w:p w14:paraId="05C26371">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0D6DA8AA">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42EC4797">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7D8350C8">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31BEFC32">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06DDE79A">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0A0AC5D5">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5A542969">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59003C3A">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79135170">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r>
              <w:rPr>
                <w:rFonts w:hint="eastAsia" w:ascii="仿宋" w:hAnsi="仿宋" w:eastAsia="仿宋" w:cs="Arial"/>
                <w:color w:val="000000"/>
                <w:kern w:val="0"/>
                <w:sz w:val="16"/>
                <w:szCs w:val="16"/>
              </w:rPr>
              <w:t>初审单位签章：</w:t>
            </w:r>
          </w:p>
          <w:p w14:paraId="752823C1">
            <w:pPr>
              <w:widowControl/>
              <w:kinsoku w:val="0"/>
              <w:autoSpaceDE w:val="0"/>
              <w:autoSpaceDN w:val="0"/>
              <w:adjustRightInd w:val="0"/>
              <w:snapToGrid w:val="0"/>
              <w:spacing w:after="0" w:line="240" w:lineRule="auto"/>
              <w:ind w:firstLine="160" w:firstLineChars="100"/>
              <w:textAlignment w:val="baseline"/>
              <w:rPr>
                <w:rFonts w:ascii="仿宋" w:hAnsi="仿宋" w:eastAsia="仿宋" w:cs="Arial"/>
                <w:color w:val="000000"/>
                <w:kern w:val="0"/>
                <w:sz w:val="16"/>
                <w:szCs w:val="16"/>
              </w:rPr>
            </w:pPr>
          </w:p>
          <w:p w14:paraId="1FF09CE0">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Cs w:val="21"/>
              </w:rPr>
            </w:pPr>
            <w:r>
              <w:rPr>
                <w:rFonts w:hint="eastAsia" w:ascii="仿宋" w:hAnsi="仿宋" w:eastAsia="仿宋" w:cs="Arial"/>
                <w:color w:val="000000"/>
                <w:kern w:val="0"/>
                <w:sz w:val="16"/>
                <w:szCs w:val="16"/>
              </w:rPr>
              <w:t>评估论证时间：</w:t>
            </w:r>
          </w:p>
        </w:tc>
        <w:tc>
          <w:tcPr>
            <w:tcW w:w="1840" w:type="dxa"/>
            <w:tcBorders>
              <w:top w:val="single" w:color="000000" w:sz="4" w:space="0"/>
              <w:left w:val="nil"/>
              <w:bottom w:val="single" w:color="000000" w:sz="4" w:space="0"/>
              <w:right w:val="single" w:color="000000" w:sz="4" w:space="0"/>
            </w:tcBorders>
          </w:tcPr>
          <w:p w14:paraId="6CBEF74B">
            <w:pPr>
              <w:widowControl/>
              <w:kinsoku w:val="0"/>
              <w:autoSpaceDE w:val="0"/>
              <w:autoSpaceDN w:val="0"/>
              <w:adjustRightInd w:val="0"/>
              <w:snapToGrid w:val="0"/>
              <w:spacing w:after="0" w:line="240" w:lineRule="auto"/>
              <w:textAlignment w:val="baseline"/>
              <w:rPr>
                <w:rFonts w:ascii="仿宋" w:hAnsi="仿宋" w:eastAsia="仿宋" w:cs="Arial"/>
                <w:color w:val="000000"/>
                <w:kern w:val="0"/>
                <w:szCs w:val="21"/>
              </w:rPr>
            </w:pPr>
            <w:r>
              <w:rPr>
                <w:rFonts w:ascii="仿宋" w:hAnsi="仿宋" w:eastAsia="仿宋" w:cs="Arial"/>
                <w:color w:val="000000"/>
                <w:kern w:val="0"/>
                <w:szCs w:val="21"/>
              </w:rPr>
              <w:t>关于经济效益</w:t>
            </w:r>
          </w:p>
          <w:p w14:paraId="7521E1BE">
            <w:pPr>
              <w:widowControl/>
              <w:kinsoku w:val="0"/>
              <w:autoSpaceDE w:val="0"/>
              <w:autoSpaceDN w:val="0"/>
              <w:adjustRightInd w:val="0"/>
              <w:snapToGrid w:val="0"/>
              <w:spacing w:after="0" w:line="240" w:lineRule="auto"/>
              <w:textAlignment w:val="baseline"/>
              <w:rPr>
                <w:rFonts w:ascii="仿宋" w:hAnsi="仿宋" w:eastAsia="仿宋" w:cs="Arial"/>
                <w:color w:val="000000"/>
                <w:kern w:val="0"/>
                <w:szCs w:val="21"/>
              </w:rPr>
            </w:pPr>
          </w:p>
          <w:p w14:paraId="2FDE2CA3">
            <w:pPr>
              <w:widowControl/>
              <w:kinsoku w:val="0"/>
              <w:autoSpaceDE w:val="0"/>
              <w:autoSpaceDN w:val="0"/>
              <w:adjustRightInd w:val="0"/>
              <w:snapToGrid w:val="0"/>
              <w:spacing w:after="0" w:line="240" w:lineRule="auto"/>
              <w:textAlignment w:val="baseline"/>
              <w:rPr>
                <w:rFonts w:ascii="仿宋" w:hAnsi="仿宋" w:eastAsia="仿宋" w:cs="Arial"/>
                <w:color w:val="000000"/>
                <w:kern w:val="0"/>
                <w:szCs w:val="21"/>
              </w:rPr>
            </w:pPr>
          </w:p>
          <w:p w14:paraId="7963315E">
            <w:pPr>
              <w:widowControl/>
              <w:kinsoku w:val="0"/>
              <w:autoSpaceDE w:val="0"/>
              <w:autoSpaceDN w:val="0"/>
              <w:adjustRightInd w:val="0"/>
              <w:snapToGrid w:val="0"/>
              <w:spacing w:after="0" w:line="240" w:lineRule="auto"/>
              <w:ind w:firstLine="160" w:firstLineChars="100"/>
              <w:textAlignment w:val="baseline"/>
              <w:rPr>
                <w:rFonts w:ascii="仿宋" w:hAnsi="仿宋" w:eastAsia="仿宋" w:cs="Arial"/>
                <w:color w:val="000000"/>
                <w:kern w:val="0"/>
                <w:sz w:val="16"/>
                <w:szCs w:val="16"/>
              </w:rPr>
            </w:pPr>
          </w:p>
          <w:p w14:paraId="6D69E047">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11CDEAD3">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23B64AD7">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2361D7B3">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7B9CAD57">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44B2CF1A">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50D5AB28">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3013FC51">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r>
              <w:rPr>
                <w:rFonts w:hint="eastAsia" w:ascii="仿宋" w:hAnsi="仿宋" w:eastAsia="仿宋" w:cs="Arial"/>
                <w:color w:val="000000"/>
                <w:kern w:val="0"/>
                <w:sz w:val="16"/>
                <w:szCs w:val="16"/>
              </w:rPr>
              <w:t>初审单位签章：</w:t>
            </w:r>
          </w:p>
          <w:p w14:paraId="09C380A7">
            <w:pPr>
              <w:widowControl/>
              <w:kinsoku w:val="0"/>
              <w:autoSpaceDE w:val="0"/>
              <w:autoSpaceDN w:val="0"/>
              <w:adjustRightInd w:val="0"/>
              <w:snapToGrid w:val="0"/>
              <w:spacing w:after="0" w:line="240" w:lineRule="auto"/>
              <w:ind w:firstLine="160" w:firstLineChars="100"/>
              <w:textAlignment w:val="baseline"/>
              <w:rPr>
                <w:rFonts w:ascii="仿宋" w:hAnsi="仿宋" w:eastAsia="仿宋" w:cs="Arial"/>
                <w:color w:val="000000"/>
                <w:kern w:val="0"/>
                <w:sz w:val="16"/>
                <w:szCs w:val="16"/>
              </w:rPr>
            </w:pPr>
          </w:p>
          <w:p w14:paraId="2C2B3640">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Cs w:val="21"/>
              </w:rPr>
            </w:pPr>
            <w:r>
              <w:rPr>
                <w:rFonts w:hint="eastAsia" w:ascii="仿宋" w:hAnsi="仿宋" w:eastAsia="仿宋" w:cs="Arial"/>
                <w:color w:val="000000"/>
                <w:kern w:val="0"/>
                <w:sz w:val="16"/>
                <w:szCs w:val="16"/>
              </w:rPr>
              <w:t>评估论证时间：</w:t>
            </w:r>
          </w:p>
        </w:tc>
      </w:tr>
      <w:tr w14:paraId="46992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0" w:type="dxa"/>
            <w:right w:w="57" w:type="dxa"/>
          </w:tblCellMar>
        </w:tblPrEx>
        <w:trPr>
          <w:trHeight w:val="2913" w:hRule="atLeast"/>
        </w:trPr>
        <w:tc>
          <w:tcPr>
            <w:tcW w:w="721" w:type="dxa"/>
            <w:vMerge w:val="continue"/>
            <w:tcBorders>
              <w:top w:val="nil"/>
              <w:left w:val="single" w:color="000000" w:sz="4" w:space="0"/>
              <w:bottom w:val="single" w:color="000000" w:sz="4" w:space="0"/>
              <w:right w:val="single" w:color="000000" w:sz="4" w:space="0"/>
            </w:tcBorders>
            <w:vAlign w:val="center"/>
          </w:tcPr>
          <w:p w14:paraId="2200029D">
            <w:pPr>
              <w:widowControl/>
              <w:spacing w:after="0" w:line="240" w:lineRule="auto"/>
              <w:jc w:val="left"/>
              <w:rPr>
                <w:rFonts w:ascii="仿宋" w:hAnsi="仿宋" w:eastAsia="仿宋" w:cs="Arial"/>
                <w:color w:val="000000"/>
                <w:kern w:val="0"/>
                <w:szCs w:val="21"/>
              </w:rPr>
            </w:pPr>
          </w:p>
        </w:tc>
        <w:tc>
          <w:tcPr>
            <w:tcW w:w="1996" w:type="dxa"/>
            <w:tcBorders>
              <w:top w:val="single" w:color="000000" w:sz="4" w:space="0"/>
              <w:left w:val="nil"/>
              <w:bottom w:val="single" w:color="000000" w:sz="4" w:space="0"/>
              <w:right w:val="single" w:color="000000" w:sz="4" w:space="0"/>
            </w:tcBorders>
          </w:tcPr>
          <w:p w14:paraId="7570FBC7">
            <w:pPr>
              <w:widowControl/>
              <w:kinsoku w:val="0"/>
              <w:autoSpaceDE w:val="0"/>
              <w:autoSpaceDN w:val="0"/>
              <w:adjustRightInd w:val="0"/>
              <w:snapToGrid w:val="0"/>
              <w:spacing w:before="72" w:after="0" w:line="240" w:lineRule="auto"/>
              <w:textAlignment w:val="baseline"/>
              <w:rPr>
                <w:rFonts w:ascii="仿宋" w:hAnsi="仿宋" w:eastAsia="仿宋" w:cs="Arial"/>
                <w:color w:val="000000"/>
                <w:kern w:val="0"/>
                <w:szCs w:val="21"/>
              </w:rPr>
            </w:pPr>
            <w:r>
              <w:rPr>
                <w:rFonts w:hint="eastAsia" w:ascii="仿宋" w:hAnsi="仿宋" w:eastAsia="仿宋" w:cs="Arial"/>
                <w:color w:val="000000"/>
                <w:kern w:val="0"/>
                <w:szCs w:val="21"/>
              </w:rPr>
              <w:t>关于技术水平与安全</w:t>
            </w:r>
          </w:p>
          <w:p w14:paraId="0A77EAB8">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35745E33">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4C4E9DB3">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7F04A754">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70943068">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0011FF65">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4D7F71AC">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2D38C53A">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0B0105A1">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4141AF28">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r>
              <w:rPr>
                <w:rFonts w:hint="eastAsia" w:ascii="仿宋" w:hAnsi="仿宋" w:eastAsia="仿宋" w:cs="Arial"/>
                <w:color w:val="000000"/>
                <w:kern w:val="0"/>
                <w:sz w:val="16"/>
                <w:szCs w:val="16"/>
              </w:rPr>
              <w:t>初审单位签章：</w:t>
            </w:r>
          </w:p>
          <w:p w14:paraId="0FE957D1">
            <w:pPr>
              <w:widowControl/>
              <w:kinsoku w:val="0"/>
              <w:autoSpaceDE w:val="0"/>
              <w:autoSpaceDN w:val="0"/>
              <w:adjustRightInd w:val="0"/>
              <w:snapToGrid w:val="0"/>
              <w:spacing w:after="0" w:line="240" w:lineRule="auto"/>
              <w:ind w:firstLine="160" w:firstLineChars="100"/>
              <w:textAlignment w:val="baseline"/>
              <w:rPr>
                <w:rFonts w:ascii="仿宋" w:hAnsi="仿宋" w:eastAsia="仿宋" w:cs="Arial"/>
                <w:color w:val="000000"/>
                <w:kern w:val="0"/>
                <w:sz w:val="16"/>
                <w:szCs w:val="16"/>
              </w:rPr>
            </w:pPr>
          </w:p>
          <w:p w14:paraId="05DAAEF1">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Cs w:val="21"/>
              </w:rPr>
            </w:pPr>
            <w:r>
              <w:rPr>
                <w:rFonts w:hint="eastAsia" w:ascii="仿宋" w:hAnsi="仿宋" w:eastAsia="仿宋" w:cs="Arial"/>
                <w:color w:val="000000"/>
                <w:kern w:val="0"/>
                <w:sz w:val="16"/>
                <w:szCs w:val="16"/>
              </w:rPr>
              <w:t>评估论证时间：</w:t>
            </w:r>
          </w:p>
        </w:tc>
        <w:tc>
          <w:tcPr>
            <w:tcW w:w="2000" w:type="dxa"/>
            <w:gridSpan w:val="3"/>
            <w:tcBorders>
              <w:top w:val="single" w:color="000000" w:sz="4" w:space="0"/>
              <w:left w:val="nil"/>
              <w:bottom w:val="single" w:color="000000" w:sz="4" w:space="0"/>
              <w:right w:val="single" w:color="000000" w:sz="4" w:space="0"/>
            </w:tcBorders>
          </w:tcPr>
          <w:p w14:paraId="31760800">
            <w:pPr>
              <w:widowControl/>
              <w:kinsoku w:val="0"/>
              <w:autoSpaceDE w:val="0"/>
              <w:autoSpaceDN w:val="0"/>
              <w:adjustRightInd w:val="0"/>
              <w:snapToGrid w:val="0"/>
              <w:spacing w:before="72" w:after="0" w:line="240" w:lineRule="auto"/>
              <w:ind w:left="110"/>
              <w:textAlignment w:val="baseline"/>
              <w:rPr>
                <w:rFonts w:ascii="仿宋" w:hAnsi="仿宋" w:eastAsia="仿宋" w:cs="Arial"/>
                <w:color w:val="000000"/>
                <w:kern w:val="0"/>
                <w:szCs w:val="21"/>
              </w:rPr>
            </w:pPr>
            <w:r>
              <w:rPr>
                <w:rFonts w:hint="eastAsia" w:ascii="仿宋" w:hAnsi="仿宋" w:eastAsia="仿宋" w:cs="Arial"/>
                <w:color w:val="000000"/>
                <w:kern w:val="0"/>
                <w:szCs w:val="21"/>
              </w:rPr>
              <w:t>关于生态</w:t>
            </w:r>
            <w:r>
              <w:rPr>
                <w:rFonts w:ascii="仿宋" w:hAnsi="仿宋" w:eastAsia="仿宋" w:cs="Arial"/>
                <w:color w:val="000000"/>
                <w:kern w:val="0"/>
                <w:szCs w:val="21"/>
              </w:rPr>
              <w:t>环保</w:t>
            </w:r>
          </w:p>
          <w:p w14:paraId="181DC789">
            <w:pPr>
              <w:widowControl/>
              <w:kinsoku w:val="0"/>
              <w:autoSpaceDE w:val="0"/>
              <w:autoSpaceDN w:val="0"/>
              <w:adjustRightInd w:val="0"/>
              <w:snapToGrid w:val="0"/>
              <w:spacing w:before="72" w:after="0" w:line="240" w:lineRule="auto"/>
              <w:ind w:left="110"/>
              <w:textAlignment w:val="baseline"/>
              <w:rPr>
                <w:rFonts w:ascii="仿宋" w:hAnsi="仿宋" w:eastAsia="仿宋" w:cs="Arial"/>
                <w:color w:val="000000"/>
                <w:kern w:val="0"/>
                <w:szCs w:val="21"/>
              </w:rPr>
            </w:pPr>
          </w:p>
          <w:p w14:paraId="497C9CF3">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4C9DE95F">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610ECC35">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0FBD0046">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60C029EF">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4715B1FB">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2659C333">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5CA24D46">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6BBD4D7C">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58528089">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r>
              <w:rPr>
                <w:rFonts w:hint="eastAsia" w:ascii="仿宋" w:hAnsi="仿宋" w:eastAsia="仿宋" w:cs="Arial"/>
                <w:color w:val="000000"/>
                <w:kern w:val="0"/>
                <w:sz w:val="16"/>
                <w:szCs w:val="16"/>
              </w:rPr>
              <w:t>初审单位签章：</w:t>
            </w:r>
          </w:p>
          <w:p w14:paraId="7019F696">
            <w:pPr>
              <w:widowControl/>
              <w:kinsoku w:val="0"/>
              <w:autoSpaceDE w:val="0"/>
              <w:autoSpaceDN w:val="0"/>
              <w:adjustRightInd w:val="0"/>
              <w:snapToGrid w:val="0"/>
              <w:spacing w:after="0" w:line="240" w:lineRule="auto"/>
              <w:ind w:firstLine="160" w:firstLineChars="100"/>
              <w:textAlignment w:val="baseline"/>
              <w:rPr>
                <w:rFonts w:ascii="仿宋" w:hAnsi="仿宋" w:eastAsia="仿宋" w:cs="Arial"/>
                <w:color w:val="000000"/>
                <w:kern w:val="0"/>
                <w:sz w:val="16"/>
                <w:szCs w:val="16"/>
              </w:rPr>
            </w:pPr>
          </w:p>
          <w:p w14:paraId="2F15CB22">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Cs w:val="21"/>
              </w:rPr>
            </w:pPr>
            <w:r>
              <w:rPr>
                <w:rFonts w:hint="eastAsia" w:ascii="仿宋" w:hAnsi="仿宋" w:eastAsia="仿宋" w:cs="Arial"/>
                <w:color w:val="000000"/>
                <w:kern w:val="0"/>
                <w:sz w:val="16"/>
                <w:szCs w:val="16"/>
              </w:rPr>
              <w:t>评估论证时间：</w:t>
            </w:r>
          </w:p>
        </w:tc>
        <w:tc>
          <w:tcPr>
            <w:tcW w:w="1905" w:type="dxa"/>
            <w:gridSpan w:val="2"/>
            <w:tcBorders>
              <w:top w:val="single" w:color="000000" w:sz="4" w:space="0"/>
              <w:left w:val="nil"/>
              <w:bottom w:val="single" w:color="000000" w:sz="4" w:space="0"/>
              <w:right w:val="single" w:color="000000" w:sz="4" w:space="0"/>
            </w:tcBorders>
          </w:tcPr>
          <w:p w14:paraId="721EADE4">
            <w:pPr>
              <w:widowControl/>
              <w:kinsoku w:val="0"/>
              <w:autoSpaceDE w:val="0"/>
              <w:autoSpaceDN w:val="0"/>
              <w:adjustRightInd w:val="0"/>
              <w:snapToGrid w:val="0"/>
              <w:spacing w:after="0" w:line="240" w:lineRule="auto"/>
              <w:textAlignment w:val="baseline"/>
              <w:rPr>
                <w:rFonts w:ascii="仿宋" w:hAnsi="仿宋" w:eastAsia="仿宋" w:cs="Arial"/>
                <w:color w:val="000000"/>
                <w:kern w:val="0"/>
                <w:szCs w:val="21"/>
              </w:rPr>
            </w:pPr>
            <w:r>
              <w:rPr>
                <w:rFonts w:hint="eastAsia" w:ascii="仿宋" w:hAnsi="仿宋" w:eastAsia="仿宋" w:cs="Arial"/>
                <w:color w:val="000000"/>
                <w:kern w:val="0"/>
                <w:szCs w:val="21"/>
              </w:rPr>
              <w:t>关于整体性评估</w:t>
            </w:r>
          </w:p>
          <w:p w14:paraId="1E01FC2A">
            <w:pPr>
              <w:widowControl/>
              <w:kinsoku w:val="0"/>
              <w:autoSpaceDE w:val="0"/>
              <w:autoSpaceDN w:val="0"/>
              <w:adjustRightInd w:val="0"/>
              <w:snapToGrid w:val="0"/>
              <w:spacing w:after="0" w:line="240" w:lineRule="auto"/>
              <w:ind w:firstLine="160" w:firstLineChars="100"/>
              <w:textAlignment w:val="baseline"/>
              <w:rPr>
                <w:rFonts w:ascii="仿宋" w:hAnsi="仿宋" w:eastAsia="仿宋" w:cs="Arial"/>
                <w:color w:val="000000"/>
                <w:kern w:val="0"/>
                <w:sz w:val="16"/>
                <w:szCs w:val="16"/>
              </w:rPr>
            </w:pPr>
          </w:p>
          <w:p w14:paraId="4D33A64F">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517FF060">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34357E40">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03391BE5">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40EFCDF9">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4ABDA2A0">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6814A472">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7AF59ED3">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3BDAF6B2">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03CF9E3C">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4EF60956">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r>
              <w:rPr>
                <w:rFonts w:hint="eastAsia" w:ascii="仿宋" w:hAnsi="仿宋" w:eastAsia="仿宋" w:cs="Arial"/>
                <w:color w:val="000000"/>
                <w:kern w:val="0"/>
                <w:sz w:val="16"/>
                <w:szCs w:val="16"/>
              </w:rPr>
              <w:t>初审单位签章：</w:t>
            </w:r>
          </w:p>
          <w:p w14:paraId="4FD10228">
            <w:pPr>
              <w:widowControl/>
              <w:kinsoku w:val="0"/>
              <w:autoSpaceDE w:val="0"/>
              <w:autoSpaceDN w:val="0"/>
              <w:adjustRightInd w:val="0"/>
              <w:snapToGrid w:val="0"/>
              <w:spacing w:after="0" w:line="240" w:lineRule="auto"/>
              <w:ind w:firstLine="160" w:firstLineChars="100"/>
              <w:textAlignment w:val="baseline"/>
              <w:rPr>
                <w:rFonts w:ascii="仿宋" w:hAnsi="仿宋" w:eastAsia="仿宋" w:cs="Arial"/>
                <w:color w:val="000000"/>
                <w:kern w:val="0"/>
                <w:sz w:val="16"/>
                <w:szCs w:val="16"/>
              </w:rPr>
            </w:pPr>
          </w:p>
          <w:p w14:paraId="204C912C">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Cs w:val="21"/>
              </w:rPr>
            </w:pPr>
            <w:r>
              <w:rPr>
                <w:rFonts w:hint="eastAsia" w:ascii="仿宋" w:hAnsi="仿宋" w:eastAsia="仿宋" w:cs="Arial"/>
                <w:color w:val="000000"/>
                <w:kern w:val="0"/>
                <w:sz w:val="16"/>
                <w:szCs w:val="16"/>
              </w:rPr>
              <w:t>评估论证时间：</w:t>
            </w:r>
          </w:p>
        </w:tc>
        <w:tc>
          <w:tcPr>
            <w:tcW w:w="1840" w:type="dxa"/>
            <w:tcBorders>
              <w:top w:val="single" w:color="000000" w:sz="4" w:space="0"/>
              <w:left w:val="nil"/>
              <w:bottom w:val="single" w:color="000000" w:sz="4" w:space="0"/>
              <w:right w:val="single" w:color="000000" w:sz="4" w:space="0"/>
            </w:tcBorders>
          </w:tcPr>
          <w:p w14:paraId="346A1A41">
            <w:pPr>
              <w:widowControl/>
              <w:kinsoku w:val="0"/>
              <w:autoSpaceDE w:val="0"/>
              <w:autoSpaceDN w:val="0"/>
              <w:adjustRightInd w:val="0"/>
              <w:snapToGrid w:val="0"/>
              <w:spacing w:after="0" w:line="240" w:lineRule="auto"/>
              <w:textAlignment w:val="baseline"/>
              <w:rPr>
                <w:rFonts w:ascii="仿宋" w:hAnsi="仿宋" w:eastAsia="仿宋" w:cs="Arial"/>
                <w:color w:val="000000"/>
                <w:kern w:val="0"/>
                <w:sz w:val="16"/>
                <w:szCs w:val="16"/>
              </w:rPr>
            </w:pPr>
          </w:p>
          <w:p w14:paraId="657DFE36">
            <w:pPr>
              <w:widowControl/>
              <w:kinsoku w:val="0"/>
              <w:autoSpaceDE w:val="0"/>
              <w:autoSpaceDN w:val="0"/>
              <w:adjustRightInd w:val="0"/>
              <w:snapToGrid w:val="0"/>
              <w:spacing w:after="0" w:line="240" w:lineRule="auto"/>
              <w:textAlignment w:val="baseline"/>
              <w:rPr>
                <w:rFonts w:hint="eastAsia" w:ascii="仿宋" w:hAnsi="仿宋" w:eastAsia="仿宋" w:cs="Arial"/>
                <w:color w:val="000000"/>
                <w:kern w:val="0"/>
                <w:sz w:val="16"/>
                <w:szCs w:val="16"/>
              </w:rPr>
            </w:pPr>
          </w:p>
          <w:p w14:paraId="2D8E4C36">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470E915A">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14EB0C74">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1849810E">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56E8B16E">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37EB9D68">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65026D74">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292DF0B4">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62780301">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3118207F">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05A36788">
            <w:pPr>
              <w:widowControl/>
              <w:kinsoku w:val="0"/>
              <w:autoSpaceDE w:val="0"/>
              <w:autoSpaceDN w:val="0"/>
              <w:adjustRightInd w:val="0"/>
              <w:snapToGrid w:val="0"/>
              <w:spacing w:after="0" w:line="240" w:lineRule="auto"/>
              <w:ind w:firstLine="160" w:firstLineChars="100"/>
              <w:textAlignment w:val="baseline"/>
              <w:rPr>
                <w:rFonts w:hint="eastAsia" w:ascii="仿宋" w:hAnsi="仿宋" w:eastAsia="仿宋" w:cs="Arial"/>
                <w:color w:val="000000"/>
                <w:kern w:val="0"/>
                <w:sz w:val="16"/>
                <w:szCs w:val="16"/>
              </w:rPr>
            </w:pPr>
          </w:p>
          <w:p w14:paraId="68C77324">
            <w:pPr>
              <w:widowControl/>
              <w:kinsoku w:val="0"/>
              <w:autoSpaceDE w:val="0"/>
              <w:autoSpaceDN w:val="0"/>
              <w:adjustRightInd w:val="0"/>
              <w:snapToGrid w:val="0"/>
              <w:spacing w:after="0" w:line="240" w:lineRule="auto"/>
              <w:ind w:firstLine="210" w:firstLineChars="100"/>
              <w:textAlignment w:val="baseline"/>
              <w:rPr>
                <w:rFonts w:hint="eastAsia" w:ascii="仿宋" w:hAnsi="仿宋" w:eastAsia="仿宋" w:cs="Arial"/>
                <w:color w:val="000000"/>
                <w:kern w:val="0"/>
                <w:szCs w:val="21"/>
              </w:rPr>
            </w:pPr>
          </w:p>
        </w:tc>
      </w:tr>
    </w:tbl>
    <w:p w14:paraId="7864343E">
      <w:pPr>
        <w:spacing w:line="233" w:lineRule="exact"/>
        <w:rPr>
          <w:rFonts w:hint="eastAsia"/>
          <w:sz w:val="20"/>
          <w:szCs w:val="20"/>
        </w:rPr>
        <w:sectPr>
          <w:headerReference r:id="rId9" w:type="default"/>
          <w:footerReference r:id="rId10" w:type="default"/>
          <w:pgSz w:w="11910" w:h="16840"/>
          <w:pgMar w:top="2040" w:right="1786" w:bottom="1521" w:left="1524" w:header="1548" w:footer="1169" w:gutter="0"/>
          <w:cols w:space="720" w:num="1"/>
        </w:sectPr>
      </w:pPr>
    </w:p>
    <w:p w14:paraId="6C564138">
      <w:pPr>
        <w:widowControl/>
        <w:snapToGrid w:val="0"/>
        <w:spacing w:before="104" w:line="224" w:lineRule="auto"/>
        <w:textAlignment w:val="baseline"/>
        <w:rPr>
          <w:rFonts w:ascii="Times New Roman" w:hAnsi="Times New Roman" w:eastAsia="黑体" w:cs="Arial"/>
          <w:snapToGrid w:val="0"/>
          <w:kern w:val="0"/>
          <w:sz w:val="32"/>
          <w:szCs w:val="32"/>
        </w:rPr>
      </w:pPr>
      <w:r>
        <w:rPr>
          <w:rFonts w:ascii="Times New Roman" w:hAnsi="Times New Roman" w:eastAsia="黑体" w:cs="Arial"/>
          <w:b/>
          <w:bCs/>
          <w:snapToGrid w:val="0"/>
          <w:spacing w:val="19"/>
          <w:kern w:val="0"/>
          <w:sz w:val="32"/>
          <w:szCs w:val="32"/>
        </w:rPr>
        <w:t>附件3</w:t>
      </w:r>
    </w:p>
    <w:p w14:paraId="44110212">
      <w:pPr>
        <w:widowControl/>
        <w:snapToGrid w:val="0"/>
        <w:spacing w:before="381" w:line="219" w:lineRule="auto"/>
        <w:ind w:left="1468"/>
        <w:textAlignment w:val="baseline"/>
        <w:rPr>
          <w:rFonts w:hint="eastAsia" w:ascii="方正小标宋简体" w:hAnsi="方正小标宋简体" w:eastAsia="方正小标宋简体" w:cs="方正小标宋简体"/>
          <w:snapToGrid w:val="0"/>
          <w:kern w:val="0"/>
          <w:sz w:val="44"/>
          <w:szCs w:val="44"/>
        </w:rPr>
      </w:pPr>
      <w:r>
        <w:rPr>
          <w:rFonts w:hint="eastAsia" w:ascii="方正小标宋简体" w:hAnsi="方正小标宋简体" w:eastAsia="方正小标宋简体" w:cs="方正小标宋简体"/>
          <w:snapToGrid w:val="0"/>
          <w:spacing w:val="15"/>
          <w:kern w:val="0"/>
          <w:sz w:val="44"/>
          <w:szCs w:val="44"/>
        </w:rPr>
        <w:t>常德经济技术开发区枫树岗化工片区项目申报审批表</w:t>
      </w:r>
    </w:p>
    <w:p w14:paraId="5B8948C6">
      <w:pPr>
        <w:widowControl/>
        <w:snapToGrid w:val="0"/>
        <w:spacing w:before="322" w:line="221" w:lineRule="auto"/>
        <w:textAlignment w:val="baseline"/>
        <w:rPr>
          <w:rFonts w:ascii="Times New Roman" w:hAnsi="Times New Roman" w:eastAsia="仿宋" w:cs="Arial"/>
          <w:snapToGrid w:val="0"/>
          <w:kern w:val="0"/>
          <w:sz w:val="27"/>
          <w:szCs w:val="27"/>
          <w:lang w:eastAsia="en-US"/>
        </w:rPr>
      </w:pPr>
      <w:r>
        <w:rPr>
          <w:rFonts w:ascii="Times New Roman" w:hAnsi="Times New Roman" w:eastAsia="仿宋" w:cs="Arial"/>
          <w:snapToGrid w:val="0"/>
          <w:spacing w:val="33"/>
          <w:kern w:val="0"/>
          <w:sz w:val="27"/>
          <w:szCs w:val="27"/>
          <w:lang w:eastAsia="en-US"/>
        </w:rPr>
        <w:t>项目名称：</w:t>
      </w:r>
    </w:p>
    <w:p w14:paraId="3CB9C4C6">
      <w:pPr>
        <w:widowControl/>
        <w:snapToGrid w:val="0"/>
        <w:spacing w:line="165" w:lineRule="exact"/>
        <w:ind w:firstLine="640" w:firstLineChars="200"/>
        <w:textAlignment w:val="baseline"/>
        <w:rPr>
          <w:rFonts w:ascii="Times New Roman" w:hAnsi="Times New Roman" w:eastAsia="Arial" w:cs="Arial"/>
          <w:snapToGrid w:val="0"/>
          <w:kern w:val="0"/>
          <w:sz w:val="32"/>
          <w:szCs w:val="21"/>
          <w:lang w:eastAsia="en-US"/>
        </w:rPr>
      </w:pPr>
    </w:p>
    <w:tbl>
      <w:tblPr>
        <w:tblStyle w:val="4"/>
        <w:tblW w:w="13939"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28"/>
        <w:gridCol w:w="5085"/>
        <w:gridCol w:w="826"/>
        <w:gridCol w:w="494"/>
        <w:gridCol w:w="1455"/>
        <w:gridCol w:w="1395"/>
        <w:gridCol w:w="1575"/>
        <w:gridCol w:w="1281"/>
      </w:tblGrid>
      <w:tr w14:paraId="41052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828" w:type="dxa"/>
            <w:tcBorders>
              <w:top w:val="single" w:color="000000" w:sz="4" w:space="0"/>
              <w:left w:val="single" w:color="000000" w:sz="4" w:space="0"/>
              <w:bottom w:val="single" w:color="000000" w:sz="4" w:space="0"/>
              <w:right w:val="single" w:color="000000" w:sz="4" w:space="0"/>
            </w:tcBorders>
            <w:vAlign w:val="center"/>
          </w:tcPr>
          <w:p w14:paraId="2DDE866E">
            <w:pPr>
              <w:widowControl/>
              <w:kinsoku w:val="0"/>
              <w:autoSpaceDE w:val="0"/>
              <w:autoSpaceDN w:val="0"/>
              <w:adjustRightInd w:val="0"/>
              <w:snapToGrid w:val="0"/>
              <w:spacing w:before="224" w:after="0" w:line="240" w:lineRule="auto"/>
              <w:jc w:val="center"/>
              <w:textAlignment w:val="baseline"/>
              <w:rPr>
                <w:rFonts w:ascii="仿宋" w:hAnsi="仿宋" w:eastAsia="仿宋" w:cs="Times New Roman"/>
                <w:color w:val="000000"/>
                <w:kern w:val="0"/>
                <w:sz w:val="24"/>
              </w:rPr>
            </w:pPr>
            <w:r>
              <w:rPr>
                <w:rFonts w:hint="eastAsia" w:ascii="仿宋" w:hAnsi="仿宋" w:eastAsia="仿宋" w:cs="Times New Roman"/>
                <w:color w:val="000000"/>
                <w:spacing w:val="9"/>
                <w:kern w:val="0"/>
                <w:sz w:val="24"/>
              </w:rPr>
              <w:t>产业类别（生物医药、新能源、新材料）</w:t>
            </w:r>
          </w:p>
        </w:tc>
        <w:tc>
          <w:tcPr>
            <w:tcW w:w="5085" w:type="dxa"/>
            <w:tcBorders>
              <w:top w:val="single" w:color="000000" w:sz="4" w:space="0"/>
              <w:left w:val="nil"/>
              <w:bottom w:val="single" w:color="000000" w:sz="4" w:space="0"/>
              <w:right w:val="single" w:color="000000" w:sz="4" w:space="0"/>
            </w:tcBorders>
            <w:vAlign w:val="center"/>
          </w:tcPr>
          <w:p w14:paraId="4CD80752">
            <w:pPr>
              <w:widowControl/>
              <w:kinsoku w:val="0"/>
              <w:autoSpaceDE w:val="0"/>
              <w:autoSpaceDN w:val="0"/>
              <w:adjustRightInd w:val="0"/>
              <w:snapToGrid w:val="0"/>
              <w:spacing w:before="224" w:after="0" w:line="240" w:lineRule="auto"/>
              <w:jc w:val="center"/>
              <w:textAlignment w:val="baseline"/>
              <w:rPr>
                <w:rFonts w:hint="eastAsia" w:ascii="仿宋" w:hAnsi="仿宋" w:eastAsia="仿宋" w:cs="Times New Roman"/>
                <w:color w:val="000000"/>
                <w:kern w:val="0"/>
                <w:sz w:val="24"/>
              </w:rPr>
            </w:pPr>
            <w:r>
              <w:rPr>
                <w:rFonts w:hint="eastAsia" w:ascii="仿宋" w:hAnsi="仿宋" w:eastAsia="仿宋" w:cs="Times New Roman"/>
                <w:color w:val="000000"/>
                <w:spacing w:val="3"/>
                <w:kern w:val="0"/>
                <w:sz w:val="24"/>
              </w:rPr>
              <w:t>资产性质（国有、民营、私企）</w:t>
            </w:r>
          </w:p>
        </w:tc>
        <w:tc>
          <w:tcPr>
            <w:tcW w:w="1320" w:type="dxa"/>
            <w:gridSpan w:val="2"/>
            <w:tcBorders>
              <w:top w:val="single" w:color="000000" w:sz="4" w:space="0"/>
              <w:left w:val="nil"/>
              <w:bottom w:val="single" w:color="000000" w:sz="4" w:space="0"/>
              <w:right w:val="single" w:color="000000" w:sz="4" w:space="0"/>
            </w:tcBorders>
            <w:vAlign w:val="center"/>
          </w:tcPr>
          <w:p w14:paraId="169DBB12">
            <w:pPr>
              <w:widowControl/>
              <w:kinsoku w:val="0"/>
              <w:autoSpaceDE w:val="0"/>
              <w:autoSpaceDN w:val="0"/>
              <w:adjustRightInd w:val="0"/>
              <w:snapToGrid w:val="0"/>
              <w:spacing w:before="93" w:after="0" w:line="240" w:lineRule="auto"/>
              <w:jc w:val="center"/>
              <w:textAlignment w:val="baseline"/>
              <w:rPr>
                <w:rFonts w:hint="eastAsia" w:ascii="仿宋" w:hAnsi="仿宋" w:eastAsia="仿宋" w:cs="Times New Roman"/>
                <w:color w:val="000000"/>
                <w:kern w:val="0"/>
                <w:sz w:val="24"/>
              </w:rPr>
            </w:pPr>
            <w:r>
              <w:rPr>
                <w:rFonts w:hint="eastAsia" w:ascii="仿宋" w:hAnsi="仿宋" w:eastAsia="仿宋" w:cs="Times New Roman"/>
                <w:color w:val="000000"/>
                <w:spacing w:val="-3"/>
                <w:kern w:val="0"/>
                <w:sz w:val="24"/>
              </w:rPr>
              <w:t>投资金额</w:t>
            </w:r>
          </w:p>
          <w:p w14:paraId="3C1E52B1">
            <w:pPr>
              <w:widowControl/>
              <w:kinsoku w:val="0"/>
              <w:autoSpaceDE w:val="0"/>
              <w:autoSpaceDN w:val="0"/>
              <w:adjustRightInd w:val="0"/>
              <w:snapToGrid w:val="0"/>
              <w:spacing w:after="0" w:line="240" w:lineRule="auto"/>
              <w:jc w:val="center"/>
              <w:textAlignment w:val="baseline"/>
              <w:rPr>
                <w:rFonts w:hint="eastAsia" w:ascii="仿宋" w:hAnsi="仿宋" w:eastAsia="仿宋" w:cs="Times New Roman"/>
                <w:color w:val="000000"/>
                <w:kern w:val="0"/>
                <w:sz w:val="24"/>
              </w:rPr>
            </w:pPr>
            <w:r>
              <w:rPr>
                <w:rFonts w:hint="eastAsia" w:ascii="仿宋" w:hAnsi="仿宋" w:eastAsia="仿宋" w:cs="Times New Roman"/>
                <w:color w:val="000000"/>
                <w:spacing w:val="12"/>
                <w:kern w:val="0"/>
                <w:sz w:val="24"/>
              </w:rPr>
              <w:t>（万元）</w:t>
            </w:r>
          </w:p>
        </w:tc>
        <w:tc>
          <w:tcPr>
            <w:tcW w:w="1455" w:type="dxa"/>
            <w:tcBorders>
              <w:top w:val="single" w:color="000000" w:sz="4" w:space="0"/>
              <w:left w:val="nil"/>
              <w:bottom w:val="single" w:color="000000" w:sz="4" w:space="0"/>
              <w:right w:val="single" w:color="000000" w:sz="4" w:space="0"/>
            </w:tcBorders>
            <w:vAlign w:val="center"/>
          </w:tcPr>
          <w:p w14:paraId="72573022">
            <w:pPr>
              <w:widowControl/>
              <w:kinsoku w:val="0"/>
              <w:autoSpaceDE w:val="0"/>
              <w:autoSpaceDN w:val="0"/>
              <w:adjustRightInd w:val="0"/>
              <w:snapToGrid w:val="0"/>
              <w:spacing w:before="93" w:after="0" w:line="240" w:lineRule="auto"/>
              <w:ind w:right="264"/>
              <w:jc w:val="center"/>
              <w:textAlignment w:val="baseline"/>
              <w:rPr>
                <w:rFonts w:hint="eastAsia" w:ascii="仿宋" w:hAnsi="仿宋" w:eastAsia="仿宋" w:cs="Times New Roman"/>
                <w:color w:val="000000"/>
                <w:kern w:val="0"/>
                <w:sz w:val="24"/>
              </w:rPr>
            </w:pPr>
            <w:r>
              <w:rPr>
                <w:rFonts w:hint="eastAsia" w:ascii="仿宋" w:hAnsi="仿宋" w:eastAsia="仿宋" w:cs="Times New Roman"/>
                <w:color w:val="000000"/>
                <w:spacing w:val="9"/>
                <w:kern w:val="0"/>
                <w:sz w:val="24"/>
              </w:rPr>
              <w:t>（拟）</w:t>
            </w:r>
            <w:r>
              <w:rPr>
                <w:rFonts w:hint="eastAsia" w:ascii="仿宋" w:hAnsi="仿宋" w:eastAsia="仿宋" w:cs="Times New Roman"/>
                <w:color w:val="000000"/>
                <w:spacing w:val="5"/>
                <w:kern w:val="0"/>
                <w:sz w:val="24"/>
              </w:rPr>
              <w:t>落地时间</w:t>
            </w:r>
          </w:p>
        </w:tc>
        <w:tc>
          <w:tcPr>
            <w:tcW w:w="1395" w:type="dxa"/>
            <w:tcBorders>
              <w:top w:val="single" w:color="000000" w:sz="4" w:space="0"/>
              <w:left w:val="nil"/>
              <w:bottom w:val="single" w:color="000000" w:sz="4" w:space="0"/>
              <w:right w:val="single" w:color="000000" w:sz="4" w:space="0"/>
            </w:tcBorders>
            <w:vAlign w:val="center"/>
          </w:tcPr>
          <w:p w14:paraId="15DE6E68">
            <w:pPr>
              <w:widowControl/>
              <w:kinsoku w:val="0"/>
              <w:autoSpaceDE w:val="0"/>
              <w:autoSpaceDN w:val="0"/>
              <w:adjustRightInd w:val="0"/>
              <w:snapToGrid w:val="0"/>
              <w:spacing w:before="62" w:after="0" w:line="240" w:lineRule="auto"/>
              <w:jc w:val="center"/>
              <w:textAlignment w:val="baseline"/>
              <w:rPr>
                <w:rFonts w:hint="eastAsia" w:ascii="仿宋" w:hAnsi="仿宋" w:eastAsia="仿宋" w:cs="Times New Roman"/>
                <w:color w:val="000000"/>
                <w:kern w:val="0"/>
                <w:sz w:val="24"/>
              </w:rPr>
            </w:pPr>
            <w:r>
              <w:rPr>
                <w:rFonts w:hint="eastAsia" w:ascii="仿宋" w:hAnsi="仿宋" w:eastAsia="仿宋" w:cs="Times New Roman"/>
                <w:color w:val="000000"/>
                <w:spacing w:val="1"/>
                <w:kern w:val="0"/>
                <w:sz w:val="24"/>
              </w:rPr>
              <w:t>（拟）年产值</w:t>
            </w:r>
          </w:p>
          <w:p w14:paraId="113E4E8C">
            <w:pPr>
              <w:widowControl/>
              <w:kinsoku w:val="0"/>
              <w:autoSpaceDE w:val="0"/>
              <w:autoSpaceDN w:val="0"/>
              <w:adjustRightInd w:val="0"/>
              <w:snapToGrid w:val="0"/>
              <w:spacing w:before="21" w:after="0" w:line="240" w:lineRule="auto"/>
              <w:jc w:val="center"/>
              <w:textAlignment w:val="baseline"/>
              <w:rPr>
                <w:rFonts w:hint="eastAsia" w:ascii="仿宋" w:hAnsi="仿宋" w:eastAsia="仿宋" w:cs="Times New Roman"/>
                <w:color w:val="000000"/>
                <w:kern w:val="0"/>
                <w:sz w:val="24"/>
              </w:rPr>
            </w:pPr>
            <w:r>
              <w:rPr>
                <w:rFonts w:hint="eastAsia" w:ascii="仿宋" w:hAnsi="仿宋" w:eastAsia="仿宋" w:cs="Times New Roman"/>
                <w:color w:val="000000"/>
                <w:spacing w:val="12"/>
                <w:kern w:val="0"/>
                <w:sz w:val="24"/>
              </w:rPr>
              <w:t>（万元）</w:t>
            </w:r>
          </w:p>
        </w:tc>
        <w:tc>
          <w:tcPr>
            <w:tcW w:w="1575" w:type="dxa"/>
            <w:tcBorders>
              <w:top w:val="single" w:color="000000" w:sz="4" w:space="0"/>
              <w:left w:val="nil"/>
              <w:bottom w:val="single" w:color="000000" w:sz="4" w:space="0"/>
              <w:right w:val="single" w:color="000000" w:sz="4" w:space="0"/>
            </w:tcBorders>
            <w:vAlign w:val="center"/>
          </w:tcPr>
          <w:p w14:paraId="1E57FE45">
            <w:pPr>
              <w:widowControl/>
              <w:kinsoku w:val="0"/>
              <w:autoSpaceDE w:val="0"/>
              <w:autoSpaceDN w:val="0"/>
              <w:adjustRightInd w:val="0"/>
              <w:snapToGrid w:val="0"/>
              <w:spacing w:before="72" w:after="0" w:line="240" w:lineRule="auto"/>
              <w:jc w:val="center"/>
              <w:textAlignment w:val="baseline"/>
              <w:rPr>
                <w:rFonts w:hint="eastAsia" w:ascii="仿宋" w:hAnsi="仿宋" w:eastAsia="仿宋" w:cs="Times New Roman"/>
                <w:color w:val="000000"/>
                <w:kern w:val="0"/>
                <w:sz w:val="24"/>
              </w:rPr>
            </w:pPr>
            <w:r>
              <w:rPr>
                <w:rFonts w:hint="eastAsia" w:ascii="仿宋" w:hAnsi="仿宋" w:eastAsia="仿宋" w:cs="Times New Roman"/>
                <w:color w:val="000000"/>
                <w:spacing w:val="1"/>
                <w:kern w:val="0"/>
                <w:sz w:val="24"/>
              </w:rPr>
              <w:t>（拟）税收</w:t>
            </w:r>
          </w:p>
          <w:p w14:paraId="30C25364">
            <w:pPr>
              <w:widowControl/>
              <w:kinsoku w:val="0"/>
              <w:autoSpaceDE w:val="0"/>
              <w:autoSpaceDN w:val="0"/>
              <w:adjustRightInd w:val="0"/>
              <w:snapToGrid w:val="0"/>
              <w:spacing w:before="21" w:after="0" w:line="240" w:lineRule="auto"/>
              <w:jc w:val="center"/>
              <w:textAlignment w:val="baseline"/>
              <w:rPr>
                <w:rFonts w:hint="eastAsia" w:ascii="仿宋" w:hAnsi="仿宋" w:eastAsia="仿宋" w:cs="Times New Roman"/>
                <w:color w:val="000000"/>
                <w:kern w:val="0"/>
                <w:sz w:val="24"/>
              </w:rPr>
            </w:pPr>
            <w:r>
              <w:rPr>
                <w:rFonts w:hint="eastAsia" w:ascii="仿宋" w:hAnsi="仿宋" w:eastAsia="仿宋" w:cs="Times New Roman"/>
                <w:color w:val="000000"/>
                <w:spacing w:val="12"/>
                <w:kern w:val="0"/>
                <w:sz w:val="24"/>
              </w:rPr>
              <w:t>（万元）</w:t>
            </w:r>
          </w:p>
        </w:tc>
        <w:tc>
          <w:tcPr>
            <w:tcW w:w="1281" w:type="dxa"/>
            <w:tcBorders>
              <w:top w:val="single" w:color="000000" w:sz="4" w:space="0"/>
              <w:left w:val="nil"/>
              <w:bottom w:val="single" w:color="000000" w:sz="4" w:space="0"/>
              <w:right w:val="single" w:color="000000" w:sz="4" w:space="0"/>
            </w:tcBorders>
            <w:vAlign w:val="center"/>
          </w:tcPr>
          <w:p w14:paraId="2A05F141">
            <w:pPr>
              <w:widowControl/>
              <w:kinsoku w:val="0"/>
              <w:autoSpaceDE w:val="0"/>
              <w:autoSpaceDN w:val="0"/>
              <w:adjustRightInd w:val="0"/>
              <w:snapToGrid w:val="0"/>
              <w:spacing w:before="222" w:after="0" w:line="240" w:lineRule="auto"/>
              <w:jc w:val="center"/>
              <w:textAlignment w:val="baseline"/>
              <w:rPr>
                <w:rFonts w:hint="eastAsia" w:ascii="仿宋" w:hAnsi="仿宋" w:eastAsia="仿宋" w:cs="Times New Roman"/>
                <w:color w:val="000000"/>
                <w:kern w:val="0"/>
                <w:sz w:val="24"/>
              </w:rPr>
            </w:pPr>
            <w:r>
              <w:rPr>
                <w:rFonts w:hint="eastAsia" w:ascii="仿宋" w:hAnsi="仿宋" w:eastAsia="仿宋" w:cs="Times New Roman"/>
                <w:color w:val="000000"/>
                <w:spacing w:val="1"/>
                <w:kern w:val="0"/>
                <w:sz w:val="24"/>
              </w:rPr>
              <w:t>（拟）就业人数</w:t>
            </w:r>
          </w:p>
        </w:tc>
      </w:tr>
      <w:tr w14:paraId="2244E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1828" w:type="dxa"/>
            <w:tcBorders>
              <w:top w:val="single" w:color="000000" w:sz="4" w:space="0"/>
              <w:left w:val="single" w:color="000000" w:sz="4" w:space="0"/>
              <w:bottom w:val="single" w:color="000000" w:sz="4" w:space="0"/>
              <w:right w:val="single" w:color="000000" w:sz="4" w:space="0"/>
            </w:tcBorders>
            <w:vAlign w:val="center"/>
          </w:tcPr>
          <w:p w14:paraId="7CCA4E04">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 w:val="24"/>
              </w:rPr>
            </w:pPr>
          </w:p>
        </w:tc>
        <w:tc>
          <w:tcPr>
            <w:tcW w:w="5085" w:type="dxa"/>
            <w:tcBorders>
              <w:top w:val="single" w:color="000000" w:sz="4" w:space="0"/>
              <w:left w:val="nil"/>
              <w:bottom w:val="single" w:color="000000" w:sz="4" w:space="0"/>
              <w:right w:val="single" w:color="000000" w:sz="4" w:space="0"/>
            </w:tcBorders>
            <w:vAlign w:val="center"/>
          </w:tcPr>
          <w:p w14:paraId="781FF532">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 w:val="24"/>
              </w:rPr>
            </w:pPr>
          </w:p>
        </w:tc>
        <w:tc>
          <w:tcPr>
            <w:tcW w:w="1320" w:type="dxa"/>
            <w:gridSpan w:val="2"/>
            <w:tcBorders>
              <w:top w:val="single" w:color="000000" w:sz="4" w:space="0"/>
              <w:left w:val="nil"/>
              <w:bottom w:val="single" w:color="000000" w:sz="4" w:space="0"/>
              <w:right w:val="single" w:color="000000" w:sz="4" w:space="0"/>
            </w:tcBorders>
            <w:vAlign w:val="center"/>
          </w:tcPr>
          <w:p w14:paraId="7D0E8834">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 w:val="24"/>
              </w:rPr>
            </w:pPr>
          </w:p>
        </w:tc>
        <w:tc>
          <w:tcPr>
            <w:tcW w:w="1455" w:type="dxa"/>
            <w:tcBorders>
              <w:top w:val="single" w:color="000000" w:sz="4" w:space="0"/>
              <w:left w:val="nil"/>
              <w:bottom w:val="single" w:color="000000" w:sz="4" w:space="0"/>
              <w:right w:val="single" w:color="000000" w:sz="4" w:space="0"/>
            </w:tcBorders>
            <w:vAlign w:val="center"/>
          </w:tcPr>
          <w:p w14:paraId="318C3BA3">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 w:val="24"/>
              </w:rPr>
            </w:pPr>
          </w:p>
        </w:tc>
        <w:tc>
          <w:tcPr>
            <w:tcW w:w="1395" w:type="dxa"/>
            <w:tcBorders>
              <w:top w:val="single" w:color="000000" w:sz="4" w:space="0"/>
              <w:left w:val="nil"/>
              <w:bottom w:val="single" w:color="000000" w:sz="4" w:space="0"/>
              <w:right w:val="single" w:color="000000" w:sz="4" w:space="0"/>
            </w:tcBorders>
            <w:vAlign w:val="center"/>
          </w:tcPr>
          <w:p w14:paraId="6BD8A2B8">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 w:val="24"/>
              </w:rPr>
            </w:pPr>
          </w:p>
        </w:tc>
        <w:tc>
          <w:tcPr>
            <w:tcW w:w="1575" w:type="dxa"/>
            <w:tcBorders>
              <w:top w:val="single" w:color="000000" w:sz="4" w:space="0"/>
              <w:left w:val="nil"/>
              <w:bottom w:val="single" w:color="000000" w:sz="4" w:space="0"/>
              <w:right w:val="single" w:color="000000" w:sz="4" w:space="0"/>
            </w:tcBorders>
            <w:vAlign w:val="center"/>
          </w:tcPr>
          <w:p w14:paraId="70E76A1F">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 w:val="24"/>
              </w:rPr>
            </w:pPr>
          </w:p>
        </w:tc>
        <w:tc>
          <w:tcPr>
            <w:tcW w:w="1281" w:type="dxa"/>
            <w:tcBorders>
              <w:top w:val="single" w:color="000000" w:sz="4" w:space="0"/>
              <w:left w:val="nil"/>
              <w:bottom w:val="single" w:color="000000" w:sz="4" w:space="0"/>
              <w:right w:val="single" w:color="000000" w:sz="4" w:space="0"/>
            </w:tcBorders>
            <w:vAlign w:val="center"/>
          </w:tcPr>
          <w:p w14:paraId="78DF1C12">
            <w:pPr>
              <w:widowControl/>
              <w:kinsoku w:val="0"/>
              <w:autoSpaceDE w:val="0"/>
              <w:autoSpaceDN w:val="0"/>
              <w:adjustRightInd w:val="0"/>
              <w:snapToGrid w:val="0"/>
              <w:spacing w:after="0" w:line="240" w:lineRule="auto"/>
              <w:jc w:val="center"/>
              <w:textAlignment w:val="baseline"/>
              <w:rPr>
                <w:rFonts w:ascii="仿宋" w:hAnsi="仿宋" w:eastAsia="仿宋" w:cs="Arial"/>
                <w:color w:val="000000"/>
                <w:kern w:val="0"/>
                <w:sz w:val="24"/>
              </w:rPr>
            </w:pPr>
          </w:p>
        </w:tc>
      </w:tr>
      <w:tr w14:paraId="2C09F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828" w:type="dxa"/>
            <w:tcBorders>
              <w:top w:val="single" w:color="000000" w:sz="4" w:space="0"/>
              <w:left w:val="single" w:color="000000" w:sz="4" w:space="0"/>
              <w:bottom w:val="single" w:color="000000" w:sz="4" w:space="0"/>
              <w:right w:val="single" w:color="000000" w:sz="4" w:space="0"/>
            </w:tcBorders>
            <w:vAlign w:val="center"/>
          </w:tcPr>
          <w:p w14:paraId="482A64DF">
            <w:pPr>
              <w:widowControl/>
              <w:kinsoku w:val="0"/>
              <w:autoSpaceDE w:val="0"/>
              <w:autoSpaceDN w:val="0"/>
              <w:adjustRightInd w:val="0"/>
              <w:snapToGrid w:val="0"/>
              <w:spacing w:before="187" w:after="0" w:line="240" w:lineRule="auto"/>
              <w:jc w:val="center"/>
              <w:textAlignment w:val="baseline"/>
              <w:rPr>
                <w:rFonts w:ascii="仿宋" w:hAnsi="仿宋" w:eastAsia="仿宋" w:cs="Arial"/>
                <w:color w:val="000000"/>
                <w:kern w:val="0"/>
                <w:sz w:val="24"/>
              </w:rPr>
            </w:pPr>
            <w:r>
              <w:rPr>
                <w:rFonts w:hint="eastAsia" w:ascii="仿宋" w:hAnsi="仿宋" w:eastAsia="仿宋" w:cs="Arial"/>
                <w:color w:val="000000"/>
                <w:kern w:val="0"/>
                <w:sz w:val="24"/>
              </w:rPr>
              <w:t>审批单位</w:t>
            </w:r>
          </w:p>
        </w:tc>
        <w:tc>
          <w:tcPr>
            <w:tcW w:w="5085" w:type="dxa"/>
            <w:tcBorders>
              <w:top w:val="single" w:color="000000" w:sz="4" w:space="0"/>
              <w:left w:val="nil"/>
              <w:bottom w:val="single" w:color="000000" w:sz="4" w:space="0"/>
              <w:right w:val="single" w:color="000000" w:sz="4" w:space="0"/>
            </w:tcBorders>
            <w:vAlign w:val="center"/>
          </w:tcPr>
          <w:p w14:paraId="1D6CA3DE">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 w:val="24"/>
              </w:rPr>
            </w:pPr>
          </w:p>
        </w:tc>
        <w:tc>
          <w:tcPr>
            <w:tcW w:w="1320" w:type="dxa"/>
            <w:gridSpan w:val="2"/>
            <w:tcBorders>
              <w:top w:val="single" w:color="000000" w:sz="4" w:space="0"/>
              <w:left w:val="nil"/>
              <w:bottom w:val="single" w:color="000000" w:sz="4" w:space="0"/>
              <w:right w:val="single" w:color="000000" w:sz="4" w:space="0"/>
            </w:tcBorders>
            <w:vAlign w:val="center"/>
          </w:tcPr>
          <w:p w14:paraId="6BD741DB">
            <w:pPr>
              <w:widowControl/>
              <w:kinsoku w:val="0"/>
              <w:autoSpaceDE w:val="0"/>
              <w:autoSpaceDN w:val="0"/>
              <w:adjustRightInd w:val="0"/>
              <w:snapToGrid w:val="0"/>
              <w:spacing w:before="186" w:after="0" w:line="240" w:lineRule="auto"/>
              <w:jc w:val="center"/>
              <w:textAlignment w:val="baseline"/>
              <w:rPr>
                <w:rFonts w:hint="eastAsia" w:ascii="仿宋" w:hAnsi="仿宋" w:eastAsia="仿宋" w:cs="Arial"/>
                <w:color w:val="000000"/>
                <w:kern w:val="0"/>
                <w:sz w:val="24"/>
              </w:rPr>
            </w:pPr>
            <w:r>
              <w:rPr>
                <w:rFonts w:hint="eastAsia" w:ascii="仿宋" w:hAnsi="仿宋" w:eastAsia="仿宋" w:cs="Arial"/>
                <w:color w:val="000000"/>
                <w:kern w:val="0"/>
                <w:sz w:val="24"/>
              </w:rPr>
              <w:t>姓名</w:t>
            </w:r>
          </w:p>
        </w:tc>
        <w:tc>
          <w:tcPr>
            <w:tcW w:w="1455" w:type="dxa"/>
            <w:tcBorders>
              <w:top w:val="single" w:color="000000" w:sz="4" w:space="0"/>
              <w:left w:val="nil"/>
              <w:bottom w:val="single" w:color="000000" w:sz="4" w:space="0"/>
              <w:right w:val="single" w:color="000000" w:sz="4" w:space="0"/>
            </w:tcBorders>
            <w:vAlign w:val="center"/>
          </w:tcPr>
          <w:p w14:paraId="3C064FF7">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 w:val="24"/>
              </w:rPr>
            </w:pPr>
          </w:p>
        </w:tc>
        <w:tc>
          <w:tcPr>
            <w:tcW w:w="1395" w:type="dxa"/>
            <w:tcBorders>
              <w:top w:val="single" w:color="000000" w:sz="4" w:space="0"/>
              <w:left w:val="nil"/>
              <w:bottom w:val="single" w:color="000000" w:sz="4" w:space="0"/>
              <w:right w:val="single" w:color="000000" w:sz="4" w:space="0"/>
            </w:tcBorders>
            <w:vAlign w:val="center"/>
          </w:tcPr>
          <w:p w14:paraId="593695AA">
            <w:pPr>
              <w:widowControl/>
              <w:kinsoku w:val="0"/>
              <w:autoSpaceDE w:val="0"/>
              <w:autoSpaceDN w:val="0"/>
              <w:adjustRightInd w:val="0"/>
              <w:snapToGrid w:val="0"/>
              <w:spacing w:before="186" w:after="0" w:line="240" w:lineRule="auto"/>
              <w:jc w:val="center"/>
              <w:textAlignment w:val="baseline"/>
              <w:rPr>
                <w:rFonts w:ascii="仿宋" w:hAnsi="仿宋" w:eastAsia="仿宋" w:cs="Arial"/>
                <w:color w:val="000000"/>
                <w:kern w:val="0"/>
                <w:sz w:val="24"/>
              </w:rPr>
            </w:pPr>
            <w:r>
              <w:rPr>
                <w:rFonts w:hint="eastAsia" w:ascii="仿宋" w:hAnsi="仿宋" w:eastAsia="仿宋" w:cs="Arial"/>
                <w:color w:val="000000"/>
                <w:kern w:val="0"/>
                <w:sz w:val="24"/>
              </w:rPr>
              <w:t>职务</w:t>
            </w:r>
          </w:p>
        </w:tc>
        <w:tc>
          <w:tcPr>
            <w:tcW w:w="2856" w:type="dxa"/>
            <w:gridSpan w:val="2"/>
            <w:tcBorders>
              <w:top w:val="single" w:color="000000" w:sz="4" w:space="0"/>
              <w:left w:val="nil"/>
              <w:bottom w:val="single" w:color="000000" w:sz="4" w:space="0"/>
              <w:right w:val="single" w:color="000000" w:sz="4" w:space="0"/>
            </w:tcBorders>
            <w:vAlign w:val="center"/>
          </w:tcPr>
          <w:p w14:paraId="1E1879EB">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 w:val="24"/>
              </w:rPr>
            </w:pPr>
          </w:p>
        </w:tc>
      </w:tr>
      <w:tr w14:paraId="1770C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1" w:hRule="atLeast"/>
        </w:trPr>
        <w:tc>
          <w:tcPr>
            <w:tcW w:w="1828" w:type="dxa"/>
            <w:tcBorders>
              <w:top w:val="single" w:color="000000" w:sz="4" w:space="0"/>
              <w:left w:val="single" w:color="000000" w:sz="4" w:space="0"/>
              <w:bottom w:val="single" w:color="000000" w:sz="4" w:space="0"/>
              <w:right w:val="single" w:color="000000" w:sz="4" w:space="0"/>
            </w:tcBorders>
            <w:vAlign w:val="center"/>
          </w:tcPr>
          <w:p w14:paraId="15CB6C3E">
            <w:pPr>
              <w:widowControl/>
              <w:kinsoku w:val="0"/>
              <w:autoSpaceDE w:val="0"/>
              <w:autoSpaceDN w:val="0"/>
              <w:adjustRightInd w:val="0"/>
              <w:snapToGrid w:val="0"/>
              <w:spacing w:before="187" w:after="0" w:line="240" w:lineRule="auto"/>
              <w:jc w:val="center"/>
              <w:textAlignment w:val="baseline"/>
              <w:rPr>
                <w:rFonts w:ascii="仿宋" w:hAnsi="仿宋" w:eastAsia="仿宋" w:cs="Times New Roman"/>
                <w:color w:val="000000"/>
                <w:kern w:val="0"/>
                <w:sz w:val="24"/>
              </w:rPr>
            </w:pPr>
            <w:r>
              <w:rPr>
                <w:rFonts w:hint="eastAsia" w:ascii="仿宋" w:hAnsi="仿宋" w:eastAsia="仿宋" w:cs="Arial"/>
                <w:color w:val="000000"/>
                <w:kern w:val="0"/>
                <w:sz w:val="24"/>
              </w:rPr>
              <w:t>意见建议</w:t>
            </w:r>
          </w:p>
        </w:tc>
        <w:tc>
          <w:tcPr>
            <w:tcW w:w="12111" w:type="dxa"/>
            <w:gridSpan w:val="7"/>
            <w:tcBorders>
              <w:top w:val="single" w:color="000000" w:sz="4" w:space="0"/>
              <w:left w:val="nil"/>
              <w:bottom w:val="single" w:color="000000" w:sz="4" w:space="0"/>
              <w:right w:val="single" w:color="000000" w:sz="4" w:space="0"/>
            </w:tcBorders>
            <w:vAlign w:val="center"/>
          </w:tcPr>
          <w:p w14:paraId="380448FC">
            <w:pPr>
              <w:widowControl/>
              <w:kinsoku w:val="0"/>
              <w:autoSpaceDE w:val="0"/>
              <w:autoSpaceDN w:val="0"/>
              <w:adjustRightInd w:val="0"/>
              <w:snapToGrid w:val="0"/>
              <w:spacing w:after="0" w:line="240" w:lineRule="auto"/>
              <w:jc w:val="center"/>
              <w:textAlignment w:val="baseline"/>
              <w:rPr>
                <w:rFonts w:hint="eastAsia" w:ascii="仿宋" w:hAnsi="仿宋" w:eastAsia="仿宋" w:cs="Arial"/>
                <w:color w:val="000000"/>
                <w:kern w:val="0"/>
                <w:sz w:val="24"/>
              </w:rPr>
            </w:pPr>
          </w:p>
        </w:tc>
      </w:tr>
      <w:tr w14:paraId="4FC1E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828" w:type="dxa"/>
            <w:tcBorders>
              <w:top w:val="single" w:color="000000" w:sz="4" w:space="0"/>
              <w:left w:val="single" w:color="000000" w:sz="4" w:space="0"/>
              <w:bottom w:val="single" w:color="000000" w:sz="4" w:space="0"/>
              <w:right w:val="single" w:color="000000" w:sz="4" w:space="0"/>
            </w:tcBorders>
          </w:tcPr>
          <w:p w14:paraId="5CFAD101">
            <w:pPr>
              <w:widowControl/>
              <w:kinsoku w:val="0"/>
              <w:autoSpaceDE w:val="0"/>
              <w:autoSpaceDN w:val="0"/>
              <w:adjustRightInd w:val="0"/>
              <w:snapToGrid w:val="0"/>
              <w:spacing w:after="0" w:line="240" w:lineRule="auto"/>
              <w:jc w:val="left"/>
              <w:textAlignment w:val="baseline"/>
              <w:rPr>
                <w:rFonts w:ascii="仿宋" w:hAnsi="仿宋" w:eastAsia="仿宋" w:cs="Arial"/>
                <w:color w:val="000000"/>
                <w:kern w:val="0"/>
                <w:sz w:val="24"/>
              </w:rPr>
            </w:pPr>
          </w:p>
        </w:tc>
        <w:tc>
          <w:tcPr>
            <w:tcW w:w="5911" w:type="dxa"/>
            <w:gridSpan w:val="2"/>
            <w:tcBorders>
              <w:top w:val="single" w:color="000000" w:sz="4" w:space="0"/>
              <w:left w:val="nil"/>
              <w:bottom w:val="single" w:color="000000" w:sz="4" w:space="0"/>
              <w:right w:val="single" w:color="000000" w:sz="4" w:space="0"/>
            </w:tcBorders>
          </w:tcPr>
          <w:p w14:paraId="1D310628">
            <w:pPr>
              <w:widowControl/>
              <w:kinsoku w:val="0"/>
              <w:autoSpaceDE w:val="0"/>
              <w:autoSpaceDN w:val="0"/>
              <w:adjustRightInd w:val="0"/>
              <w:snapToGrid w:val="0"/>
              <w:spacing w:before="187" w:after="0" w:line="240" w:lineRule="auto"/>
              <w:ind w:left="424" w:firstLine="960" w:firstLineChars="400"/>
              <w:jc w:val="left"/>
              <w:textAlignment w:val="baseline"/>
              <w:rPr>
                <w:rFonts w:ascii="仿宋" w:hAnsi="仿宋" w:eastAsia="仿宋" w:cs="Arial"/>
                <w:color w:val="000000"/>
                <w:kern w:val="0"/>
                <w:sz w:val="24"/>
              </w:rPr>
            </w:pPr>
            <w:r>
              <w:rPr>
                <w:rFonts w:hint="eastAsia" w:ascii="仿宋" w:hAnsi="仿宋" w:eastAsia="仿宋" w:cs="Arial"/>
                <w:color w:val="000000"/>
                <w:kern w:val="0"/>
                <w:sz w:val="24"/>
              </w:rPr>
              <w:t>同意</w:t>
            </w:r>
            <w:r>
              <w:rPr>
                <w:rFonts w:hint="eastAsia" w:ascii="仿宋" w:hAnsi="仿宋" w:eastAsia="仿宋" w:cs="Arial"/>
                <w:color w:val="000000"/>
                <w:kern w:val="0"/>
                <w:sz w:val="28"/>
                <w:szCs w:val="28"/>
              </w:rPr>
              <w:t>口</w:t>
            </w:r>
          </w:p>
        </w:tc>
        <w:tc>
          <w:tcPr>
            <w:tcW w:w="6200" w:type="dxa"/>
            <w:gridSpan w:val="5"/>
            <w:tcBorders>
              <w:top w:val="single" w:color="000000" w:sz="4" w:space="0"/>
              <w:left w:val="nil"/>
              <w:bottom w:val="single" w:color="000000" w:sz="4" w:space="0"/>
              <w:right w:val="single" w:color="000000" w:sz="4" w:space="0"/>
            </w:tcBorders>
          </w:tcPr>
          <w:p w14:paraId="7CC5EA7E">
            <w:pPr>
              <w:widowControl/>
              <w:kinsoku w:val="0"/>
              <w:autoSpaceDE w:val="0"/>
              <w:autoSpaceDN w:val="0"/>
              <w:adjustRightInd w:val="0"/>
              <w:snapToGrid w:val="0"/>
              <w:spacing w:before="187" w:after="0" w:line="240" w:lineRule="auto"/>
              <w:ind w:left="424" w:firstLine="1200" w:firstLineChars="500"/>
              <w:jc w:val="left"/>
              <w:textAlignment w:val="baseline"/>
              <w:rPr>
                <w:rFonts w:hint="eastAsia" w:ascii="仿宋" w:hAnsi="仿宋" w:eastAsia="仿宋" w:cs="Arial"/>
                <w:color w:val="000000"/>
                <w:kern w:val="0"/>
                <w:sz w:val="24"/>
              </w:rPr>
            </w:pPr>
            <w:r>
              <w:rPr>
                <w:rFonts w:hint="eastAsia" w:ascii="仿宋" w:hAnsi="仿宋" w:eastAsia="仿宋" w:cs="Arial"/>
                <w:color w:val="000000"/>
                <w:kern w:val="0"/>
                <w:sz w:val="24"/>
              </w:rPr>
              <w:t>不同意</w:t>
            </w:r>
            <w:r>
              <w:rPr>
                <w:rFonts w:hint="eastAsia" w:ascii="仿宋" w:hAnsi="仿宋" w:eastAsia="仿宋" w:cs="Arial"/>
                <w:color w:val="000000"/>
                <w:kern w:val="0"/>
                <w:sz w:val="28"/>
                <w:szCs w:val="28"/>
              </w:rPr>
              <w:t>口</w:t>
            </w:r>
          </w:p>
        </w:tc>
      </w:tr>
    </w:tbl>
    <w:p w14:paraId="02EA84A3">
      <w:pPr>
        <w:rPr>
          <w:rFonts w:eastAsia="方正小标宋简体"/>
          <w:sz w:val="44"/>
          <w:szCs w:val="44"/>
        </w:rPr>
        <w:sectPr>
          <w:headerReference r:id="rId11" w:type="default"/>
          <w:footerReference r:id="rId12" w:type="default"/>
          <w:pgSz w:w="16838" w:h="11906" w:orient="landscape"/>
          <w:pgMar w:top="1531" w:right="1928" w:bottom="1531" w:left="1871" w:header="851" w:footer="992" w:gutter="0"/>
          <w:cols w:space="720" w:num="1"/>
          <w:docGrid w:type="lines" w:linePitch="312" w:charSpace="0"/>
        </w:sectPr>
      </w:pPr>
    </w:p>
    <w:p w14:paraId="66246303">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65" w:name="_Toc2017251642"/>
      <w:r>
        <w:rPr>
          <w:rFonts w:ascii="Times New Roman" w:hAnsi="Times New Roman" w:eastAsia="方正小标宋简体" w:cs="Arial"/>
          <w:snapToGrid w:val="0"/>
          <w:kern w:val="0"/>
          <w:sz w:val="44"/>
          <w:szCs w:val="21"/>
        </w:rPr>
        <w:t>企业（项目）退出管理办法</w:t>
      </w:r>
      <w:bookmarkEnd w:id="65"/>
    </w:p>
    <w:p w14:paraId="71546EF8">
      <w:pPr>
        <w:keepNext/>
        <w:keepLines/>
        <w:snapToGrid w:val="0"/>
        <w:spacing w:line="600" w:lineRule="exact"/>
        <w:jc w:val="center"/>
        <w:textAlignment w:val="baseline"/>
        <w:outlineLvl w:val="1"/>
        <w:rPr>
          <w:rFonts w:hint="eastAsia" w:ascii="Times New Roman" w:hAnsi="Times New Roman" w:eastAsia="方正小标宋简体" w:cs="Arial"/>
          <w:snapToGrid w:val="0"/>
          <w:kern w:val="0"/>
          <w:sz w:val="44"/>
          <w:szCs w:val="21"/>
        </w:rPr>
      </w:pPr>
    </w:p>
    <w:p w14:paraId="1CF764C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入驻化工园区企业（项目）因自身原因，有下列情形之一的，在规定的整改期限内未达到整改目标要求的，实行退出。</w:t>
      </w:r>
    </w:p>
    <w:p w14:paraId="59E0DA7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1、改变工业用地用途或擅自改变规划设计和备案施工图建设内容的。</w:t>
      </w:r>
    </w:p>
    <w:p w14:paraId="222AC4D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2、因项目企业自身原因，施工建设用地面积占应动工建设用地总面积不足或已完成投资额占总投资额不足，停止施工建设，造成土地闲置达2年的。</w:t>
      </w:r>
    </w:p>
    <w:p w14:paraId="5DCEB80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3、投资项目建成投产后，因未按设计标准建设，造成生产工艺或产品不符合国家产业政策且拒不调整产业和改进工艺的；或因国家产业政策调整，不符合现行国家产业政策且拒不调整产业和改进工艺的。</w:t>
      </w:r>
    </w:p>
    <w:p w14:paraId="5E78019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4、存在重大生产安全隐患且拒不整改的。</w:t>
      </w:r>
    </w:p>
    <w:p w14:paraId="3CE3195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w:t>
      </w:r>
      <w:r>
        <w:rPr>
          <w:rFonts w:ascii="Times New Roman" w:hAnsi="Times New Roman" w:eastAsia="仿宋" w:cs="Arial"/>
          <w:b/>
          <w:bCs/>
          <w:snapToGrid w:val="0"/>
          <w:kern w:val="0"/>
          <w:sz w:val="32"/>
          <w:szCs w:val="21"/>
        </w:rPr>
        <w:t xml:space="preserve"> 企业（项目）退出程序：</w:t>
      </w:r>
    </w:p>
    <w:p w14:paraId="6F50CE2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1、提出：各行业监管部门或企业可根据本办法退出条件，对符合情况的企业（项目）提出退出申请，并向园区管委会提交书面申请，内容涵盖退出原因、计划退出时间、资产处置初步方案、员工安置意向。</w:t>
      </w:r>
    </w:p>
    <w:p w14:paraId="0A010E4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2、听证：园区管委会自收到申请后，交由各职能部门于7个工作日内完成资料审核和现场核查，园区按照相关流程组织各职能部门、行业领域专家、企业主要负责人及分管负责人召开听证会并形成听证报告。</w:t>
      </w:r>
    </w:p>
    <w:p w14:paraId="658C78B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3、决议：由园区主要领导召集相关部门负责人联合会审，对听证报告研究审议，并于5个工作日内将决议结果告知企业。</w:t>
      </w:r>
    </w:p>
    <w:p w14:paraId="58FF67D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实施：园区决议同意企业（项目）退出，由企业按照听证报告要求和决议进行实施，其中危险化学品企业向相关部门提出注销危险化学品安全生产许可证申请，非危险化学品企业（项目）采取主要生产装置断水、断电、断气并拆除措施。各行业监管部门按照管委会行政管理规定各自负责验收，确保不可恢复生产建设。</w:t>
      </w:r>
    </w:p>
    <w:p w14:paraId="59402DED">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第三条  企业（项目）退出方式：</w:t>
      </w:r>
    </w:p>
    <w:p w14:paraId="0E2EB01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1、协商退出：对在规定的整改期限内未达到整改目的要求的，实行协商退出。</w:t>
      </w:r>
    </w:p>
    <w:p w14:paraId="302752A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2、兼并转让：企业（项目）由于兼并、转让等方式自愿要求退出的，可通过市场交易方式运作。</w:t>
      </w:r>
    </w:p>
    <w:p w14:paraId="6F99BB42">
      <w:pPr>
        <w:ind w:firstLine="640"/>
        <w:sectPr>
          <w:pgSz w:w="11906" w:h="16838"/>
          <w:pgMar w:top="1440" w:right="1800" w:bottom="1440" w:left="1800" w:header="851" w:footer="992" w:gutter="0"/>
          <w:cols w:space="720" w:num="1"/>
          <w:docGrid w:type="lines" w:linePitch="312" w:charSpace="0"/>
        </w:sectPr>
      </w:pPr>
      <w:r>
        <w:rPr>
          <w:rFonts w:ascii="Times New Roman" w:hAnsi="Times New Roman" w:eastAsia="仿宋" w:cs="Arial"/>
          <w:snapToGrid w:val="0"/>
          <w:kern w:val="0"/>
          <w:sz w:val="32"/>
          <w:szCs w:val="21"/>
        </w:rPr>
        <w:t>3、强制退出：对在规定的整改期限内未达到整改目的要求的，经和企业（项目）协商无效，依据投资合作协议约定终止合作协议，实行强制退出。</w:t>
      </w:r>
    </w:p>
    <w:p w14:paraId="77B1CBD5">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66" w:name="_Toc2078642178"/>
      <w:r>
        <w:rPr>
          <w:rFonts w:ascii="Times New Roman" w:hAnsi="Times New Roman" w:eastAsia="方正小标宋简体" w:cs="Arial"/>
          <w:snapToGrid w:val="0"/>
          <w:kern w:val="0"/>
          <w:sz w:val="44"/>
          <w:szCs w:val="21"/>
        </w:rPr>
        <w:t>危险化学品建设项目安全风险防控制度</w:t>
      </w:r>
      <w:bookmarkEnd w:id="66"/>
    </w:p>
    <w:p w14:paraId="7AE5AA21">
      <w:pPr>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7BCA8A7">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7B9EE17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 xml:space="preserve">第一条 </w:t>
      </w:r>
      <w:r>
        <w:rPr>
          <w:rFonts w:ascii="Times New Roman" w:hAnsi="Times New Roman" w:eastAsia="仿宋" w:cs="Arial"/>
          <w:snapToGrid w:val="0"/>
          <w:kern w:val="0"/>
          <w:sz w:val="32"/>
          <w:szCs w:val="21"/>
        </w:rPr>
        <w:t xml:space="preserve"> 为强化常德经济技术开发区枫树岗化工片区（以下简称“化工园区”）危险化学品建设项目安全风险防控，严格项目安全准入管理，依据《中华人民共和国安全生产法》《危险化学品建设项目安全监督管理办法》《危险化学品生产建设项目安全风险防控指南（试行）》等法律法规和文件，制定本制度。</w:t>
      </w:r>
    </w:p>
    <w:p w14:paraId="193C610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本制度适用于化工园区管理范围内依法应取得危险化学品安全生产许可、使用许可的新建、改建、扩建危险化学品建设项目（以下简称建设项目）。其他化工建设项目参照执行。</w:t>
      </w:r>
    </w:p>
    <w:p w14:paraId="3C64333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化工园区建设项目安全风险防控包括项目决策咨询服务、项目核准或备案、安全条件审查、安全设施设计审查、试生产（使用）、安全设施竣工验收等环节。</w:t>
      </w:r>
    </w:p>
    <w:p w14:paraId="6B0DE314">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建设项目准入管理</w:t>
      </w:r>
    </w:p>
    <w:p w14:paraId="0ECD5A2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引进建设项目过程中，在管委会预审环节，各相关部门应提供决策咨询服务，落实联合安全风险防控机制，协同把关项目落地的各项条件。</w:t>
      </w:r>
    </w:p>
    <w:p w14:paraId="77081C3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决策咨询服务由经济合作局牵头，各相关局办对建设项目的可行性、先进性、安全性等进行联合审查和指导服务。</w:t>
      </w:r>
    </w:p>
    <w:p w14:paraId="0D2FAE4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决策咨询服务应按照产业政策、国际环境公约要求和行业规范（准入）条件要求，依据化工园区总体规划、产业规划、相关专项规划和“禁限控”目录等进行建设项目准入和评价。</w:t>
      </w:r>
    </w:p>
    <w:p w14:paraId="793E493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建设项目准入和评价应综合评估项目的产业发展、技术水平、安全风险控制（包括相邻企业间的安全风险）、污染控制、应急管理、能源消耗、资源利用、信息化、经济效益、社会效益和投资者实力等。</w:t>
      </w:r>
    </w:p>
    <w:p w14:paraId="658A9D6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建设项目准入环节应严格对照《危险化学品生产建设项目安全风险防控指南（试行）》，重点防控产业政策风险、工艺技术风险、周边影响风险、人员储备风险和应急救援风险。</w:t>
      </w:r>
    </w:p>
    <w:p w14:paraId="11C4CEF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建设项目准入流程应符合《常德经济技术开发区枫树岗化工片区入园项目联合审查管理办法》有关规定。</w:t>
      </w:r>
    </w:p>
    <w:p w14:paraId="4645623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建设项目通过审核的（“两重点一重大”建设项目须通过市级审核），建设单位应依法依规办理建设项目核准或备案相关手续。</w:t>
      </w:r>
    </w:p>
    <w:p w14:paraId="6ED62C40">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建设项目安全设施“三同时”管理</w:t>
      </w:r>
    </w:p>
    <w:p w14:paraId="296C83A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建设单位应委托具备相应资质的安全评价机构对建设项目进行安全评价。</w:t>
      </w:r>
    </w:p>
    <w:p w14:paraId="4303161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在初步设计阶段，建设单位应委托具备化工石化医药、石油天然气（海洋石油）等相关工程设计资质的单位进行设计，涉及“两重点一重大”的大型建设项目，其设计单位资质应为工程设计综合资质或相应工程设计化工石化医药、石油天然气（海洋石油）行业、专业资质甲级。</w:t>
      </w:r>
    </w:p>
    <w:p w14:paraId="6873B00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在建设项目初步设计完成后、详细设计开始前，建设单位应申请建设项目安全设施设计审查，取得书面审查意见。</w:t>
      </w:r>
    </w:p>
    <w:p w14:paraId="3934A21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在建设项目安全设施施工完成后，建设单位应按照有关规定，对建设项目安全设施进行检验、检测，保证建设项目安全设施满足危险化学品生产、储存的安全要求，并处于正常适用状态。</w:t>
      </w:r>
    </w:p>
    <w:p w14:paraId="333AD98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试生产（使用）前，建设单位应组织各参建方落实“三查四定”，组织专家对试生产（使用）方案进行论证，并将试生产方案报送市、区应急管理部门，将相关数据接入安全风险智能化管控平台。</w:t>
      </w:r>
    </w:p>
    <w:p w14:paraId="73B8822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试生产（使用）时，建设单位应组织专家对试生产（使用）条件进行确认，对试生产（使用）过程进行技术指导。</w:t>
      </w:r>
    </w:p>
    <w:p w14:paraId="08654DF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建设项目试生产期限应不少于30日，不超过1年。其中涉及重点监管危险化工工艺的建设项目试生产时间不少于3个月。</w:t>
      </w:r>
    </w:p>
    <w:p w14:paraId="316D8B4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试生产（使用）结束后，建设单位应编制试生产总结报告，各参建方应提出试生产是否通过的明确结论。</w:t>
      </w:r>
    </w:p>
    <w:p w14:paraId="5285B8C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在试生产期间，建设单位应委托有相应资质的安全评价机构对建设项目及其安全设施试生产（使用）情况进行安全验收评价。</w:t>
      </w:r>
    </w:p>
    <w:p w14:paraId="6F0E7FC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建设项目投入生产和使用前，建设单位应进行安全设施竣工验收，作出建设项目安全设施竣工验收是否通过的结论。</w:t>
      </w:r>
    </w:p>
    <w:p w14:paraId="1A492587">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安全设施竣工验收合格后，建设单位应按照有关法律法规及其配套规章的规定申请取得安全生产许可。</w:t>
      </w:r>
    </w:p>
    <w:p w14:paraId="033167E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建设单位应组织对本单位编制的生产安全事故应急预案进行评审，报送常德市应急管理局备案，抄送产业发展局（安全监管局）。</w:t>
      </w:r>
    </w:p>
    <w:p w14:paraId="196C3482">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监督管理</w:t>
      </w:r>
    </w:p>
    <w:p w14:paraId="6727110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管委会各部门应履行法律法规赋予的监管职责，建立并落实沟通机制，加强对建设项目的事中事后监管。</w:t>
      </w:r>
    </w:p>
    <w:p w14:paraId="60C62EE9">
      <w:pPr>
        <w:ind w:firstLine="640"/>
        <w:sectPr>
          <w:pgSz w:w="11906" w:h="16838"/>
          <w:pgMar w:top="1440" w:right="1800" w:bottom="1440" w:left="1800" w:header="851" w:footer="992" w:gutter="0"/>
          <w:cols w:space="720" w:num="1"/>
          <w:docGrid w:type="lines" w:linePitch="312" w:charSpace="0"/>
        </w:sectPr>
      </w:pPr>
    </w:p>
    <w:p w14:paraId="2E027EE8">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0CB5117">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2F2ABC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2B4FBF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433D4B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373EC4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13C7FC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8FE547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1FFB90BC">
      <w:pPr>
        <w:widowControl/>
        <w:snapToGrid w:val="0"/>
        <w:spacing w:line="600" w:lineRule="exact"/>
        <w:ind w:firstLine="640" w:firstLineChars="200"/>
        <w:jc w:val="center"/>
        <w:textAlignment w:val="baseline"/>
        <w:rPr>
          <w:rFonts w:ascii="Times New Roman" w:hAnsi="Times New Roman" w:eastAsia="仿宋" w:cs="Arial"/>
          <w:snapToGrid w:val="0"/>
          <w:kern w:val="0"/>
          <w:sz w:val="32"/>
          <w:szCs w:val="21"/>
        </w:rPr>
      </w:pPr>
    </w:p>
    <w:p w14:paraId="10EC350F">
      <w:pPr>
        <w:keepNext/>
        <w:keepLines/>
        <w:snapToGrid w:val="0"/>
        <w:spacing w:line="600" w:lineRule="exact"/>
        <w:jc w:val="center"/>
        <w:textAlignment w:val="baseline"/>
        <w:outlineLvl w:val="0"/>
        <w:rPr>
          <w:rFonts w:hint="eastAsia" w:ascii="方正小标宋简体" w:hAnsi="方正小标宋简体" w:eastAsia="方正小标宋简体" w:cs="方正小标宋简体"/>
          <w:b/>
          <w:snapToGrid w:val="0"/>
          <w:kern w:val="44"/>
          <w:sz w:val="48"/>
          <w:szCs w:val="21"/>
          <w:lang w:eastAsia="en-US"/>
        </w:rPr>
      </w:pPr>
      <w:bookmarkStart w:id="67" w:name="_Toc3382"/>
      <w:bookmarkStart w:id="68" w:name="_Toc761013685"/>
      <w:bookmarkStart w:id="69" w:name="_Toc199459670"/>
      <w:bookmarkStart w:id="70" w:name="_Toc1887105547"/>
      <w:r>
        <w:rPr>
          <w:rFonts w:hint="eastAsia" w:ascii="方正小标宋简体" w:hAnsi="方正小标宋简体" w:eastAsia="方正小标宋简体" w:cs="方正小标宋简体"/>
          <w:b/>
          <w:snapToGrid w:val="0"/>
          <w:kern w:val="44"/>
          <w:sz w:val="48"/>
          <w:szCs w:val="21"/>
          <w:lang w:eastAsia="en-US"/>
        </w:rPr>
        <w:t>第</w:t>
      </w:r>
      <w:r>
        <w:rPr>
          <w:rFonts w:hint="eastAsia" w:ascii="方正小标宋简体" w:hAnsi="方正小标宋简体" w:eastAsia="方正小标宋简体" w:cs="方正小标宋简体"/>
          <w:b/>
          <w:snapToGrid w:val="0"/>
          <w:kern w:val="44"/>
          <w:sz w:val="48"/>
          <w:szCs w:val="21"/>
        </w:rPr>
        <w:t>六</w:t>
      </w:r>
      <w:r>
        <w:rPr>
          <w:rFonts w:hint="eastAsia" w:ascii="方正小标宋简体" w:hAnsi="方正小标宋简体" w:eastAsia="方正小标宋简体" w:cs="方正小标宋简体"/>
          <w:b/>
          <w:snapToGrid w:val="0"/>
          <w:kern w:val="44"/>
          <w:sz w:val="48"/>
          <w:szCs w:val="21"/>
          <w:lang w:eastAsia="en-US"/>
        </w:rPr>
        <w:t>部分</w:t>
      </w:r>
      <w:r>
        <w:rPr>
          <w:rFonts w:hint="eastAsia" w:ascii="方正小标宋简体" w:hAnsi="方正小标宋简体" w:eastAsia="方正小标宋简体" w:cs="方正小标宋简体"/>
          <w:b/>
          <w:snapToGrid w:val="0"/>
          <w:kern w:val="44"/>
          <w:sz w:val="48"/>
          <w:szCs w:val="21"/>
        </w:rPr>
        <w:t xml:space="preserve"> 第三方管理制度</w:t>
      </w:r>
      <w:bookmarkEnd w:id="67"/>
      <w:bookmarkEnd w:id="68"/>
      <w:bookmarkEnd w:id="69"/>
      <w:bookmarkEnd w:id="70"/>
    </w:p>
    <w:p w14:paraId="50BC377C">
      <w:pPr>
        <w:ind w:firstLine="640"/>
        <w:rPr>
          <w:rFonts w:hint="eastAsia" w:ascii="方正小标宋简体" w:hAnsi="方正小标宋简体" w:eastAsia="方正小标宋简体" w:cs="方正小标宋简体"/>
        </w:rPr>
        <w:sectPr>
          <w:pgSz w:w="11906" w:h="16838"/>
          <w:pgMar w:top="1440" w:right="1800" w:bottom="1440" w:left="1800" w:header="851" w:footer="992" w:gutter="0"/>
          <w:cols w:space="720" w:num="1"/>
          <w:docGrid w:type="lines" w:linePitch="312" w:charSpace="0"/>
        </w:sectPr>
      </w:pPr>
    </w:p>
    <w:p w14:paraId="5FA966A0">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71" w:name="_Toc307062239"/>
      <w:r>
        <w:rPr>
          <w:rFonts w:ascii="Times New Roman" w:hAnsi="Times New Roman" w:eastAsia="方正小标宋简体" w:cs="Arial"/>
          <w:snapToGrid w:val="0"/>
          <w:kern w:val="0"/>
          <w:sz w:val="44"/>
          <w:szCs w:val="21"/>
        </w:rPr>
        <w:t>承包商准入与退出及黑名单管理制度</w:t>
      </w:r>
      <w:bookmarkEnd w:id="71"/>
    </w:p>
    <w:p w14:paraId="00D2F0B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769D8E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72B3CF44">
      <w:pPr>
        <w:spacing w:line="600" w:lineRule="exact"/>
        <w:ind w:firstLine="643" w:firstLineChars="200"/>
        <w:rPr>
          <w:rFonts w:ascii="Times New Roman" w:hAnsi="Times New Roman" w:eastAsia="仿宋_GB2312" w:cs="Arial"/>
          <w:snapToGrid w:val="0"/>
          <w:kern w:val="0"/>
          <w:sz w:val="32"/>
          <w:szCs w:val="32"/>
        </w:rPr>
      </w:pPr>
      <w:r>
        <w:rPr>
          <w:rFonts w:ascii="Times New Roman" w:hAnsi="Times New Roman" w:eastAsia="仿宋_GB2312" w:cs="Arial"/>
          <w:b/>
          <w:bCs/>
          <w:snapToGrid w:val="0"/>
          <w:kern w:val="0"/>
          <w:sz w:val="32"/>
          <w:szCs w:val="32"/>
        </w:rPr>
        <w:t>第一条</w:t>
      </w:r>
      <w:r>
        <w:rPr>
          <w:rFonts w:ascii="Times New Roman" w:hAnsi="Times New Roman" w:eastAsia="仿宋_GB2312" w:cs="Arial"/>
          <w:snapToGrid w:val="0"/>
          <w:kern w:val="0"/>
          <w:sz w:val="32"/>
          <w:szCs w:val="32"/>
        </w:rPr>
        <w:t xml:space="preserve">  </w:t>
      </w:r>
      <w:r>
        <w:rPr>
          <w:rFonts w:ascii="Times New Roman" w:hAnsi="Times New Roman" w:eastAsia="仿宋" w:cs="Arial"/>
          <w:snapToGrid w:val="0"/>
          <w:kern w:val="0"/>
          <w:sz w:val="32"/>
          <w:szCs w:val="32"/>
        </w:rPr>
        <w:t>为加强常德经济技术开发区枫树岗化工片区（以下简称“化工园区”）承包商安全管理，规范承包商准入、退出及黑名单管理程序，提升园区管理服务水平和企业安全管理能力，有效防范外包作业事故发生，保障</w:t>
      </w:r>
      <w:r>
        <w:rPr>
          <w:rFonts w:hint="eastAsia" w:ascii="Times New Roman" w:hAnsi="Times New Roman" w:eastAsia="仿宋" w:cs="Arial"/>
          <w:snapToGrid w:val="0"/>
          <w:kern w:val="0"/>
          <w:sz w:val="32"/>
          <w:szCs w:val="32"/>
        </w:rPr>
        <w:t>人民群众生命财产安全</w:t>
      </w:r>
      <w:r>
        <w:rPr>
          <w:rFonts w:ascii="Times New Roman" w:hAnsi="Times New Roman" w:eastAsia="仿宋" w:cs="Arial"/>
          <w:snapToGrid w:val="0"/>
          <w:kern w:val="0"/>
          <w:sz w:val="32"/>
          <w:szCs w:val="32"/>
        </w:rPr>
        <w:t>，根据《中华人民共和国安全生产法》《建设工程安全生产管理条例》《化工园区安全风险隐患排查治理导则》《化工企业承包商安全管理指南》等有关法律法规和标准规范，结合化工园区实际，制定本制度。</w:t>
      </w:r>
    </w:p>
    <w:p w14:paraId="772360D5">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_GB2312" w:cs="Arial"/>
          <w:b/>
          <w:bCs/>
          <w:snapToGrid w:val="0"/>
          <w:kern w:val="0"/>
          <w:sz w:val="32"/>
          <w:szCs w:val="32"/>
        </w:rPr>
        <w:t>第二条</w:t>
      </w:r>
      <w:r>
        <w:rPr>
          <w:rFonts w:ascii="Times New Roman" w:hAnsi="Times New Roman" w:eastAsia="仿宋_GB2312" w:cs="Arial"/>
          <w:snapToGrid w:val="0"/>
          <w:kern w:val="0"/>
          <w:sz w:val="32"/>
          <w:szCs w:val="32"/>
        </w:rPr>
        <w:t xml:space="preserve">  </w:t>
      </w:r>
      <w:r>
        <w:rPr>
          <w:rFonts w:ascii="Times New Roman" w:hAnsi="Times New Roman" w:eastAsia="仿宋" w:cs="Arial"/>
          <w:snapToGrid w:val="0"/>
          <w:kern w:val="0"/>
          <w:sz w:val="32"/>
          <w:szCs w:val="32"/>
        </w:rPr>
        <w:t>本制度所称承包商是指提供新（改、扩）建工程建设、设备安装维护、检维修作业、运输、装卸及工程技术服务的单位，以及提供信息化、咨询、评估、检验检测等专业服务的第三方服务机构。</w:t>
      </w:r>
    </w:p>
    <w:p w14:paraId="2346B268">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本制度所称发包单位是指常德经开区管委会及园区有关企事业单位。</w:t>
      </w:r>
    </w:p>
    <w:p w14:paraId="6A371054">
      <w:pPr>
        <w:spacing w:line="600" w:lineRule="exact"/>
        <w:ind w:firstLine="643" w:firstLineChars="200"/>
        <w:rPr>
          <w:rFonts w:ascii="Times New Roman" w:hAnsi="Times New Roman" w:eastAsia="仿宋_GB2312" w:cs="Arial"/>
          <w:snapToGrid w:val="0"/>
          <w:kern w:val="0"/>
          <w:sz w:val="32"/>
          <w:szCs w:val="32"/>
        </w:rPr>
      </w:pPr>
      <w:r>
        <w:rPr>
          <w:rFonts w:ascii="Times New Roman" w:hAnsi="Times New Roman" w:eastAsia="仿宋_GB2312" w:cs="Arial"/>
          <w:b/>
          <w:bCs/>
          <w:snapToGrid w:val="0"/>
          <w:kern w:val="0"/>
          <w:sz w:val="32"/>
          <w:szCs w:val="32"/>
        </w:rPr>
        <w:t>第三条</w:t>
      </w:r>
      <w:r>
        <w:rPr>
          <w:rFonts w:ascii="Times New Roman" w:hAnsi="Times New Roman" w:eastAsia="仿宋_GB2312" w:cs="Arial"/>
          <w:snapToGrid w:val="0"/>
          <w:kern w:val="0"/>
          <w:sz w:val="32"/>
          <w:szCs w:val="32"/>
        </w:rPr>
        <w:t xml:space="preserve">  </w:t>
      </w:r>
      <w:r>
        <w:rPr>
          <w:rFonts w:ascii="Times New Roman" w:hAnsi="Times New Roman" w:eastAsia="仿宋" w:cs="Arial"/>
          <w:snapToGrid w:val="0"/>
          <w:kern w:val="0"/>
          <w:sz w:val="32"/>
          <w:szCs w:val="32"/>
        </w:rPr>
        <w:t>本制度适用于在化工园区内进行公共基础设施建设、公共配套设施建设等不涉及所辖企业工程的承包商，化工园区内各化工企业及与其生产经营活动有关的承包商。常德经开区内其他企业及其承包商可参照本制度执行。</w:t>
      </w:r>
    </w:p>
    <w:p w14:paraId="5D7A4A78">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监督管理职责</w:t>
      </w:r>
    </w:p>
    <w:p w14:paraId="3787C346">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_GB2312" w:cs="Arial"/>
          <w:b/>
          <w:bCs/>
          <w:snapToGrid w:val="0"/>
          <w:kern w:val="0"/>
          <w:sz w:val="32"/>
          <w:szCs w:val="32"/>
        </w:rPr>
        <w:t xml:space="preserve">第四条 </w:t>
      </w:r>
      <w:r>
        <w:rPr>
          <w:rFonts w:ascii="Times New Roman" w:hAnsi="Times New Roman" w:eastAsia="仿宋_GB2312" w:cs="Arial"/>
          <w:snapToGrid w:val="0"/>
          <w:kern w:val="0"/>
          <w:sz w:val="32"/>
          <w:szCs w:val="32"/>
        </w:rPr>
        <w:t xml:space="preserve"> </w:t>
      </w:r>
      <w:r>
        <w:rPr>
          <w:rFonts w:ascii="Times New Roman" w:hAnsi="Times New Roman" w:eastAsia="仿宋" w:cs="Arial"/>
          <w:snapToGrid w:val="0"/>
          <w:kern w:val="0"/>
          <w:sz w:val="32"/>
          <w:szCs w:val="32"/>
        </w:rPr>
        <w:t>产业发展局（安全监管局）负责承包商管理综合协调工作，应至少履行以下职责：</w:t>
      </w:r>
    </w:p>
    <w:p w14:paraId="6E5B1A8F">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1、建立承包商管理制度，明确准入与退出及黑名单管理条件；</w:t>
      </w:r>
    </w:p>
    <w:p w14:paraId="3816E0C0">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2、制定考核评估细则，对管委会所属内设机构及企事业单位上报的合格承包商名录和黑名单进行审查，建立承包商安全诚信档案和黑名单档案；</w:t>
      </w:r>
    </w:p>
    <w:p w14:paraId="60B908E1">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3、对管委会所属内设机构及企事业单位制度实施情况进行监督、检查、指导、培训等；</w:t>
      </w:r>
    </w:p>
    <w:p w14:paraId="3596857E">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4、监督指导化工园区企业制定完善并落实承包商管理制度，纳入企业统一协调、管理；</w:t>
      </w:r>
    </w:p>
    <w:p w14:paraId="6A8BFFDF">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5、建设完善平台（以下简称平台）承包商管理模块，并监督应用。</w:t>
      </w:r>
    </w:p>
    <w:p w14:paraId="17E40AB2">
      <w:pPr>
        <w:spacing w:line="600" w:lineRule="exact"/>
        <w:ind w:firstLine="643" w:firstLineChars="200"/>
        <w:rPr>
          <w:rFonts w:ascii="Times New Roman" w:hAnsi="Times New Roman" w:eastAsia="仿宋_GB2312" w:cs="Arial"/>
          <w:snapToGrid w:val="0"/>
          <w:kern w:val="0"/>
          <w:sz w:val="32"/>
          <w:szCs w:val="32"/>
        </w:rPr>
      </w:pPr>
      <w:r>
        <w:rPr>
          <w:rFonts w:ascii="Times New Roman" w:hAnsi="Times New Roman" w:eastAsia="仿宋_GB2312" w:cs="Arial"/>
          <w:b/>
          <w:bCs/>
          <w:snapToGrid w:val="0"/>
          <w:kern w:val="0"/>
          <w:sz w:val="32"/>
          <w:szCs w:val="32"/>
        </w:rPr>
        <w:t>第五条</w:t>
      </w:r>
      <w:r>
        <w:rPr>
          <w:rFonts w:ascii="Times New Roman" w:hAnsi="Times New Roman" w:eastAsia="仿宋_GB2312" w:cs="Arial"/>
          <w:snapToGrid w:val="0"/>
          <w:kern w:val="0"/>
          <w:sz w:val="32"/>
          <w:szCs w:val="32"/>
        </w:rPr>
        <w:t xml:space="preserve">  </w:t>
      </w:r>
      <w:r>
        <w:rPr>
          <w:rFonts w:ascii="Times New Roman" w:hAnsi="Times New Roman" w:eastAsia="仿宋" w:cs="Arial"/>
          <w:snapToGrid w:val="0"/>
          <w:kern w:val="0"/>
          <w:sz w:val="32"/>
          <w:szCs w:val="32"/>
        </w:rPr>
        <w:t>管委会所属内设机构、国有企业应按照职能履行承包商审查职责：</w:t>
      </w:r>
    </w:p>
    <w:p w14:paraId="227B0BBC">
      <w:pPr>
        <w:spacing w:line="60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1、</w:t>
      </w:r>
      <w:r>
        <w:rPr>
          <w:rFonts w:ascii="Times New Roman" w:hAnsi="Times New Roman" w:eastAsia="仿宋" w:cs="Arial"/>
          <w:snapToGrid w:val="0"/>
          <w:kern w:val="0"/>
          <w:sz w:val="32"/>
          <w:szCs w:val="32"/>
        </w:rPr>
        <w:t>产业发展局（安全监管局）负责对承接化工园区企业化工项目设计、项目安全评价和安全设施设计、检维修、检验检测、环评、环保相关工程单位进行审查。</w:t>
      </w:r>
    </w:p>
    <w:p w14:paraId="657DE032">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_GB2312" w:cs="Arial"/>
          <w:snapToGrid w:val="0"/>
          <w:kern w:val="0"/>
          <w:sz w:val="32"/>
          <w:szCs w:val="32"/>
        </w:rPr>
        <w:t>2、</w:t>
      </w:r>
      <w:r>
        <w:rPr>
          <w:rFonts w:ascii="Times New Roman" w:hAnsi="Times New Roman" w:eastAsia="仿宋" w:cs="Arial"/>
          <w:snapToGrid w:val="0"/>
          <w:kern w:val="0"/>
          <w:sz w:val="32"/>
          <w:szCs w:val="32"/>
        </w:rPr>
        <w:t>开发建设局负责对承接化工园区企业工程施工、监理及设备安装的单位，承接化工园区公共基础设施建设、公共配套设施建设的施工和监理单位进行审查。</w:t>
      </w:r>
    </w:p>
    <w:p w14:paraId="290EC125">
      <w:pPr>
        <w:spacing w:line="600" w:lineRule="exact"/>
        <w:ind w:firstLine="640" w:firstLineChars="200"/>
        <w:rPr>
          <w:rFonts w:ascii="Times New Roman" w:hAnsi="Times New Roman" w:eastAsia="仿宋" w:cs="Arial"/>
          <w:snapToGrid w:val="0"/>
          <w:kern w:val="0"/>
          <w:sz w:val="32"/>
          <w:szCs w:val="32"/>
        </w:rPr>
      </w:pPr>
      <w:r>
        <w:rPr>
          <w:rFonts w:hint="eastAsia" w:ascii="Times New Roman" w:hAnsi="Times New Roman" w:eastAsia="仿宋_GB2312" w:cs="Arial"/>
          <w:snapToGrid w:val="0"/>
          <w:kern w:val="0"/>
          <w:sz w:val="32"/>
          <w:szCs w:val="32"/>
        </w:rPr>
        <w:t>3</w:t>
      </w:r>
      <w:r>
        <w:rPr>
          <w:rFonts w:ascii="Times New Roman" w:hAnsi="Times New Roman" w:eastAsia="仿宋_GB2312" w:cs="Arial"/>
          <w:snapToGrid w:val="0"/>
          <w:kern w:val="0"/>
          <w:sz w:val="32"/>
          <w:szCs w:val="32"/>
        </w:rPr>
        <w:t>、</w:t>
      </w:r>
      <w:r>
        <w:rPr>
          <w:rFonts w:ascii="Times New Roman" w:hAnsi="Times New Roman" w:eastAsia="仿宋" w:cs="Arial"/>
          <w:snapToGrid w:val="0"/>
          <w:kern w:val="0"/>
          <w:sz w:val="32"/>
          <w:szCs w:val="32"/>
        </w:rPr>
        <w:t>各部门负责对职责范围内承接管委会各类规划、评估、监测等业务的单位进行审查。</w:t>
      </w:r>
    </w:p>
    <w:p w14:paraId="36148042">
      <w:pPr>
        <w:spacing w:line="600" w:lineRule="exact"/>
        <w:ind w:firstLine="640" w:firstLineChars="200"/>
        <w:rPr>
          <w:rFonts w:ascii="Times New Roman" w:hAnsi="Times New Roman" w:eastAsia="仿宋" w:cs="Arial"/>
          <w:snapToGrid w:val="0"/>
          <w:kern w:val="0"/>
          <w:sz w:val="32"/>
          <w:szCs w:val="32"/>
        </w:rPr>
      </w:pPr>
      <w:r>
        <w:rPr>
          <w:rFonts w:hint="eastAsia" w:ascii="Times New Roman" w:hAnsi="Times New Roman" w:eastAsia="仿宋" w:cs="Arial"/>
          <w:snapToGrid w:val="0"/>
          <w:kern w:val="0"/>
          <w:sz w:val="32"/>
          <w:szCs w:val="32"/>
        </w:rPr>
        <w:t>4</w:t>
      </w:r>
      <w:r>
        <w:rPr>
          <w:rFonts w:ascii="Times New Roman" w:hAnsi="Times New Roman" w:eastAsia="仿宋" w:cs="Arial"/>
          <w:snapToGrid w:val="0"/>
          <w:kern w:val="0"/>
          <w:sz w:val="32"/>
          <w:szCs w:val="32"/>
        </w:rPr>
        <w:t>、德源集团负责对管委会委托代建及承接本企业各类业务的单位进行审查。</w:t>
      </w:r>
    </w:p>
    <w:p w14:paraId="4B893952">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经审查，存在不具备准入基本条件的，应及时制止进入园区承接相关业务；发现登记备案的承包商与实际服务承包商不一致的，应责令限期整改，并视情况列入黑名单，构成违法行为的，移交相关执法部门依法处理。</w:t>
      </w:r>
    </w:p>
    <w:p w14:paraId="6A68D45B">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第六条</w:t>
      </w:r>
      <w:r>
        <w:rPr>
          <w:rFonts w:ascii="Times New Roman" w:hAnsi="Times New Roman" w:eastAsia="仿宋" w:cs="Arial"/>
          <w:snapToGrid w:val="0"/>
          <w:kern w:val="0"/>
          <w:sz w:val="32"/>
          <w:szCs w:val="32"/>
        </w:rPr>
        <w:t xml:space="preserve">  各部门、德源集团应对审查通过的承包商履行以下监督管理职责：</w:t>
      </w:r>
    </w:p>
    <w:p w14:paraId="52A79188">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1、对职责范围内承接化工园区相关业务的承包商安全生产工作统一协调、管理，签订安全协议或在合同中明确安全职责，按规定进行安全培训、考核评估、诚信管理、退出和黑名单管理。</w:t>
      </w:r>
    </w:p>
    <w:p w14:paraId="0186EC85">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2、对职责范围内承接化工园区企业相关业务的承包商进行考核评估、诚信管理、退出和黑名单管理。</w:t>
      </w:r>
    </w:p>
    <w:p w14:paraId="302C6330">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定期对承包商队伍的安全管理情况进行检查和抽查（业务时间超过一年的每年检查一次，业务时间一个月至一年的至少检查一次，业务时间不足一个月的由发包单位进行全程监督管理），及时督促整改问题隐患，发现存在重大安全隐患的，约谈企业主要负责人或责令其停工整改，并抄告其上级单位。</w:t>
      </w:r>
    </w:p>
    <w:p w14:paraId="31E5FD1C">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4、对承包商发生生产安全事故的，按照法律法规和政府部门相关规定进行报告。</w:t>
      </w:r>
    </w:p>
    <w:p w14:paraId="5F2BE3E3">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 xml:space="preserve">第七条 </w:t>
      </w:r>
      <w:r>
        <w:rPr>
          <w:rFonts w:ascii="Times New Roman" w:hAnsi="Times New Roman" w:eastAsia="仿宋" w:cs="Arial"/>
          <w:snapToGrid w:val="0"/>
          <w:kern w:val="0"/>
          <w:sz w:val="32"/>
          <w:szCs w:val="32"/>
        </w:rPr>
        <w:t xml:space="preserve"> 化工园区企业应至少履行以下发包方职责：</w:t>
      </w:r>
    </w:p>
    <w:p w14:paraId="31D27350">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1、向承揽业务的承包商宣传告知本制度。</w:t>
      </w:r>
    </w:p>
    <w:p w14:paraId="719E9F2C">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建立企业承包商安全管理制度，明确承包商管理流程、承包商选择、安全协议、入厂（场）管理、开工准备、作业过程监督、考核评价、续用等要求，明确与承包商安全管理相关机构的职责等。企业承包商安全管理制度应与本制度有效衔接，满足本制度规定的最低要求。</w:t>
      </w:r>
    </w:p>
    <w:p w14:paraId="6D4D5664">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制定企业承包商准入条件，严格承包商安全资质、安全业绩、人员资质、安全管理制度和岗位操作规程、近三年事故情况、大型作业设备完好性等条件审查，建立合格承包商名录和档案，优先选择具有良好安全业绩和表现的承包商，并向管委会相关内设机构报备。</w:t>
      </w:r>
    </w:p>
    <w:p w14:paraId="4AF81A76">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4、制定企业承包商考核管理细则，明确责任部门、考核标准、考核频次，明确纳入企业承包商黑名单的具体条款，优化承包商资源。</w:t>
      </w:r>
    </w:p>
    <w:p w14:paraId="2B1BFC82">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5、严格遵守相关法律法规，落实安全生产主体责任，对承包商的安全生产工作统一协调、管理，不得将生产经营项目、业务发包给不具备安全生产条件或者相应资质的单位或者个人，严禁无资质转包、非法转包和违规分包等现象。</w:t>
      </w:r>
    </w:p>
    <w:p w14:paraId="6BB2C052">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6、在签订承包合同时，签订专门的安全生产管理协议，或者在合同中明确各自的安全生产管理职责，并督促承包商严格依照约定进行作业。</w:t>
      </w:r>
    </w:p>
    <w:p w14:paraId="4388F35D">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7、对承包商作业人员进行入厂安全教育培训，书面告知本企业存在的安全风险、危险有害因素、防范措施以及事故应急措施，为考核合格的承包商人员办理厂区出入卡，配发人员定位终端，考核不合格的人员严禁入厂（场）作业。</w:t>
      </w:r>
    </w:p>
    <w:p w14:paraId="77ED0E13">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8、加强承包商项目负责人、安全管理人员、特种作业人员资格证书审核，假证、过期证持有者严禁入厂（场）作业，严禁无证上岗。</w:t>
      </w:r>
    </w:p>
    <w:p w14:paraId="5C41E031">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9、将承包商特殊作业许可证审批管理纳入本企业安全管理体系，对承包商在企业的活动进行全过程监管。</w:t>
      </w:r>
    </w:p>
    <w:p w14:paraId="6642AA37">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10、建立并执行与承包商的定期沟通机制，沟通内容主要包括作业变更信息（环境、作业范围安全管理要求）、作业存在的问题及整改情况、事故事件等。</w:t>
      </w:r>
    </w:p>
    <w:p w14:paraId="2688E7D5">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11、鼓励承包商优化施工工艺和方法，提出合理化建议，及时上报承包商重大事故隐患排查治理情况。</w:t>
      </w:r>
    </w:p>
    <w:p w14:paraId="6D32A6C6">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12、对承包商现场作业人员进行安全技术交底，对承包商的安全作业规程、施工方案和应急预案进行审查。</w:t>
      </w:r>
    </w:p>
    <w:p w14:paraId="4B34F64F">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13、同一作业区域内有两个以上承包商进行生产经营活动，可能危及对方生产安全时，应组织并监督承包商之间签订安全生产协议，明确各自的安全生产管理职责和应当采取的安全措施，并指定专职安全生产管理人员进行安全监督与统一管理。</w:t>
      </w:r>
    </w:p>
    <w:p w14:paraId="49DA229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14、将承包商纳入本企业应急预案管理体系并开展事故应急演练，将承包商在本企业发生的事故纳入企业事故管理，及时组织救援，并向管委会和有关行业主管部门报告，协助开展事故调查处理。</w:t>
      </w:r>
    </w:p>
    <w:p w14:paraId="506EF32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15、定期对承包商的安全绩效进行考核，根据安全绩效考核结果，形成合格承包商名录和黑名单，并于每年年底上报（不跨年的，工程结束上报）管委会相关内设机构。</w:t>
      </w:r>
    </w:p>
    <w:p w14:paraId="4B72B3E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16、配合管委会工作，对管委会有关内设机构审核不符合入园资格和要求退出的承包商进行清退。</w:t>
      </w:r>
    </w:p>
    <w:p w14:paraId="0A6D4AA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17、法律法规规定的其他相关职责。</w:t>
      </w:r>
    </w:p>
    <w:p w14:paraId="1DD52A41">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承包商准入管理</w:t>
      </w:r>
    </w:p>
    <w:p w14:paraId="15C2CDB1">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第八条</w:t>
      </w:r>
      <w:r>
        <w:rPr>
          <w:rFonts w:ascii="Times New Roman" w:hAnsi="Times New Roman" w:eastAsia="仿宋" w:cs="Arial"/>
          <w:snapToGrid w:val="0"/>
          <w:kern w:val="0"/>
          <w:sz w:val="32"/>
          <w:szCs w:val="32"/>
        </w:rPr>
        <w:t xml:space="preserve">  承包商入园应至少符合以下基本条件：</w:t>
      </w:r>
    </w:p>
    <w:p w14:paraId="6D59BD1D">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1、遵守有关安全生产法律法规和标准规范的规定，具备独立法人资格，具有政府主管部门颁发的证照资质。</w:t>
      </w:r>
    </w:p>
    <w:p w14:paraId="26B8FC1F">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2、具备国家规定的注册资本、专业技术人员、技术装备和安全生产等条件，具备所承担项目相应业务范围和资质等级条件。</w:t>
      </w:r>
    </w:p>
    <w:p w14:paraId="21ACEB09">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3、具有三年以上良好的安全业绩。</w:t>
      </w:r>
    </w:p>
    <w:p w14:paraId="01C16D79">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第九条</w:t>
      </w:r>
      <w:r>
        <w:rPr>
          <w:rFonts w:ascii="Times New Roman" w:hAnsi="Times New Roman" w:eastAsia="仿宋" w:cs="Arial"/>
          <w:snapToGrid w:val="0"/>
          <w:kern w:val="0"/>
          <w:sz w:val="32"/>
          <w:szCs w:val="32"/>
        </w:rPr>
        <w:t xml:space="preserve">  承包商入园登记应至少提交以下资料：</w:t>
      </w:r>
    </w:p>
    <w:p w14:paraId="74916D15">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1、承包商营业执照、承接业务有关的资质证书和资质等级；</w:t>
      </w:r>
    </w:p>
    <w:p w14:paraId="0A12AC54">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2、承包商安全管理机构设置、主要负责人及安全管理人员任命情况；</w:t>
      </w:r>
    </w:p>
    <w:p w14:paraId="0969DA13">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3、承包商安全管理制度和岗位操作规程；</w:t>
      </w:r>
    </w:p>
    <w:p w14:paraId="3CDFD049">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4、项目负责人和安全管理人员的持证上岗证件；</w:t>
      </w:r>
    </w:p>
    <w:p w14:paraId="71466200">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5、承包商特种作业人员的取证、持证情况；</w:t>
      </w:r>
    </w:p>
    <w:p w14:paraId="342A7FE7">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6、大型作业设备检验资质；</w:t>
      </w:r>
    </w:p>
    <w:p w14:paraId="5D799BF4">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7、承包商近3年的安全业绩和事故情况；</w:t>
      </w:r>
    </w:p>
    <w:p w14:paraId="1D60D415">
      <w:pPr>
        <w:spacing w:line="600" w:lineRule="exact"/>
        <w:ind w:firstLine="640" w:firstLineChars="200"/>
        <w:rPr>
          <w:rFonts w:ascii="Times New Roman" w:hAnsi="Times New Roman" w:eastAsia="仿宋" w:cs="Arial"/>
          <w:b/>
          <w:bCs/>
          <w:snapToGrid w:val="0"/>
          <w:kern w:val="0"/>
          <w:sz w:val="32"/>
          <w:szCs w:val="32"/>
        </w:rPr>
      </w:pPr>
      <w:r>
        <w:rPr>
          <w:rFonts w:ascii="Times New Roman" w:hAnsi="Times New Roman" w:eastAsia="仿宋" w:cs="Arial"/>
          <w:snapToGrid w:val="0"/>
          <w:kern w:val="0"/>
          <w:sz w:val="32"/>
          <w:szCs w:val="32"/>
        </w:rPr>
        <w:t>8、材料真实性承诺书。</w:t>
      </w:r>
    </w:p>
    <w:p w14:paraId="26B4E772">
      <w:pPr>
        <w:spacing w:line="600" w:lineRule="exact"/>
        <w:ind w:firstLine="640" w:firstLineChars="200"/>
        <w:rPr>
          <w:rFonts w:ascii="Times New Roman" w:hAnsi="Times New Roman" w:eastAsia="仿宋" w:cs="Arial"/>
          <w:b/>
          <w:bCs/>
          <w:snapToGrid w:val="0"/>
          <w:kern w:val="0"/>
          <w:sz w:val="32"/>
          <w:szCs w:val="32"/>
        </w:rPr>
      </w:pPr>
      <w:r>
        <w:rPr>
          <w:rFonts w:ascii="Times New Roman" w:hAnsi="Times New Roman" w:eastAsia="仿宋" w:cs="Arial"/>
          <w:snapToGrid w:val="0"/>
          <w:kern w:val="0"/>
          <w:sz w:val="32"/>
          <w:szCs w:val="32"/>
        </w:rPr>
        <w:t>信息化、咨询、评估、检验检测等专业服务的第三方服务机构，所承接业务不涉及第4、5、6项的，可不提供。</w:t>
      </w:r>
    </w:p>
    <w:p w14:paraId="051FD4A3">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第十条</w:t>
      </w:r>
      <w:r>
        <w:rPr>
          <w:rFonts w:ascii="Times New Roman" w:hAnsi="Times New Roman" w:eastAsia="仿宋" w:cs="Arial"/>
          <w:snapToGrid w:val="0"/>
          <w:kern w:val="0"/>
          <w:sz w:val="32"/>
          <w:szCs w:val="32"/>
        </w:rPr>
        <w:t xml:space="preserve">  化工园区企业应按照以下程序办理承包商入园：</w:t>
      </w:r>
    </w:p>
    <w:p w14:paraId="312D2AFC">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1、发包企业联系承包商、收集承包商相关材料，按照园区和本企业相关制度进行审查，经审查合格后报送管委会相关内设机构登记（附件1）。</w:t>
      </w:r>
    </w:p>
    <w:p w14:paraId="2CD6E11C">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2、管委会相关内设机构审查是否符合入园资格，并将审查结果（附件2）反馈至企业。</w:t>
      </w:r>
    </w:p>
    <w:p w14:paraId="4A86C7A9">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3、发包企业与承包商洽谈签订承包合同和安全生产管理协议，3日内且在施工前将相关材料（附件3）报送管委会相关内设机构备案。</w:t>
      </w:r>
    </w:p>
    <w:p w14:paraId="2FA68C17">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化工企业应通过平台对本企业承包商有关情况进行线上报备。</w:t>
      </w:r>
    </w:p>
    <w:p w14:paraId="23592533">
      <w:pPr>
        <w:spacing w:line="600" w:lineRule="exact"/>
        <w:ind w:firstLine="643" w:firstLineChars="200"/>
        <w:rPr>
          <w:rFonts w:ascii="Times New Roman" w:hAnsi="Times New Roman" w:eastAsia="仿宋" w:cs="Arial"/>
          <w:b/>
          <w:bCs/>
          <w:snapToGrid w:val="0"/>
          <w:kern w:val="0"/>
          <w:sz w:val="32"/>
          <w:szCs w:val="32"/>
        </w:rPr>
      </w:pPr>
      <w:r>
        <w:rPr>
          <w:rFonts w:ascii="Times New Roman" w:hAnsi="Times New Roman" w:eastAsia="仿宋" w:cs="Arial"/>
          <w:b/>
          <w:bCs/>
          <w:snapToGrid w:val="0"/>
          <w:kern w:val="0"/>
          <w:sz w:val="32"/>
          <w:szCs w:val="32"/>
        </w:rPr>
        <w:t>第十一条</w:t>
      </w:r>
      <w:r>
        <w:rPr>
          <w:rFonts w:ascii="Times New Roman" w:hAnsi="Times New Roman" w:eastAsia="仿宋" w:cs="Arial"/>
          <w:snapToGrid w:val="0"/>
          <w:kern w:val="0"/>
          <w:sz w:val="32"/>
          <w:szCs w:val="32"/>
        </w:rPr>
        <w:t xml:space="preserve">  承接管委会、国有企业业务的承包商入园，由相关内设机构、德源集团按照项目招投标、政府采购及内部管理制度执行，将选定的承包商情况上传至平台，并参照第七条有关规定履行发包方职责。</w:t>
      </w:r>
    </w:p>
    <w:p w14:paraId="2DF4DD03">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入园承包商安全管理</w:t>
      </w:r>
    </w:p>
    <w:p w14:paraId="25CF7A82">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第十二条</w:t>
      </w:r>
      <w:r>
        <w:rPr>
          <w:rFonts w:ascii="Times New Roman" w:hAnsi="Times New Roman" w:eastAsia="仿宋" w:cs="Arial"/>
          <w:snapToGrid w:val="0"/>
          <w:kern w:val="0"/>
          <w:sz w:val="32"/>
          <w:szCs w:val="32"/>
        </w:rPr>
        <w:t xml:space="preserve">  入园的承包商应至少履行以下职责：</w:t>
      </w:r>
    </w:p>
    <w:p w14:paraId="239B8C78">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1、合理合法签订承包合同及安全生产管理协议，如实向发包单位提交相关入园材料。</w:t>
      </w:r>
    </w:p>
    <w:p w14:paraId="216896C3">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2、建立安全生产管理机构，配备专（兼）职安全生产管理人员，完善并落实项目各项安全管理制度。</w:t>
      </w:r>
    </w:p>
    <w:p w14:paraId="446C6F09">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3、为从业人员缴纳工伤保险或意外伤害保险，加强从业人员的安全教育培训和考核，建立培训档案，未经培训合格的人员不得从事作业。</w:t>
      </w:r>
    </w:p>
    <w:p w14:paraId="0EEC8EF4">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4、为从业人员配备必要的个人防护用品，配备符合安全要求的设施、设备，配置必需的安全防护器具、安全标志等。</w:t>
      </w:r>
    </w:p>
    <w:p w14:paraId="2434E296">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5、严格遵守发包单位的安全文化和规章制度，严格落实承包商安全生产直接责任，严禁违法分包、转包，接受管委会、行业主管部门和发包企业的安全管理和监督。</w:t>
      </w:r>
    </w:p>
    <w:p w14:paraId="1BE553F5">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6、掌握作业涉及的主要安全风险和控制措施，现场紧急情况下的应急处置和避险措施，高风险作业的标准和规程，工程的劳动组织、作业步骤和其他影响工程的工序等。</w:t>
      </w:r>
    </w:p>
    <w:p w14:paraId="47D2B213">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7、加强作业现场安全管理，落实各项安全规章制度和安全操作规程要求以及必须采取的各项安全防范措施，接受发包单位组织的安全教育培训、安全交底、安全管理。</w:t>
      </w:r>
    </w:p>
    <w:p w14:paraId="79065518">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8、若发生事故，事故现场人员应立即向项目经理、发包单位报告，采取有效的安全措施并组织施救，防止事态扩大和次生灾害，协助开展事故调查处理。</w:t>
      </w:r>
    </w:p>
    <w:p w14:paraId="02FB83E4">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9、法律法规规定的其他职责。</w:t>
      </w:r>
    </w:p>
    <w:p w14:paraId="05FF7336">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第十三条</w:t>
      </w:r>
      <w:r>
        <w:rPr>
          <w:rFonts w:ascii="Times New Roman" w:hAnsi="Times New Roman" w:eastAsia="仿宋" w:cs="Arial"/>
          <w:snapToGrid w:val="0"/>
          <w:kern w:val="0"/>
          <w:sz w:val="32"/>
          <w:szCs w:val="32"/>
        </w:rPr>
        <w:t xml:space="preserve">  承包商入园作业，应至少遵守以下现场安全管理要求：</w:t>
      </w:r>
    </w:p>
    <w:p w14:paraId="33F386A2">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1、向发包单位报告进场作业人员和作业机具、安全作业计划、作业方案。</w:t>
      </w:r>
    </w:p>
    <w:p w14:paraId="2080BF2C">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2、对存在危险性的工程及作业，必须编制施工方案、安全防范措施、应急预案，经发包单位审核批准方可作业。</w:t>
      </w:r>
    </w:p>
    <w:p w14:paraId="0632CCC6">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3、派有安全管理资格证书的人员进行现场安全管理和监督。</w:t>
      </w:r>
    </w:p>
    <w:p w14:paraId="65E6723A">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在作业前确认作业过程中是否涉及特殊作业，若涉及，在未经发包单位确认前不得实施特殊作业，必须严格执行发包单位特殊作业许可制度，办理相关作业许可，作业时应安排有特种作业操作证的人员持证上岗。化工企业承包商特殊作业应通过平台进行报备。</w:t>
      </w:r>
    </w:p>
    <w:p w14:paraId="54B8F64B">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5、现场作业机具、工具必须符合安全要求，做到机具、材料堆放整齐，施工预料和垃圾及时清理外运到指定地点，保持场地清洁，做到文明施工，工完料尽场地清洁。</w:t>
      </w:r>
    </w:p>
    <w:p w14:paraId="56CD8DE3">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6、现场作业人员未经许可不得将任何火种携带进入作业区内，须按国家规定着装和佩戴防护用品。</w:t>
      </w:r>
    </w:p>
    <w:p w14:paraId="26C913DC">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7、作业过程中不得占用消防通道，如必须占用消防通道，必须向发包单位申请，且需要设置临时消防通道。</w:t>
      </w:r>
    </w:p>
    <w:p w14:paraId="0B0BA2F6">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8、现场作业人员应接受发包单位的安全检查和监督，并且有权拒绝发包单位的违章指挥和强令冒险作业。</w:t>
      </w:r>
    </w:p>
    <w:p w14:paraId="58776825">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 xml:space="preserve">9、作业现场承包商安全管理人员发生变动，必须及时向发包单位报告。 </w:t>
      </w:r>
    </w:p>
    <w:p w14:paraId="77E336CB">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10、遵守相关法律法规和与承接业务有关的行业标准规范。</w:t>
      </w:r>
    </w:p>
    <w:p w14:paraId="62BA0467">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在化工园区公共区域作业的，除以上要求以外，还应遵守以下现场管理基本要求：</w:t>
      </w:r>
    </w:p>
    <w:p w14:paraId="1547CA99">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1、将作业现场进行警戒，与作业现场以外的公共区域有效隔离。</w:t>
      </w:r>
    </w:p>
    <w:p w14:paraId="7E3407A0">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2、涉及铁路、公路等交通要道和交通设施以及电力、通信、供排水、热力、燃气等公用设施的，应协调相关行业主管部门或运营单位，获得许可和批准。</w:t>
      </w:r>
    </w:p>
    <w:p w14:paraId="2D15803C">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3、作业现场设置明显的警示标志，不得影响公共区域车辆、人员安全。</w:t>
      </w:r>
    </w:p>
    <w:p w14:paraId="2CE5420F">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4、不得损坏各类公共设施，因作业需要，确需移动或调整的，向管委会相关内设机构报告，并在作业结束后恢复公共设施状态。</w:t>
      </w:r>
    </w:p>
    <w:p w14:paraId="7223FF21">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第十四条</w:t>
      </w:r>
      <w:r>
        <w:rPr>
          <w:rFonts w:ascii="Times New Roman" w:hAnsi="Times New Roman" w:eastAsia="仿宋" w:cs="Arial"/>
          <w:snapToGrid w:val="0"/>
          <w:kern w:val="0"/>
          <w:sz w:val="32"/>
          <w:szCs w:val="32"/>
        </w:rPr>
        <w:t xml:space="preserve">  发包单位应配备安全生产管理人员负责对承包商进行现场监督检查：</w:t>
      </w:r>
    </w:p>
    <w:p w14:paraId="69FF9257">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1、发现承包商作业过程中存在不能控制的安全风险，责令其停止作业。</w:t>
      </w:r>
    </w:p>
    <w:p w14:paraId="0C9E0F77">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2、对承包商违章作业人员或妨碍发包单位安全生产工作的，责令其纠正或停止作业。</w:t>
      </w:r>
    </w:p>
    <w:p w14:paraId="26C40560">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3、对承包作业过程的安全管理进行监督指导，不得违章指挥或者强令承包商及其从业人员冒险作业。</w:t>
      </w:r>
    </w:p>
    <w:p w14:paraId="490EEFBE">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4、作业过程中严禁承包商擅自变更作业范围和作业内容。</w:t>
      </w:r>
    </w:p>
    <w:p w14:paraId="5D102AE2">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5、在承包商作业结束前，对作业现场设备、人员、现场情况进行认真核查，确保安全的前提下，人员方可离开作业现场。</w:t>
      </w:r>
    </w:p>
    <w:p w14:paraId="5049F84B">
      <w:pPr>
        <w:spacing w:line="60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 w:cs="Arial"/>
          <w:snapToGrid w:val="0"/>
          <w:kern w:val="0"/>
          <w:sz w:val="32"/>
          <w:szCs w:val="32"/>
        </w:rPr>
        <w:t>6、对承包商作业过程中需要审批的作业按照相关规范、规定要求履行好审批手续，特级动火作业、进入受限空间作业应全程视频监控。</w:t>
      </w:r>
    </w:p>
    <w:p w14:paraId="40C72711">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第五章  承包商考核和评估</w:t>
      </w:r>
    </w:p>
    <w:p w14:paraId="33329E81">
      <w:pPr>
        <w:spacing w:line="600" w:lineRule="exact"/>
        <w:ind w:firstLine="64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第十五条</w:t>
      </w:r>
      <w:r>
        <w:rPr>
          <w:rFonts w:ascii="Times New Roman" w:hAnsi="Times New Roman" w:eastAsia="仿宋" w:cs="Arial"/>
          <w:snapToGrid w:val="0"/>
          <w:kern w:val="0"/>
          <w:sz w:val="32"/>
          <w:szCs w:val="32"/>
        </w:rPr>
        <w:t xml:space="preserve">  承接园区企业业务的承包商由发包企业按照其管理制度定期进行安全考核。</w:t>
      </w:r>
    </w:p>
    <w:p w14:paraId="37F780D9">
      <w:pPr>
        <w:spacing w:line="600" w:lineRule="exact"/>
        <w:ind w:firstLine="64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在每次承包商服务结束后，应对承包商进行综合考核（考核表参照模板见附件4），考核结果将作为承包商下次是否续签的依据，并将考核结果至少在7日内报送至管委会相关内设机构。</w:t>
      </w:r>
    </w:p>
    <w:p w14:paraId="2D16D156">
      <w:pPr>
        <w:spacing w:line="600" w:lineRule="exact"/>
        <w:ind w:firstLine="64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第十六条</w:t>
      </w:r>
      <w:r>
        <w:rPr>
          <w:rFonts w:ascii="Times New Roman" w:hAnsi="Times New Roman" w:eastAsia="仿宋" w:cs="Arial"/>
          <w:snapToGrid w:val="0"/>
          <w:kern w:val="0"/>
          <w:sz w:val="32"/>
          <w:szCs w:val="32"/>
        </w:rPr>
        <w:t xml:space="preserve">  承接园区业务的承包商由管委会相关内设机构、德源集团按照第五条分工定期进行安全考核。</w:t>
      </w:r>
    </w:p>
    <w:p w14:paraId="5F69952D">
      <w:pPr>
        <w:spacing w:line="600" w:lineRule="exact"/>
        <w:ind w:firstLine="64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在每次承包商服务结束后，应对承包商进行综合考核，并将考核结果至少在7日内反馈至产业发展局（安全监管局）。</w:t>
      </w:r>
    </w:p>
    <w:p w14:paraId="708CBD61">
      <w:pPr>
        <w:spacing w:line="600" w:lineRule="exact"/>
        <w:ind w:firstLine="64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第十七条</w:t>
      </w:r>
      <w:r>
        <w:rPr>
          <w:rFonts w:ascii="Times New Roman" w:hAnsi="Times New Roman" w:eastAsia="仿宋" w:cs="Arial"/>
          <w:snapToGrid w:val="0"/>
          <w:kern w:val="0"/>
          <w:sz w:val="32"/>
          <w:szCs w:val="32"/>
        </w:rPr>
        <w:t xml:space="preserve">  管委会相关内设机构、德源集团应按照以下原则组织对入园承包商进行综合评估：</w:t>
      </w:r>
    </w:p>
    <w:p w14:paraId="624A30DE">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1、服务期超过一年的，在年底进行年度评估；服务期少于一年的，在承接业务完成后进行评估（或统一到年末评估）。</w:t>
      </w:r>
    </w:p>
    <w:p w14:paraId="53418D96">
      <w:pPr>
        <w:spacing w:line="600" w:lineRule="exact"/>
        <w:ind w:firstLine="64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2、对评估结果应向园区企业予以通报，并作为审查承包商入园承揽业务的前提条件。</w:t>
      </w:r>
    </w:p>
    <w:p w14:paraId="14E1A4A3">
      <w:pPr>
        <w:spacing w:line="600" w:lineRule="exact"/>
        <w:ind w:firstLine="64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承包商评估结果达到优秀的（86-100分），在符合相关法律法规的情况下可优先选用；评估结果达到良好的（70-85分），可作为备选承包商，列入合格承包商目录；评估结果为差的（69分以下），列入园区承包商黑名单，取消合作资格、服务期满后不再续签。（《承包商安全评估表》见附件）。</w:t>
      </w:r>
    </w:p>
    <w:p w14:paraId="2F75BF55">
      <w:pPr>
        <w:spacing w:line="600" w:lineRule="exact"/>
        <w:ind w:firstLine="64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4、录入到平台的承包商，应通过承包商评价模型进行评估，未录入平台的，可参照评估表模板（见附件5）。</w:t>
      </w:r>
    </w:p>
    <w:p w14:paraId="5339E99C">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第六章  承包商黑名单和退出管理</w:t>
      </w:r>
    </w:p>
    <w:p w14:paraId="6FC3D551">
      <w:pPr>
        <w:widowControl/>
        <w:snapToGrid w:val="0"/>
        <w:spacing w:line="600" w:lineRule="exact"/>
        <w:ind w:firstLine="643" w:firstLineChars="200"/>
        <w:textAlignment w:val="baseline"/>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第十八条</w:t>
      </w:r>
      <w:r>
        <w:rPr>
          <w:rFonts w:ascii="Times New Roman" w:hAnsi="Times New Roman" w:eastAsia="仿宋" w:cs="Arial"/>
          <w:snapToGrid w:val="0"/>
          <w:kern w:val="0"/>
          <w:sz w:val="32"/>
          <w:szCs w:val="32"/>
        </w:rPr>
        <w:t xml:space="preserve">  承包商在入围招投标、履约及维保阶段有下列行为之一的，一经查实，列入园区承包商黑名单：</w:t>
      </w:r>
    </w:p>
    <w:p w14:paraId="46DB87DA">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1、向园区人员行贿或者提供其他不正当利益的；</w:t>
      </w:r>
    </w:p>
    <w:p w14:paraId="6EF780BF">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2、提供虚假营业执照、资质证书、体系认证、业绩证明以及项目主要管理人员资质造假的；</w:t>
      </w:r>
    </w:p>
    <w:p w14:paraId="28131553">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w:t>
      </w:r>
      <w:r>
        <w:rPr>
          <w:rFonts w:ascii="Times New Roman" w:hAnsi="Times New Roman" w:eastAsia="仿宋" w:cs="Arial"/>
          <w:snapToGrid w:val="0"/>
          <w:kern w:val="0"/>
          <w:sz w:val="32"/>
          <w:szCs w:val="32"/>
          <w:shd w:val="clear" w:color="auto" w:fill="FFFFFF"/>
        </w:rPr>
        <w:t>以欺骗行为或围标、串标进入园区内承接项目的；</w:t>
      </w:r>
    </w:p>
    <w:p w14:paraId="7F25E764">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4、中标后，无正当理由不签订合同、拒绝履行合同或拒不执行业主指令，造成工期滞后及费用损失的；</w:t>
      </w:r>
    </w:p>
    <w:p w14:paraId="6C2AEA27">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5、服务过程中，使用伪劣材料、以次充好或偷换合同内约定材料品牌，</w:t>
      </w:r>
      <w:r>
        <w:rPr>
          <w:rFonts w:ascii="Times New Roman" w:hAnsi="Times New Roman" w:eastAsia="仿宋" w:cs="Arial"/>
          <w:snapToGrid w:val="0"/>
          <w:kern w:val="0"/>
          <w:sz w:val="32"/>
          <w:szCs w:val="32"/>
          <w:shd w:val="clear" w:color="auto" w:fill="FFFFFF"/>
        </w:rPr>
        <w:t>以不法手段谋取利益的</w:t>
      </w:r>
      <w:r>
        <w:rPr>
          <w:rFonts w:ascii="Times New Roman" w:hAnsi="Times New Roman" w:eastAsia="仿宋" w:cs="Arial"/>
          <w:snapToGrid w:val="0"/>
          <w:kern w:val="0"/>
          <w:sz w:val="32"/>
          <w:szCs w:val="32"/>
        </w:rPr>
        <w:t>；</w:t>
      </w:r>
    </w:p>
    <w:p w14:paraId="4565B9B4">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6、服务或施工过程中，出现产品质量问题或者质量事故，服务跟进不力，给管委会及园区企业造成经济损失或声誉影响的；</w:t>
      </w:r>
    </w:p>
    <w:p w14:paraId="6A91F8A4">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7、</w:t>
      </w:r>
      <w:r>
        <w:rPr>
          <w:rFonts w:ascii="Times New Roman" w:hAnsi="Times New Roman" w:eastAsia="仿宋" w:cs="Arial"/>
          <w:snapToGrid w:val="0"/>
          <w:kern w:val="0"/>
          <w:sz w:val="32"/>
          <w:szCs w:val="32"/>
          <w:shd w:val="clear" w:color="auto" w:fill="FFFFFF"/>
        </w:rPr>
        <w:t>承接园区或园区企业项目过程中，有违约记录或发生纠纷诉讼情形败诉的；</w:t>
      </w:r>
    </w:p>
    <w:p w14:paraId="7CFCAC00">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8、恶意拖欠、克扣员工、雇工工资或报酬的；</w:t>
      </w:r>
    </w:p>
    <w:p w14:paraId="045F88F2">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9、不遵守有关法律法规和规章制度，寻衅滋事，扰乱园区及园区企业现场，给管委会及园区企业造成经济损失或声誉影响的；</w:t>
      </w:r>
    </w:p>
    <w:p w14:paraId="601552A6">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10、其他给管委会及园区企业造成经济损失或声誉影响的。</w:t>
      </w:r>
    </w:p>
    <w:p w14:paraId="2D10A6FD">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 xml:space="preserve">第十九条  </w:t>
      </w:r>
      <w:r>
        <w:rPr>
          <w:rFonts w:ascii="Times New Roman" w:hAnsi="Times New Roman" w:eastAsia="仿宋" w:cs="Arial"/>
          <w:snapToGrid w:val="0"/>
          <w:kern w:val="0"/>
          <w:sz w:val="32"/>
          <w:szCs w:val="32"/>
        </w:rPr>
        <w:t>承包商在履约阶段有下列行为之一的，责令退出园区，并列入园区承包商黑名单：</w:t>
      </w:r>
    </w:p>
    <w:p w14:paraId="72E2F4F9">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1、将承揽业务非法分包、转包给不符合安全生产条件或不具备相应资质的其他承包商的；</w:t>
      </w:r>
    </w:p>
    <w:p w14:paraId="07DCF616">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2、发生造成人员死亡或三人以上重伤的生产安全事故的；</w:t>
      </w:r>
    </w:p>
    <w:p w14:paraId="42D966C2">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3、发生火灾、爆炸等有较大社会影响的生产安全事故的；</w:t>
      </w:r>
    </w:p>
    <w:p w14:paraId="2948063B">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4、瞒报、谎报、迟报生产安全事故的；</w:t>
      </w:r>
    </w:p>
    <w:p w14:paraId="4B23D289">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5、承接信息化建设和运维服务，发生网络安全突发事件的；</w:t>
      </w:r>
    </w:p>
    <w:p w14:paraId="3850A816">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6、编制报告未进行现场考察，报告与现场存在较大出入的，或出具虚假报告和证明材料被政府有关部门行政处罚的；</w:t>
      </w:r>
    </w:p>
    <w:p w14:paraId="094D376D">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7、被政府有关部门一年内行政处罚两次及以上的；</w:t>
      </w:r>
    </w:p>
    <w:p w14:paraId="7254057F">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8、发现重大事故隐患，不及时整改，仍组织从业人员冒险作业的；</w:t>
      </w:r>
    </w:p>
    <w:p w14:paraId="1C63BC1F">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9、采取隐蔽、欺骗或阻碍等方式逃避、对抗有关部门监管的；</w:t>
      </w:r>
    </w:p>
    <w:p w14:paraId="3934A2CA">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10、被暂扣、吊销相关资质证照的；</w:t>
      </w:r>
    </w:p>
    <w:p w14:paraId="3355FBB2">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11、违反服务标准、泄露管委会或园区企业有关数据的；</w:t>
      </w:r>
    </w:p>
    <w:p w14:paraId="04A5AD1D">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12、被政府有关部门纳入黑名单的；</w:t>
      </w:r>
    </w:p>
    <w:p w14:paraId="62EEF605">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13、承包商评估结果为差的；</w:t>
      </w:r>
    </w:p>
    <w:p w14:paraId="0460F869">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14、其他法律法规或上级部门要求退出的情形。</w:t>
      </w:r>
    </w:p>
    <w:p w14:paraId="1726786A">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 xml:space="preserve">第二十条  </w:t>
      </w:r>
      <w:r>
        <w:rPr>
          <w:rFonts w:ascii="Times New Roman" w:hAnsi="Times New Roman" w:eastAsia="仿宋" w:cs="Arial"/>
          <w:snapToGrid w:val="0"/>
          <w:kern w:val="0"/>
          <w:sz w:val="32"/>
          <w:szCs w:val="32"/>
        </w:rPr>
        <w:t>承包商黑名单评定，由产业发展局（安全监管局）组织各相关内设机构、德源集团及园区企业每年共同核实和评定一次。</w:t>
      </w:r>
    </w:p>
    <w:p w14:paraId="39E62AB0">
      <w:pPr>
        <w:spacing w:line="600" w:lineRule="exact"/>
        <w:ind w:firstLine="640" w:firstLineChars="200"/>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经评定确认后，由产业发展局（安全监管局）统计管理黑名单档案，及时更新并公示。</w:t>
      </w:r>
    </w:p>
    <w:p w14:paraId="4E0073E9">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第二十一条</w:t>
      </w:r>
      <w:r>
        <w:rPr>
          <w:rFonts w:ascii="Times New Roman" w:hAnsi="Times New Roman" w:eastAsia="仿宋" w:cs="Arial"/>
          <w:snapToGrid w:val="0"/>
          <w:kern w:val="0"/>
          <w:sz w:val="32"/>
          <w:szCs w:val="32"/>
        </w:rPr>
        <w:t xml:space="preserve">  对退出和被列入黑名单名录的承包商，两年内将不得在化工园区范围内承担制度适用范围内的业务。</w:t>
      </w:r>
    </w:p>
    <w:p w14:paraId="026B808C">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第二十二条</w:t>
      </w:r>
      <w:r>
        <w:rPr>
          <w:rFonts w:ascii="Times New Roman" w:hAnsi="Times New Roman" w:eastAsia="仿宋" w:cs="Arial"/>
          <w:snapToGrid w:val="0"/>
          <w:kern w:val="0"/>
          <w:sz w:val="32"/>
          <w:szCs w:val="32"/>
        </w:rPr>
        <w:t xml:space="preserve">  黑名单适用于管委会、德源集团及园区企业，管委会相关内设机构及企业选聘承包商前应查询黑名单，不得将相关业务以任何形式承包、转包、分包给纳入黑名单管理的承包商。</w:t>
      </w:r>
    </w:p>
    <w:p w14:paraId="712F3899">
      <w:pPr>
        <w:spacing w:line="600" w:lineRule="exact"/>
        <w:ind w:firstLine="643" w:firstLineChars="200"/>
        <w:rPr>
          <w:rFonts w:ascii="Times New Roman" w:hAnsi="Times New Roman" w:eastAsia="仿宋" w:cs="Arial"/>
          <w:snapToGrid w:val="0"/>
          <w:kern w:val="0"/>
          <w:sz w:val="32"/>
          <w:szCs w:val="32"/>
        </w:rPr>
      </w:pPr>
      <w:r>
        <w:rPr>
          <w:rFonts w:ascii="Times New Roman" w:hAnsi="Times New Roman" w:eastAsia="仿宋" w:cs="Arial"/>
          <w:b/>
          <w:bCs/>
          <w:snapToGrid w:val="0"/>
          <w:kern w:val="0"/>
          <w:sz w:val="32"/>
          <w:szCs w:val="32"/>
        </w:rPr>
        <w:t xml:space="preserve">第二十三条  </w:t>
      </w:r>
      <w:r>
        <w:rPr>
          <w:rFonts w:ascii="Times New Roman" w:hAnsi="Times New Roman" w:eastAsia="仿宋" w:cs="Arial"/>
          <w:snapToGrid w:val="0"/>
          <w:kern w:val="0"/>
          <w:sz w:val="32"/>
          <w:szCs w:val="32"/>
        </w:rPr>
        <w:t>退出和列入黑名单的情形整改完毕且两年后，可按照制度重新审批，审批合格可移出黑名单。</w:t>
      </w:r>
    </w:p>
    <w:p w14:paraId="3B9B3933">
      <w:pPr>
        <w:spacing w:line="60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 w:cs="Arial"/>
          <w:snapToGrid w:val="0"/>
          <w:kern w:val="0"/>
          <w:sz w:val="32"/>
          <w:szCs w:val="32"/>
        </w:rPr>
        <w:t>未被政府有关部门移出黑名单的，期满不得重新审批。</w:t>
      </w:r>
      <w:r>
        <w:rPr>
          <w:rFonts w:ascii="Times New Roman" w:hAnsi="Times New Roman" w:eastAsia="仿宋_GB2312" w:cs="Arial"/>
          <w:snapToGrid w:val="0"/>
          <w:kern w:val="0"/>
          <w:sz w:val="32"/>
          <w:szCs w:val="32"/>
        </w:rPr>
        <w:br w:type="textWrapping"/>
      </w:r>
      <w:r>
        <w:rPr>
          <w:rFonts w:ascii="Times New Roman" w:hAnsi="Times New Roman" w:eastAsia="仿宋_GB2312" w:cs="Arial"/>
          <w:snapToGrid w:val="0"/>
          <w:kern w:val="0"/>
          <w:sz w:val="32"/>
          <w:szCs w:val="32"/>
        </w:rPr>
        <w:br w:type="page"/>
      </w:r>
      <w:r>
        <w:rPr>
          <w:rFonts w:ascii="Times New Roman" w:hAnsi="Times New Roman" w:eastAsia="黑体" w:cs="Arial"/>
          <w:snapToGrid w:val="0"/>
          <w:kern w:val="0"/>
          <w:sz w:val="32"/>
          <w:szCs w:val="32"/>
        </w:rPr>
        <w:t>附件1</w:t>
      </w:r>
    </w:p>
    <w:p w14:paraId="4CEE2E6C">
      <w:pPr>
        <w:spacing w:line="560" w:lineRule="exact"/>
        <w:rPr>
          <w:rFonts w:ascii="Times New Roman" w:hAnsi="Times New Roman" w:eastAsia="仿宋_GB2312" w:cs="Arial"/>
          <w:snapToGrid w:val="0"/>
          <w:kern w:val="0"/>
          <w:sz w:val="32"/>
          <w:szCs w:val="32"/>
        </w:rPr>
      </w:pPr>
    </w:p>
    <w:p w14:paraId="6877B75B">
      <w:pPr>
        <w:widowControl/>
        <w:snapToGrid w:val="0"/>
        <w:spacing w:line="560" w:lineRule="exact"/>
        <w:jc w:val="center"/>
        <w:rPr>
          <w:rFonts w:ascii="Times New Roman" w:hAnsi="Times New Roman" w:eastAsia="方正小标宋简体" w:cs="Arial"/>
          <w:snapToGrid w:val="0"/>
          <w:kern w:val="0"/>
          <w:sz w:val="44"/>
          <w:szCs w:val="44"/>
        </w:rPr>
      </w:pPr>
      <w:r>
        <w:rPr>
          <w:rFonts w:ascii="Times New Roman" w:hAnsi="Times New Roman" w:eastAsia="方正小标宋简体" w:cs="Arial"/>
          <w:snapToGrid w:val="0"/>
          <w:kern w:val="0"/>
          <w:sz w:val="44"/>
          <w:szCs w:val="44"/>
        </w:rPr>
        <w:t>承包商入园登记</w:t>
      </w:r>
    </w:p>
    <w:p w14:paraId="53C1FAE5">
      <w:pPr>
        <w:widowControl/>
        <w:snapToGrid w:val="0"/>
        <w:spacing w:line="560" w:lineRule="exact"/>
        <w:ind w:firstLine="640" w:firstLineChars="200"/>
        <w:rPr>
          <w:rFonts w:ascii="Times New Roman" w:hAnsi="Times New Roman" w:eastAsia="仿宋_GB2312" w:cs="Arial"/>
          <w:snapToGrid w:val="0"/>
          <w:kern w:val="0"/>
          <w:sz w:val="32"/>
          <w:szCs w:val="32"/>
        </w:rPr>
      </w:pPr>
    </w:p>
    <w:p w14:paraId="53C2FF0D">
      <w:pPr>
        <w:widowControl/>
        <w:snapToGrid w:val="0"/>
        <w:spacing w:line="560" w:lineRule="exact"/>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常德经济技术开发区管理委员会：</w:t>
      </w:r>
    </w:p>
    <w:p w14:paraId="7ABF8A15">
      <w:pPr>
        <w:widowControl/>
        <w:snapToGrid w:val="0"/>
        <w:spacing w:line="56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我公司定于</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年</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月</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日至</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年</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月</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日，实施</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工程（项目、服务），拟与</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有限公司签订</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合同（安全协议）。我公司已审查该承包商相关资质材料，认为其具备合法的资格，具备承包工程（项目、服务）的相应资质。现将该承包商相关资质材料复印件报给贵单位登记备案。</w:t>
      </w:r>
    </w:p>
    <w:p w14:paraId="21214B35">
      <w:pPr>
        <w:widowControl/>
        <w:snapToGrid w:val="0"/>
        <w:spacing w:line="560" w:lineRule="exact"/>
        <w:ind w:firstLine="640" w:firstLineChars="200"/>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 xml:space="preserve">    特此报备。 </w:t>
      </w:r>
    </w:p>
    <w:p w14:paraId="154EE23C">
      <w:pPr>
        <w:widowControl/>
        <w:snapToGrid w:val="0"/>
        <w:spacing w:line="560" w:lineRule="exact"/>
        <w:ind w:firstLine="640" w:firstLineChars="200"/>
        <w:rPr>
          <w:rFonts w:ascii="Times New Roman" w:hAnsi="Times New Roman" w:eastAsia="仿宋_GB2312" w:cs="Arial"/>
          <w:snapToGrid w:val="0"/>
          <w:kern w:val="0"/>
          <w:sz w:val="32"/>
          <w:szCs w:val="32"/>
        </w:rPr>
      </w:pPr>
    </w:p>
    <w:p w14:paraId="0E49D132">
      <w:pPr>
        <w:widowControl/>
        <w:snapToGrid w:val="0"/>
        <w:spacing w:line="560" w:lineRule="exact"/>
        <w:ind w:firstLine="640" w:firstLineChars="200"/>
        <w:rPr>
          <w:rFonts w:ascii="Times New Roman" w:hAnsi="Times New Roman" w:eastAsia="仿宋_GB2312" w:cs="Arial"/>
          <w:bCs/>
          <w:snapToGrid w:val="0"/>
          <w:kern w:val="0"/>
          <w:sz w:val="32"/>
          <w:szCs w:val="32"/>
        </w:rPr>
      </w:pPr>
      <w:r>
        <w:rPr>
          <w:rFonts w:ascii="Times New Roman" w:hAnsi="Times New Roman" w:eastAsia="仿宋_GB2312" w:cs="Arial"/>
          <w:snapToGrid w:val="0"/>
          <w:kern w:val="0"/>
          <w:sz w:val="32"/>
          <w:szCs w:val="32"/>
        </w:rPr>
        <w:t>附件：</w:t>
      </w:r>
      <w:r>
        <w:rPr>
          <w:rFonts w:ascii="Times New Roman" w:hAnsi="Times New Roman" w:eastAsia="仿宋_GB2312" w:cs="Arial"/>
          <w:bCs/>
          <w:snapToGrid w:val="0"/>
          <w:kern w:val="0"/>
          <w:sz w:val="32"/>
          <w:szCs w:val="32"/>
        </w:rPr>
        <w:t>1.承包商营业执照;</w:t>
      </w:r>
    </w:p>
    <w:p w14:paraId="40EB23E3">
      <w:pPr>
        <w:widowControl/>
        <w:snapToGrid w:val="0"/>
        <w:spacing w:line="560" w:lineRule="exact"/>
        <w:ind w:firstLine="1600" w:firstLineChars="500"/>
        <w:rPr>
          <w:rFonts w:ascii="Times New Roman" w:hAnsi="Times New Roman" w:eastAsia="仿宋_GB2312" w:cs="Arial"/>
          <w:bCs/>
          <w:snapToGrid w:val="0"/>
          <w:kern w:val="0"/>
          <w:sz w:val="32"/>
          <w:szCs w:val="32"/>
        </w:rPr>
      </w:pPr>
      <w:r>
        <w:rPr>
          <w:rFonts w:ascii="Times New Roman" w:hAnsi="Times New Roman" w:eastAsia="仿宋_GB2312" w:cs="Arial"/>
          <w:bCs/>
          <w:snapToGrid w:val="0"/>
          <w:kern w:val="0"/>
          <w:sz w:val="32"/>
          <w:szCs w:val="32"/>
        </w:rPr>
        <w:t>2.承包商资质证书;</w:t>
      </w:r>
    </w:p>
    <w:p w14:paraId="17CC8233">
      <w:pPr>
        <w:widowControl/>
        <w:snapToGrid w:val="0"/>
        <w:spacing w:line="560" w:lineRule="exact"/>
        <w:ind w:left="1600"/>
        <w:rPr>
          <w:rFonts w:ascii="Times New Roman" w:hAnsi="Times New Roman" w:eastAsia="仿宋_GB2312" w:cs="Arial"/>
          <w:bCs/>
          <w:snapToGrid w:val="0"/>
          <w:kern w:val="0"/>
          <w:sz w:val="32"/>
          <w:szCs w:val="32"/>
        </w:rPr>
      </w:pPr>
      <w:r>
        <w:rPr>
          <w:rFonts w:ascii="Times New Roman" w:hAnsi="Times New Roman" w:eastAsia="仿宋_GB2312" w:cs="Arial"/>
          <w:snapToGrid w:val="0"/>
          <w:kern w:val="0"/>
          <w:sz w:val="32"/>
          <w:szCs w:val="32"/>
        </w:rPr>
        <w:t>3.……（制度第九条规定的相关资料）</w:t>
      </w:r>
    </w:p>
    <w:p w14:paraId="1BABA3FD">
      <w:pPr>
        <w:snapToGrid w:val="0"/>
        <w:spacing w:line="560" w:lineRule="exact"/>
        <w:rPr>
          <w:rFonts w:ascii="Times New Roman" w:hAnsi="Times New Roman" w:eastAsia="仿宋_GB2312" w:cs="Arial"/>
          <w:bCs/>
          <w:snapToGrid w:val="0"/>
          <w:kern w:val="0"/>
          <w:sz w:val="32"/>
          <w:szCs w:val="32"/>
        </w:rPr>
      </w:pPr>
    </w:p>
    <w:p w14:paraId="22BEE300">
      <w:pPr>
        <w:widowControl/>
        <w:snapToGrid w:val="0"/>
        <w:spacing w:line="560" w:lineRule="exact"/>
        <w:ind w:left="4160" w:hanging="4160" w:hangingChars="1300"/>
        <w:rPr>
          <w:rFonts w:ascii="Times New Roman" w:hAnsi="Times New Roman" w:eastAsia="仿宋_GB2312" w:cs="Arial"/>
          <w:bCs/>
          <w:snapToGrid w:val="0"/>
          <w:kern w:val="0"/>
          <w:sz w:val="32"/>
          <w:szCs w:val="32"/>
        </w:rPr>
      </w:pPr>
      <w:r>
        <w:rPr>
          <w:rFonts w:ascii="Times New Roman" w:hAnsi="Times New Roman" w:eastAsia="仿宋_GB2312" w:cs="Arial"/>
          <w:bCs/>
          <w:snapToGrid w:val="0"/>
          <w:kern w:val="0"/>
          <w:sz w:val="32"/>
          <w:szCs w:val="32"/>
        </w:rPr>
        <w:t xml:space="preserve">                       XXXXXX有限公司（盖章）               XX年XX 月XX日</w:t>
      </w:r>
    </w:p>
    <w:p w14:paraId="1017326C">
      <w:pPr>
        <w:tabs>
          <w:tab w:val="center" w:pos="4153"/>
          <w:tab w:val="right" w:pos="8306"/>
        </w:tabs>
        <w:snapToGrid w:val="0"/>
        <w:spacing w:line="560" w:lineRule="exact"/>
        <w:ind w:firstLine="360" w:firstLineChars="200"/>
        <w:rPr>
          <w:rFonts w:ascii="Times New Roman" w:hAnsi="Times New Roman" w:eastAsia="仿宋" w:cs="Arial"/>
          <w:snapToGrid w:val="0"/>
          <w:kern w:val="0"/>
          <w:sz w:val="18"/>
          <w:szCs w:val="21"/>
        </w:rPr>
      </w:pPr>
    </w:p>
    <w:p w14:paraId="64F60E48">
      <w:pPr>
        <w:spacing w:line="560" w:lineRule="exact"/>
        <w:ind w:firstLine="640" w:firstLineChars="200"/>
        <w:rPr>
          <w:rFonts w:ascii="Times New Roman" w:hAnsi="Times New Roman" w:eastAsia="仿宋_GB2312" w:cs="Arial"/>
          <w:bCs/>
          <w:snapToGrid w:val="0"/>
          <w:kern w:val="0"/>
          <w:sz w:val="32"/>
          <w:szCs w:val="32"/>
        </w:rPr>
      </w:pPr>
      <w:r>
        <w:rPr>
          <w:rFonts w:ascii="Times New Roman" w:hAnsi="Times New Roman" w:eastAsia="仿宋_GB2312" w:cs="Arial"/>
          <w:bCs/>
          <w:snapToGrid w:val="0"/>
          <w:kern w:val="0"/>
          <w:sz w:val="32"/>
          <w:szCs w:val="32"/>
        </w:rPr>
        <w:t>（联系人：XX；联系电话：XXXXXX）</w:t>
      </w:r>
    </w:p>
    <w:p w14:paraId="4E8ED113">
      <w:pPr>
        <w:tabs>
          <w:tab w:val="center" w:pos="4153"/>
          <w:tab w:val="right" w:pos="8306"/>
        </w:tabs>
        <w:snapToGrid w:val="0"/>
        <w:spacing w:line="600" w:lineRule="exact"/>
        <w:ind w:firstLine="640" w:firstLineChars="200"/>
        <w:textAlignment w:val="baseline"/>
        <w:rPr>
          <w:rFonts w:ascii="Times New Roman" w:hAnsi="Times New Roman" w:eastAsia="仿宋_GB2312" w:cs="Arial"/>
          <w:bCs/>
          <w:snapToGrid w:val="0"/>
          <w:kern w:val="0"/>
          <w:sz w:val="32"/>
          <w:szCs w:val="32"/>
        </w:rPr>
      </w:pPr>
    </w:p>
    <w:p w14:paraId="57F7957A">
      <w:pPr>
        <w:widowControl/>
        <w:snapToGrid w:val="0"/>
        <w:spacing w:line="600" w:lineRule="exact"/>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br w:type="page"/>
      </w:r>
      <w:r>
        <w:rPr>
          <w:rFonts w:ascii="Times New Roman" w:hAnsi="Times New Roman" w:eastAsia="黑体" w:cs="Arial"/>
          <w:snapToGrid w:val="0"/>
          <w:kern w:val="0"/>
          <w:sz w:val="32"/>
          <w:szCs w:val="32"/>
        </w:rPr>
        <w:t>附件2</w:t>
      </w:r>
    </w:p>
    <w:p w14:paraId="502E3F6A">
      <w:pPr>
        <w:tabs>
          <w:tab w:val="center" w:pos="4153"/>
          <w:tab w:val="right" w:pos="8306"/>
        </w:tabs>
        <w:snapToGrid w:val="0"/>
        <w:spacing w:line="600" w:lineRule="exact"/>
        <w:ind w:firstLine="360" w:firstLineChars="200"/>
        <w:textAlignment w:val="baseline"/>
        <w:rPr>
          <w:rFonts w:ascii="Times New Roman" w:hAnsi="Times New Roman" w:eastAsia="仿宋" w:cs="Arial"/>
          <w:snapToGrid w:val="0"/>
          <w:kern w:val="0"/>
          <w:sz w:val="18"/>
          <w:szCs w:val="21"/>
        </w:rPr>
      </w:pPr>
    </w:p>
    <w:p w14:paraId="19439409">
      <w:pPr>
        <w:widowControl/>
        <w:snapToGrid w:val="0"/>
        <w:spacing w:line="560" w:lineRule="exact"/>
        <w:jc w:val="center"/>
        <w:textAlignment w:val="baseline"/>
        <w:rPr>
          <w:rFonts w:ascii="Times New Roman" w:hAnsi="Times New Roman" w:eastAsia="方正小标宋简体" w:cs="Arial"/>
          <w:snapToGrid w:val="0"/>
          <w:kern w:val="0"/>
          <w:sz w:val="44"/>
          <w:szCs w:val="44"/>
        </w:rPr>
      </w:pPr>
      <w:r>
        <w:rPr>
          <w:rFonts w:ascii="Times New Roman" w:hAnsi="Times New Roman" w:eastAsia="方正小标宋简体" w:cs="Arial"/>
          <w:snapToGrid w:val="0"/>
          <w:kern w:val="0"/>
          <w:sz w:val="44"/>
          <w:szCs w:val="44"/>
        </w:rPr>
        <w:t>承包商登记审查表</w:t>
      </w:r>
    </w:p>
    <w:p w14:paraId="5092DE88">
      <w:pPr>
        <w:widowControl/>
        <w:snapToGrid w:val="0"/>
        <w:spacing w:line="560" w:lineRule="exact"/>
        <w:ind w:firstLine="880" w:firstLineChars="200"/>
        <w:textAlignment w:val="baseline"/>
        <w:rPr>
          <w:rFonts w:ascii="Times New Roman" w:hAnsi="Times New Roman" w:eastAsia="方正小标宋简体" w:cs="Arial"/>
          <w:snapToGrid w:val="0"/>
          <w:kern w:val="0"/>
          <w:sz w:val="44"/>
          <w:szCs w:val="44"/>
        </w:rPr>
      </w:pPr>
    </w:p>
    <w:p w14:paraId="2D6FE944">
      <w:pPr>
        <w:widowControl/>
        <w:snapToGrid w:val="0"/>
        <w:spacing w:line="600" w:lineRule="exact"/>
        <w:ind w:firstLine="640" w:firstLineChars="200"/>
        <w:textAlignment w:val="baseline"/>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单位：常德经济技术开发区管理委员会</w:t>
      </w:r>
    </w:p>
    <w:p w14:paraId="395491B9">
      <w:pPr>
        <w:widowControl/>
        <w:snapToGrid w:val="0"/>
        <w:spacing w:line="600" w:lineRule="exact"/>
        <w:ind w:firstLine="640" w:firstLineChars="200"/>
        <w:textAlignment w:val="baseline"/>
        <w:rPr>
          <w:rFonts w:ascii="Times New Roman" w:hAnsi="Times New Roman" w:eastAsia="仿宋_GB2312" w:cs="Arial"/>
          <w:snapToGrid w:val="0"/>
          <w:kern w:val="0"/>
          <w:sz w:val="32"/>
          <w:szCs w:val="32"/>
          <w:lang w:eastAsia="en-US"/>
        </w:rPr>
      </w:pPr>
      <w:r>
        <w:rPr>
          <w:rFonts w:ascii="Times New Roman" w:hAnsi="Times New Roman" w:eastAsia="仿宋_GB2312" w:cs="Arial"/>
          <w:snapToGrid w:val="0"/>
          <w:kern w:val="0"/>
          <w:sz w:val="32"/>
          <w:szCs w:val="32"/>
          <w:lang w:eastAsia="en-US"/>
        </w:rPr>
        <w:t>日期：</w:t>
      </w:r>
      <w:r>
        <w:rPr>
          <w:rFonts w:ascii="Times New Roman" w:hAnsi="Times New Roman" w:eastAsia="仿宋_GB2312" w:cs="Arial"/>
          <w:snapToGrid w:val="0"/>
          <w:kern w:val="0"/>
          <w:sz w:val="32"/>
          <w:szCs w:val="32"/>
        </w:rPr>
        <w:t xml:space="preserve"> </w:t>
      </w:r>
      <w:r>
        <w:rPr>
          <w:rFonts w:ascii="Times New Roman" w:hAnsi="Times New Roman" w:eastAsia="仿宋_GB2312" w:cs="Arial"/>
          <w:snapToGrid w:val="0"/>
          <w:kern w:val="0"/>
          <w:sz w:val="32"/>
          <w:szCs w:val="32"/>
          <w:lang w:eastAsia="en-US"/>
        </w:rPr>
        <w:t xml:space="preserve">  年 </w:t>
      </w:r>
      <w:r>
        <w:rPr>
          <w:rFonts w:ascii="Times New Roman" w:hAnsi="Times New Roman" w:eastAsia="仿宋_GB2312" w:cs="Arial"/>
          <w:snapToGrid w:val="0"/>
          <w:kern w:val="0"/>
          <w:sz w:val="32"/>
          <w:szCs w:val="32"/>
        </w:rPr>
        <w:t xml:space="preserve"> </w:t>
      </w:r>
      <w:r>
        <w:rPr>
          <w:rFonts w:ascii="Times New Roman" w:hAnsi="Times New Roman" w:eastAsia="仿宋_GB2312" w:cs="Arial"/>
          <w:snapToGrid w:val="0"/>
          <w:kern w:val="0"/>
          <w:sz w:val="32"/>
          <w:szCs w:val="32"/>
          <w:lang w:eastAsia="en-US"/>
        </w:rPr>
        <w:t xml:space="preserve">  月 </w:t>
      </w:r>
      <w:r>
        <w:rPr>
          <w:rFonts w:ascii="Times New Roman" w:hAnsi="Times New Roman" w:eastAsia="仿宋_GB2312" w:cs="Arial"/>
          <w:snapToGrid w:val="0"/>
          <w:kern w:val="0"/>
          <w:sz w:val="32"/>
          <w:szCs w:val="32"/>
        </w:rPr>
        <w:t xml:space="preserve"> </w:t>
      </w:r>
      <w:r>
        <w:rPr>
          <w:rFonts w:ascii="Times New Roman" w:hAnsi="Times New Roman" w:eastAsia="仿宋_GB2312" w:cs="Arial"/>
          <w:snapToGrid w:val="0"/>
          <w:kern w:val="0"/>
          <w:sz w:val="32"/>
          <w:szCs w:val="32"/>
          <w:lang w:eastAsia="en-US"/>
        </w:rPr>
        <w:t xml:space="preserve">  日</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923"/>
        <w:gridCol w:w="1813"/>
        <w:gridCol w:w="1464"/>
        <w:gridCol w:w="2385"/>
      </w:tblGrid>
      <w:tr w14:paraId="30E5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32" w:type="dxa"/>
            <w:vAlign w:val="center"/>
          </w:tcPr>
          <w:p w14:paraId="7C672CA3">
            <w:pPr>
              <w:snapToGrid w:val="0"/>
              <w:spacing w:line="400" w:lineRule="exact"/>
              <w:jc w:val="center"/>
              <w:textAlignment w:val="baseline"/>
              <w:rPr>
                <w:rFonts w:ascii="Times New Roman" w:hAnsi="Times New Roman" w:eastAsia="宋体" w:cs="Arial"/>
                <w:b/>
                <w:bCs/>
                <w:snapToGrid w:val="0"/>
                <w:kern w:val="0"/>
                <w:sz w:val="32"/>
                <w:szCs w:val="21"/>
                <w:lang w:eastAsia="en-US"/>
              </w:rPr>
            </w:pPr>
            <w:r>
              <w:rPr>
                <w:rFonts w:ascii="Times New Roman" w:hAnsi="Times New Roman" w:eastAsia="仿宋_GB2312" w:cs="Arial"/>
                <w:b/>
                <w:bCs/>
                <w:snapToGrid w:val="0"/>
                <w:kern w:val="0"/>
                <w:sz w:val="28"/>
                <w:szCs w:val="28"/>
                <w:lang w:eastAsia="en-US"/>
              </w:rPr>
              <w:t>项目名称</w:t>
            </w:r>
          </w:p>
        </w:tc>
        <w:tc>
          <w:tcPr>
            <w:tcW w:w="7585" w:type="dxa"/>
            <w:gridSpan w:val="4"/>
            <w:vAlign w:val="center"/>
          </w:tcPr>
          <w:p w14:paraId="1D285F87">
            <w:pPr>
              <w:snapToGrid w:val="0"/>
              <w:spacing w:line="400" w:lineRule="exact"/>
              <w:jc w:val="center"/>
              <w:textAlignment w:val="baseline"/>
              <w:rPr>
                <w:rFonts w:ascii="Times New Roman" w:hAnsi="Times New Roman" w:eastAsia="仿宋" w:cs="Arial"/>
                <w:b/>
                <w:bCs/>
                <w:snapToGrid w:val="0"/>
                <w:kern w:val="0"/>
                <w:sz w:val="32"/>
                <w:szCs w:val="21"/>
                <w:lang w:eastAsia="en-US"/>
              </w:rPr>
            </w:pPr>
          </w:p>
        </w:tc>
      </w:tr>
      <w:tr w14:paraId="22FC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32" w:type="dxa"/>
            <w:vAlign w:val="center"/>
          </w:tcPr>
          <w:p w14:paraId="71EC9730">
            <w:pPr>
              <w:snapToGrid w:val="0"/>
              <w:spacing w:line="400" w:lineRule="exact"/>
              <w:jc w:val="center"/>
              <w:textAlignment w:val="baseline"/>
              <w:rPr>
                <w:rFonts w:ascii="Times New Roman" w:hAnsi="Times New Roman" w:eastAsia="宋体" w:cs="Arial"/>
                <w:b/>
                <w:bCs/>
                <w:snapToGrid w:val="0"/>
                <w:kern w:val="0"/>
                <w:sz w:val="32"/>
                <w:szCs w:val="21"/>
                <w:lang w:eastAsia="en-US"/>
              </w:rPr>
            </w:pPr>
            <w:r>
              <w:rPr>
                <w:rFonts w:ascii="Times New Roman" w:hAnsi="Times New Roman" w:eastAsia="仿宋_GB2312" w:cs="Arial"/>
                <w:b/>
                <w:bCs/>
                <w:snapToGrid w:val="0"/>
                <w:kern w:val="0"/>
                <w:sz w:val="28"/>
                <w:szCs w:val="28"/>
                <w:lang w:eastAsia="en-US"/>
              </w:rPr>
              <w:t>承包商 名</w:t>
            </w:r>
            <w:r>
              <w:rPr>
                <w:rFonts w:ascii="Times New Roman" w:hAnsi="Times New Roman" w:eastAsia="黑体" w:cs="Arial"/>
                <w:b/>
                <w:bCs/>
                <w:snapToGrid w:val="0"/>
                <w:kern w:val="0"/>
                <w:sz w:val="24"/>
                <w:lang w:eastAsia="en-US"/>
              </w:rPr>
              <w:t>称</w:t>
            </w:r>
          </w:p>
        </w:tc>
        <w:tc>
          <w:tcPr>
            <w:tcW w:w="3736" w:type="dxa"/>
            <w:gridSpan w:val="2"/>
            <w:vAlign w:val="center"/>
          </w:tcPr>
          <w:p w14:paraId="1C70F1D1">
            <w:pPr>
              <w:snapToGrid w:val="0"/>
              <w:spacing w:line="400" w:lineRule="exact"/>
              <w:jc w:val="center"/>
              <w:textAlignment w:val="baseline"/>
              <w:rPr>
                <w:rFonts w:ascii="Times New Roman" w:hAnsi="Times New Roman" w:eastAsia="仿宋" w:cs="Arial"/>
                <w:b/>
                <w:bCs/>
                <w:snapToGrid w:val="0"/>
                <w:kern w:val="0"/>
                <w:sz w:val="32"/>
                <w:szCs w:val="21"/>
                <w:lang w:eastAsia="en-US"/>
              </w:rPr>
            </w:pPr>
          </w:p>
        </w:tc>
        <w:tc>
          <w:tcPr>
            <w:tcW w:w="1464" w:type="dxa"/>
            <w:vAlign w:val="center"/>
          </w:tcPr>
          <w:p w14:paraId="33F9AFA0">
            <w:pPr>
              <w:snapToGrid w:val="0"/>
              <w:spacing w:line="400" w:lineRule="exact"/>
              <w:jc w:val="center"/>
              <w:textAlignment w:val="baseline"/>
              <w:rPr>
                <w:rFonts w:ascii="Times New Roman" w:hAnsi="Times New Roman" w:eastAsia="宋体" w:cs="Arial"/>
                <w:b/>
                <w:bCs/>
                <w:snapToGrid w:val="0"/>
                <w:kern w:val="0"/>
                <w:sz w:val="32"/>
                <w:szCs w:val="21"/>
                <w:lang w:eastAsia="en-US"/>
              </w:rPr>
            </w:pPr>
            <w:r>
              <w:rPr>
                <w:rFonts w:ascii="Times New Roman" w:hAnsi="Times New Roman" w:eastAsia="仿宋_GB2312" w:cs="Arial"/>
                <w:b/>
                <w:bCs/>
                <w:snapToGrid w:val="0"/>
                <w:kern w:val="0"/>
                <w:sz w:val="28"/>
                <w:szCs w:val="28"/>
              </w:rPr>
              <w:t>发包</w:t>
            </w:r>
            <w:r>
              <w:rPr>
                <w:rFonts w:ascii="Times New Roman" w:hAnsi="Times New Roman" w:eastAsia="仿宋_GB2312" w:cs="Arial"/>
                <w:b/>
                <w:bCs/>
                <w:snapToGrid w:val="0"/>
                <w:kern w:val="0"/>
                <w:sz w:val="28"/>
                <w:szCs w:val="28"/>
                <w:lang w:eastAsia="en-US"/>
              </w:rPr>
              <w:t>企业</w:t>
            </w:r>
          </w:p>
        </w:tc>
        <w:tc>
          <w:tcPr>
            <w:tcW w:w="2385" w:type="dxa"/>
            <w:vAlign w:val="center"/>
          </w:tcPr>
          <w:p w14:paraId="0CD358A8">
            <w:pPr>
              <w:snapToGrid w:val="0"/>
              <w:spacing w:line="400" w:lineRule="exact"/>
              <w:textAlignment w:val="baseline"/>
              <w:rPr>
                <w:rFonts w:ascii="Times New Roman" w:hAnsi="Times New Roman" w:eastAsia="仿宋" w:cs="Arial"/>
                <w:snapToGrid w:val="0"/>
                <w:kern w:val="0"/>
                <w:sz w:val="32"/>
                <w:szCs w:val="21"/>
                <w:lang w:eastAsia="en-US"/>
              </w:rPr>
            </w:pPr>
          </w:p>
        </w:tc>
      </w:tr>
      <w:tr w14:paraId="2DF8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32" w:type="dxa"/>
            <w:vAlign w:val="center"/>
          </w:tcPr>
          <w:p w14:paraId="5994BEB1">
            <w:pPr>
              <w:snapToGrid w:val="0"/>
              <w:spacing w:line="400" w:lineRule="exact"/>
              <w:jc w:val="center"/>
              <w:textAlignment w:val="baseline"/>
              <w:rPr>
                <w:rFonts w:ascii="Times New Roman" w:hAnsi="Times New Roman" w:eastAsia="仿宋_GB2312" w:cs="Arial"/>
                <w:b/>
                <w:bCs/>
                <w:snapToGrid w:val="0"/>
                <w:kern w:val="0"/>
                <w:sz w:val="28"/>
                <w:szCs w:val="28"/>
              </w:rPr>
            </w:pPr>
            <w:r>
              <w:rPr>
                <w:rFonts w:ascii="Times New Roman" w:hAnsi="Times New Roman" w:eastAsia="仿宋_GB2312" w:cs="Arial"/>
                <w:b/>
                <w:bCs/>
                <w:snapToGrid w:val="0"/>
                <w:kern w:val="0"/>
                <w:sz w:val="28"/>
                <w:szCs w:val="28"/>
              </w:rPr>
              <w:t>联系人</w:t>
            </w:r>
          </w:p>
        </w:tc>
        <w:tc>
          <w:tcPr>
            <w:tcW w:w="3736" w:type="dxa"/>
            <w:gridSpan w:val="2"/>
            <w:vAlign w:val="center"/>
          </w:tcPr>
          <w:p w14:paraId="3A645FB2">
            <w:pPr>
              <w:snapToGrid w:val="0"/>
              <w:spacing w:line="400" w:lineRule="exact"/>
              <w:jc w:val="center"/>
              <w:textAlignment w:val="baseline"/>
              <w:rPr>
                <w:rFonts w:ascii="Times New Roman" w:hAnsi="Times New Roman" w:eastAsia="仿宋" w:cs="Arial"/>
                <w:b/>
                <w:bCs/>
                <w:snapToGrid w:val="0"/>
                <w:kern w:val="0"/>
                <w:sz w:val="32"/>
                <w:szCs w:val="21"/>
                <w:lang w:eastAsia="en-US"/>
              </w:rPr>
            </w:pPr>
          </w:p>
        </w:tc>
        <w:tc>
          <w:tcPr>
            <w:tcW w:w="1464" w:type="dxa"/>
            <w:vAlign w:val="center"/>
          </w:tcPr>
          <w:p w14:paraId="37B80FDF">
            <w:pPr>
              <w:snapToGrid w:val="0"/>
              <w:spacing w:line="400" w:lineRule="exact"/>
              <w:jc w:val="center"/>
              <w:textAlignment w:val="baseline"/>
              <w:rPr>
                <w:rFonts w:ascii="Times New Roman" w:hAnsi="Times New Roman" w:eastAsia="仿宋_GB2312" w:cs="Arial"/>
                <w:b/>
                <w:bCs/>
                <w:snapToGrid w:val="0"/>
                <w:kern w:val="0"/>
                <w:sz w:val="28"/>
                <w:szCs w:val="28"/>
              </w:rPr>
            </w:pPr>
            <w:r>
              <w:rPr>
                <w:rFonts w:ascii="Times New Roman" w:hAnsi="Times New Roman" w:eastAsia="仿宋_GB2312" w:cs="Arial"/>
                <w:b/>
                <w:bCs/>
                <w:snapToGrid w:val="0"/>
                <w:kern w:val="0"/>
                <w:sz w:val="28"/>
                <w:szCs w:val="28"/>
              </w:rPr>
              <w:t>联系电话</w:t>
            </w:r>
          </w:p>
        </w:tc>
        <w:tc>
          <w:tcPr>
            <w:tcW w:w="2385" w:type="dxa"/>
            <w:vAlign w:val="center"/>
          </w:tcPr>
          <w:p w14:paraId="2B45C08B">
            <w:pPr>
              <w:snapToGrid w:val="0"/>
              <w:spacing w:line="400" w:lineRule="exact"/>
              <w:textAlignment w:val="baseline"/>
              <w:rPr>
                <w:rFonts w:ascii="Times New Roman" w:hAnsi="Times New Roman" w:eastAsia="仿宋" w:cs="Arial"/>
                <w:snapToGrid w:val="0"/>
                <w:kern w:val="0"/>
                <w:sz w:val="32"/>
                <w:szCs w:val="21"/>
                <w:lang w:eastAsia="en-US"/>
              </w:rPr>
            </w:pPr>
          </w:p>
        </w:tc>
      </w:tr>
      <w:tr w14:paraId="656E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017" w:type="dxa"/>
            <w:gridSpan w:val="5"/>
            <w:vAlign w:val="center"/>
          </w:tcPr>
          <w:p w14:paraId="2DDBD45B">
            <w:pPr>
              <w:snapToGrid w:val="0"/>
              <w:spacing w:line="400" w:lineRule="exact"/>
              <w:jc w:val="center"/>
              <w:textAlignment w:val="baseline"/>
              <w:rPr>
                <w:rFonts w:ascii="Times New Roman" w:hAnsi="Times New Roman" w:eastAsia="仿宋" w:cs="Arial"/>
                <w:snapToGrid w:val="0"/>
                <w:kern w:val="0"/>
                <w:sz w:val="32"/>
                <w:szCs w:val="21"/>
                <w:lang w:eastAsia="en-US"/>
              </w:rPr>
            </w:pPr>
            <w:r>
              <w:rPr>
                <w:rFonts w:ascii="Times New Roman" w:hAnsi="Times New Roman" w:eastAsia="仿宋_GB2312" w:cs="Arial"/>
                <w:b/>
                <w:bCs/>
                <w:snapToGrid w:val="0"/>
                <w:kern w:val="0"/>
                <w:sz w:val="28"/>
                <w:szCs w:val="28"/>
                <w:lang w:eastAsia="en-US"/>
              </w:rPr>
              <w:t>相关资料审查</w:t>
            </w:r>
          </w:p>
        </w:tc>
      </w:tr>
      <w:tr w14:paraId="52E5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32" w:type="dxa"/>
            <w:vAlign w:val="center"/>
          </w:tcPr>
          <w:p w14:paraId="5A59B47A">
            <w:pPr>
              <w:snapToGrid w:val="0"/>
              <w:spacing w:line="400" w:lineRule="exact"/>
              <w:jc w:val="center"/>
              <w:textAlignment w:val="baseline"/>
              <w:rPr>
                <w:rFonts w:ascii="Times New Roman" w:hAnsi="Times New Roman" w:eastAsia="仿宋_GB2312" w:cs="Arial"/>
                <w:b/>
                <w:bCs/>
                <w:snapToGrid w:val="0"/>
                <w:kern w:val="0"/>
                <w:sz w:val="28"/>
                <w:szCs w:val="28"/>
                <w:lang w:eastAsia="en-US"/>
              </w:rPr>
            </w:pPr>
            <w:r>
              <w:rPr>
                <w:rFonts w:ascii="Times New Roman" w:hAnsi="Times New Roman" w:eastAsia="仿宋_GB2312" w:cs="Arial"/>
                <w:b/>
                <w:bCs/>
                <w:snapToGrid w:val="0"/>
                <w:kern w:val="0"/>
                <w:sz w:val="28"/>
                <w:szCs w:val="28"/>
                <w:lang w:eastAsia="en-US"/>
              </w:rPr>
              <w:t>序号</w:t>
            </w:r>
          </w:p>
        </w:tc>
        <w:tc>
          <w:tcPr>
            <w:tcW w:w="1923" w:type="dxa"/>
            <w:vAlign w:val="center"/>
          </w:tcPr>
          <w:p w14:paraId="3E6D92F9">
            <w:pPr>
              <w:snapToGrid w:val="0"/>
              <w:spacing w:line="400" w:lineRule="exact"/>
              <w:jc w:val="center"/>
              <w:textAlignment w:val="baseline"/>
              <w:rPr>
                <w:rFonts w:ascii="Times New Roman" w:hAnsi="Times New Roman" w:eastAsia="仿宋_GB2312" w:cs="Arial"/>
                <w:b/>
                <w:bCs/>
                <w:snapToGrid w:val="0"/>
                <w:kern w:val="0"/>
                <w:sz w:val="28"/>
                <w:szCs w:val="28"/>
                <w:lang w:eastAsia="en-US"/>
              </w:rPr>
            </w:pPr>
            <w:r>
              <w:rPr>
                <w:rFonts w:ascii="Times New Roman" w:hAnsi="Times New Roman" w:eastAsia="仿宋_GB2312" w:cs="Arial"/>
                <w:b/>
                <w:bCs/>
                <w:snapToGrid w:val="0"/>
                <w:kern w:val="0"/>
                <w:sz w:val="28"/>
                <w:szCs w:val="28"/>
                <w:lang w:eastAsia="en-US"/>
              </w:rPr>
              <w:t>审查项目</w:t>
            </w:r>
          </w:p>
        </w:tc>
        <w:tc>
          <w:tcPr>
            <w:tcW w:w="1813" w:type="dxa"/>
            <w:vAlign w:val="center"/>
          </w:tcPr>
          <w:p w14:paraId="0CAC2E75">
            <w:pPr>
              <w:snapToGrid w:val="0"/>
              <w:spacing w:line="400" w:lineRule="exact"/>
              <w:jc w:val="center"/>
              <w:textAlignment w:val="baseline"/>
              <w:rPr>
                <w:rFonts w:ascii="Times New Roman" w:hAnsi="Times New Roman" w:eastAsia="仿宋_GB2312" w:cs="Arial"/>
                <w:b/>
                <w:bCs/>
                <w:snapToGrid w:val="0"/>
                <w:kern w:val="0"/>
                <w:sz w:val="28"/>
                <w:szCs w:val="28"/>
                <w:lang w:eastAsia="en-US"/>
              </w:rPr>
            </w:pPr>
            <w:r>
              <w:rPr>
                <w:rFonts w:ascii="Times New Roman" w:hAnsi="Times New Roman" w:eastAsia="仿宋_GB2312" w:cs="Arial"/>
                <w:b/>
                <w:bCs/>
                <w:snapToGrid w:val="0"/>
                <w:kern w:val="0"/>
                <w:sz w:val="28"/>
                <w:szCs w:val="28"/>
                <w:lang w:eastAsia="en-US"/>
              </w:rPr>
              <w:t>证明资料</w:t>
            </w:r>
          </w:p>
        </w:tc>
        <w:tc>
          <w:tcPr>
            <w:tcW w:w="3849" w:type="dxa"/>
            <w:gridSpan w:val="2"/>
            <w:vAlign w:val="center"/>
          </w:tcPr>
          <w:p w14:paraId="447EE35E">
            <w:pPr>
              <w:snapToGrid w:val="0"/>
              <w:spacing w:line="400" w:lineRule="exact"/>
              <w:jc w:val="center"/>
              <w:textAlignment w:val="baseline"/>
              <w:rPr>
                <w:rFonts w:ascii="Times New Roman" w:hAnsi="Times New Roman" w:eastAsia="仿宋_GB2312" w:cs="Arial"/>
                <w:b/>
                <w:bCs/>
                <w:snapToGrid w:val="0"/>
                <w:kern w:val="0"/>
                <w:sz w:val="28"/>
                <w:szCs w:val="28"/>
              </w:rPr>
            </w:pPr>
            <w:r>
              <w:rPr>
                <w:rFonts w:ascii="Times New Roman" w:hAnsi="Times New Roman" w:eastAsia="仿宋_GB2312" w:cs="Arial"/>
                <w:b/>
                <w:bCs/>
                <w:snapToGrid w:val="0"/>
                <w:kern w:val="0"/>
                <w:sz w:val="28"/>
                <w:szCs w:val="28"/>
                <w:lang w:eastAsia="en-US"/>
              </w:rPr>
              <w:t>审</w:t>
            </w:r>
            <w:r>
              <w:rPr>
                <w:rFonts w:ascii="Times New Roman" w:hAnsi="Times New Roman" w:eastAsia="仿宋_GB2312" w:cs="Arial"/>
                <w:b/>
                <w:bCs/>
                <w:snapToGrid w:val="0"/>
                <w:kern w:val="0"/>
                <w:sz w:val="28"/>
                <w:szCs w:val="28"/>
              </w:rPr>
              <w:t>核</w:t>
            </w:r>
            <w:r>
              <w:rPr>
                <w:rFonts w:ascii="Times New Roman" w:hAnsi="Times New Roman" w:eastAsia="仿宋_GB2312" w:cs="Arial"/>
                <w:b/>
                <w:bCs/>
                <w:snapToGrid w:val="0"/>
                <w:kern w:val="0"/>
                <w:sz w:val="28"/>
                <w:szCs w:val="28"/>
                <w:lang w:eastAsia="en-US"/>
              </w:rPr>
              <w:t>情况</w:t>
            </w:r>
          </w:p>
        </w:tc>
      </w:tr>
      <w:tr w14:paraId="7B6D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432" w:type="dxa"/>
            <w:vAlign w:val="center"/>
          </w:tcPr>
          <w:p w14:paraId="47C93145">
            <w:pPr>
              <w:snapToGrid w:val="0"/>
              <w:spacing w:line="400" w:lineRule="exact"/>
              <w:jc w:val="center"/>
              <w:textAlignment w:val="baseline"/>
              <w:rPr>
                <w:rFonts w:ascii="Times New Roman" w:hAnsi="Times New Roman" w:eastAsia="仿宋_GB2312" w:cs="Arial"/>
                <w:snapToGrid w:val="0"/>
                <w:kern w:val="0"/>
                <w:sz w:val="28"/>
                <w:szCs w:val="28"/>
                <w:lang w:eastAsia="en-US"/>
              </w:rPr>
            </w:pPr>
            <w:r>
              <w:rPr>
                <w:rFonts w:ascii="Times New Roman" w:hAnsi="Times New Roman" w:eastAsia="仿宋_GB2312" w:cs="Arial"/>
                <w:snapToGrid w:val="0"/>
                <w:kern w:val="0"/>
                <w:sz w:val="28"/>
                <w:szCs w:val="28"/>
                <w:lang w:eastAsia="en-US"/>
              </w:rPr>
              <w:t>1</w:t>
            </w:r>
          </w:p>
        </w:tc>
        <w:tc>
          <w:tcPr>
            <w:tcW w:w="1923" w:type="dxa"/>
            <w:vAlign w:val="center"/>
          </w:tcPr>
          <w:p w14:paraId="0C73F5F7">
            <w:pPr>
              <w:snapToGrid w:val="0"/>
              <w:spacing w:line="400" w:lineRule="exact"/>
              <w:jc w:val="center"/>
              <w:textAlignment w:val="baseline"/>
              <w:rPr>
                <w:rFonts w:ascii="Times New Roman" w:hAnsi="Times New Roman" w:eastAsia="仿宋_GB2312" w:cs="Arial"/>
                <w:snapToGrid w:val="0"/>
                <w:kern w:val="0"/>
                <w:sz w:val="28"/>
                <w:szCs w:val="28"/>
                <w:lang w:eastAsia="en-US"/>
              </w:rPr>
            </w:pPr>
            <w:r>
              <w:rPr>
                <w:rFonts w:ascii="Times New Roman" w:hAnsi="Times New Roman" w:eastAsia="仿宋_GB2312" w:cs="Arial"/>
                <w:snapToGrid w:val="0"/>
                <w:kern w:val="0"/>
                <w:sz w:val="28"/>
                <w:szCs w:val="28"/>
                <w:lang w:eastAsia="en-US"/>
              </w:rPr>
              <w:t>经营范围</w:t>
            </w:r>
          </w:p>
        </w:tc>
        <w:tc>
          <w:tcPr>
            <w:tcW w:w="1813" w:type="dxa"/>
            <w:vAlign w:val="center"/>
          </w:tcPr>
          <w:p w14:paraId="57AFCCA9">
            <w:pPr>
              <w:snapToGrid w:val="0"/>
              <w:spacing w:line="400" w:lineRule="exact"/>
              <w:jc w:val="center"/>
              <w:textAlignment w:val="baseline"/>
              <w:rPr>
                <w:rFonts w:ascii="Times New Roman" w:hAnsi="Times New Roman" w:eastAsia="仿宋_GB2312" w:cs="Arial"/>
                <w:snapToGrid w:val="0"/>
                <w:kern w:val="0"/>
                <w:sz w:val="28"/>
                <w:szCs w:val="28"/>
                <w:lang w:eastAsia="en-US"/>
              </w:rPr>
            </w:pPr>
            <w:r>
              <w:rPr>
                <w:rFonts w:ascii="Times New Roman" w:hAnsi="Times New Roman" w:eastAsia="仿宋_GB2312" w:cs="Arial"/>
                <w:snapToGrid w:val="0"/>
                <w:kern w:val="0"/>
                <w:sz w:val="28"/>
                <w:szCs w:val="28"/>
                <w:lang w:eastAsia="en-US"/>
              </w:rPr>
              <w:t>营业执照</w:t>
            </w:r>
          </w:p>
        </w:tc>
        <w:tc>
          <w:tcPr>
            <w:tcW w:w="3849" w:type="dxa"/>
            <w:gridSpan w:val="2"/>
            <w:vAlign w:val="center"/>
          </w:tcPr>
          <w:p w14:paraId="0E4B57A0">
            <w:pPr>
              <w:snapToGrid w:val="0"/>
              <w:spacing w:line="400" w:lineRule="exact"/>
              <w:textAlignment w:val="baseline"/>
              <w:rPr>
                <w:rFonts w:ascii="Times New Roman" w:hAnsi="Times New Roman" w:eastAsia="仿宋_GB2312" w:cs="Arial"/>
                <w:snapToGrid w:val="0"/>
                <w:kern w:val="0"/>
                <w:sz w:val="24"/>
                <w:lang w:eastAsia="en-US"/>
              </w:rPr>
            </w:pPr>
          </w:p>
        </w:tc>
      </w:tr>
      <w:tr w14:paraId="6BB6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32" w:type="dxa"/>
            <w:vAlign w:val="center"/>
          </w:tcPr>
          <w:p w14:paraId="2895C3FE">
            <w:pPr>
              <w:snapToGrid w:val="0"/>
              <w:spacing w:line="400" w:lineRule="exact"/>
              <w:jc w:val="center"/>
              <w:textAlignment w:val="baseline"/>
              <w:rPr>
                <w:rFonts w:ascii="Times New Roman" w:hAnsi="Times New Roman" w:eastAsia="仿宋_GB2312" w:cs="Arial"/>
                <w:snapToGrid w:val="0"/>
                <w:kern w:val="0"/>
                <w:sz w:val="28"/>
                <w:szCs w:val="28"/>
                <w:lang w:eastAsia="en-US"/>
              </w:rPr>
            </w:pPr>
            <w:r>
              <w:rPr>
                <w:rFonts w:ascii="Times New Roman" w:hAnsi="Times New Roman" w:eastAsia="仿宋_GB2312" w:cs="Arial"/>
                <w:snapToGrid w:val="0"/>
                <w:kern w:val="0"/>
                <w:sz w:val="28"/>
                <w:szCs w:val="28"/>
                <w:lang w:eastAsia="en-US"/>
              </w:rPr>
              <w:t>2</w:t>
            </w:r>
          </w:p>
        </w:tc>
        <w:tc>
          <w:tcPr>
            <w:tcW w:w="1923" w:type="dxa"/>
            <w:vAlign w:val="center"/>
          </w:tcPr>
          <w:p w14:paraId="148CB0C8">
            <w:pPr>
              <w:snapToGrid w:val="0"/>
              <w:spacing w:line="400" w:lineRule="exact"/>
              <w:jc w:val="center"/>
              <w:textAlignment w:val="baseline"/>
              <w:rPr>
                <w:rFonts w:ascii="Times New Roman" w:hAnsi="Times New Roman" w:eastAsia="仿宋_GB2312" w:cs="Arial"/>
                <w:snapToGrid w:val="0"/>
                <w:kern w:val="0"/>
                <w:sz w:val="28"/>
                <w:szCs w:val="28"/>
              </w:rPr>
            </w:pPr>
            <w:r>
              <w:rPr>
                <w:rFonts w:ascii="Times New Roman" w:hAnsi="Times New Roman" w:eastAsia="仿宋_GB2312" w:cs="Arial"/>
                <w:snapToGrid w:val="0"/>
                <w:kern w:val="0"/>
                <w:sz w:val="28"/>
                <w:szCs w:val="28"/>
              </w:rPr>
              <w:t>施工、管理能力、素质</w:t>
            </w:r>
          </w:p>
        </w:tc>
        <w:tc>
          <w:tcPr>
            <w:tcW w:w="1813" w:type="dxa"/>
            <w:vAlign w:val="center"/>
          </w:tcPr>
          <w:p w14:paraId="7466A366">
            <w:pPr>
              <w:snapToGrid w:val="0"/>
              <w:spacing w:line="400" w:lineRule="exact"/>
              <w:jc w:val="center"/>
              <w:textAlignment w:val="baseline"/>
              <w:rPr>
                <w:rFonts w:ascii="Times New Roman" w:hAnsi="Times New Roman" w:eastAsia="仿宋_GB2312" w:cs="Arial"/>
                <w:snapToGrid w:val="0"/>
                <w:kern w:val="0"/>
                <w:sz w:val="28"/>
                <w:szCs w:val="28"/>
                <w:lang w:eastAsia="en-US"/>
              </w:rPr>
            </w:pPr>
            <w:r>
              <w:rPr>
                <w:rFonts w:ascii="Times New Roman" w:hAnsi="Times New Roman" w:eastAsia="仿宋_GB2312" w:cs="Arial"/>
                <w:snapToGrid w:val="0"/>
                <w:kern w:val="0"/>
                <w:sz w:val="28"/>
                <w:szCs w:val="28"/>
                <w:lang w:eastAsia="en-US"/>
              </w:rPr>
              <w:t>资质等级证书</w:t>
            </w:r>
          </w:p>
        </w:tc>
        <w:tc>
          <w:tcPr>
            <w:tcW w:w="3849" w:type="dxa"/>
            <w:gridSpan w:val="2"/>
            <w:vAlign w:val="center"/>
          </w:tcPr>
          <w:p w14:paraId="2097697B">
            <w:pPr>
              <w:snapToGrid w:val="0"/>
              <w:spacing w:line="400" w:lineRule="exact"/>
              <w:textAlignment w:val="baseline"/>
              <w:rPr>
                <w:rFonts w:ascii="Times New Roman" w:hAnsi="Times New Roman" w:eastAsia="仿宋_GB2312" w:cs="Arial"/>
                <w:snapToGrid w:val="0"/>
                <w:kern w:val="0"/>
                <w:sz w:val="24"/>
                <w:lang w:eastAsia="en-US"/>
              </w:rPr>
            </w:pPr>
          </w:p>
        </w:tc>
      </w:tr>
      <w:tr w14:paraId="5378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432" w:type="dxa"/>
            <w:vAlign w:val="center"/>
          </w:tcPr>
          <w:p w14:paraId="4E1C1BCD">
            <w:pPr>
              <w:snapToGrid w:val="0"/>
              <w:spacing w:line="400" w:lineRule="exact"/>
              <w:jc w:val="center"/>
              <w:textAlignment w:val="baseline"/>
              <w:rPr>
                <w:rFonts w:ascii="Times New Roman" w:hAnsi="Times New Roman" w:eastAsia="仿宋_GB2312" w:cs="Arial"/>
                <w:snapToGrid w:val="0"/>
                <w:kern w:val="0"/>
                <w:sz w:val="28"/>
                <w:szCs w:val="28"/>
              </w:rPr>
            </w:pPr>
            <w:r>
              <w:rPr>
                <w:rFonts w:ascii="Times New Roman" w:hAnsi="Times New Roman" w:eastAsia="仿宋_GB2312" w:cs="Arial"/>
                <w:snapToGrid w:val="0"/>
                <w:kern w:val="0"/>
                <w:sz w:val="28"/>
                <w:szCs w:val="28"/>
              </w:rPr>
              <w:t>3</w:t>
            </w:r>
          </w:p>
        </w:tc>
        <w:tc>
          <w:tcPr>
            <w:tcW w:w="1923" w:type="dxa"/>
            <w:vAlign w:val="center"/>
          </w:tcPr>
          <w:p w14:paraId="2763794A">
            <w:pPr>
              <w:snapToGrid w:val="0"/>
              <w:spacing w:line="400" w:lineRule="exact"/>
              <w:jc w:val="center"/>
              <w:textAlignment w:val="baseline"/>
              <w:rPr>
                <w:rFonts w:ascii="Times New Roman" w:hAnsi="Times New Roman" w:eastAsia="仿宋_GB2312" w:cs="Arial"/>
                <w:snapToGrid w:val="0"/>
                <w:kern w:val="0"/>
                <w:sz w:val="28"/>
                <w:szCs w:val="28"/>
                <w:lang w:eastAsia="en-US"/>
              </w:rPr>
            </w:pPr>
            <w:r>
              <w:rPr>
                <w:rFonts w:ascii="Times New Roman" w:hAnsi="Times New Roman" w:eastAsia="仿宋_GB2312" w:cs="Arial"/>
                <w:snapToGrid w:val="0"/>
                <w:kern w:val="0"/>
                <w:sz w:val="28"/>
                <w:szCs w:val="28"/>
                <w:lang w:eastAsia="en-US"/>
              </w:rPr>
              <w:t>特种作业人员持证</w:t>
            </w:r>
          </w:p>
        </w:tc>
        <w:tc>
          <w:tcPr>
            <w:tcW w:w="1813" w:type="dxa"/>
            <w:vAlign w:val="center"/>
          </w:tcPr>
          <w:p w14:paraId="2E30E25A">
            <w:pPr>
              <w:snapToGrid w:val="0"/>
              <w:spacing w:line="400" w:lineRule="exact"/>
              <w:jc w:val="center"/>
              <w:textAlignment w:val="baseline"/>
              <w:rPr>
                <w:rFonts w:ascii="Times New Roman" w:hAnsi="Times New Roman" w:eastAsia="仿宋_GB2312" w:cs="Arial"/>
                <w:snapToGrid w:val="0"/>
                <w:kern w:val="0"/>
                <w:sz w:val="28"/>
                <w:szCs w:val="28"/>
                <w:lang w:eastAsia="en-US"/>
              </w:rPr>
            </w:pPr>
            <w:r>
              <w:rPr>
                <w:rFonts w:ascii="Times New Roman" w:hAnsi="Times New Roman" w:eastAsia="仿宋_GB2312" w:cs="Arial"/>
                <w:snapToGrid w:val="0"/>
                <w:kern w:val="0"/>
                <w:sz w:val="28"/>
                <w:szCs w:val="28"/>
                <w:lang w:eastAsia="en-US"/>
              </w:rPr>
              <w:t>特种作业证</w:t>
            </w:r>
          </w:p>
        </w:tc>
        <w:tc>
          <w:tcPr>
            <w:tcW w:w="3849" w:type="dxa"/>
            <w:gridSpan w:val="2"/>
            <w:vAlign w:val="center"/>
          </w:tcPr>
          <w:p w14:paraId="246861B3">
            <w:pPr>
              <w:snapToGrid w:val="0"/>
              <w:spacing w:line="400" w:lineRule="exact"/>
              <w:textAlignment w:val="baseline"/>
              <w:rPr>
                <w:rFonts w:ascii="Times New Roman" w:hAnsi="Times New Roman" w:eastAsia="仿宋_GB2312" w:cs="Arial"/>
                <w:snapToGrid w:val="0"/>
                <w:kern w:val="0"/>
                <w:sz w:val="24"/>
                <w:lang w:eastAsia="en-US"/>
              </w:rPr>
            </w:pPr>
          </w:p>
        </w:tc>
      </w:tr>
      <w:tr w14:paraId="0695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432" w:type="dxa"/>
            <w:vAlign w:val="center"/>
          </w:tcPr>
          <w:p w14:paraId="5FAB2716">
            <w:pPr>
              <w:snapToGrid w:val="0"/>
              <w:spacing w:line="400" w:lineRule="exact"/>
              <w:jc w:val="center"/>
              <w:textAlignment w:val="baseline"/>
              <w:rPr>
                <w:rFonts w:ascii="Times New Roman" w:hAnsi="Times New Roman" w:eastAsia="仿宋_GB2312" w:cs="Arial"/>
                <w:snapToGrid w:val="0"/>
                <w:kern w:val="0"/>
                <w:sz w:val="28"/>
                <w:szCs w:val="28"/>
              </w:rPr>
            </w:pPr>
            <w:r>
              <w:rPr>
                <w:rFonts w:ascii="Times New Roman" w:hAnsi="Times New Roman" w:eastAsia="仿宋_GB2312" w:cs="Arial"/>
                <w:snapToGrid w:val="0"/>
                <w:kern w:val="0"/>
                <w:sz w:val="28"/>
                <w:szCs w:val="28"/>
              </w:rPr>
              <w:t>···</w:t>
            </w:r>
          </w:p>
        </w:tc>
        <w:tc>
          <w:tcPr>
            <w:tcW w:w="1923" w:type="dxa"/>
            <w:vAlign w:val="center"/>
          </w:tcPr>
          <w:p w14:paraId="44076E21">
            <w:pPr>
              <w:snapToGrid w:val="0"/>
              <w:spacing w:line="400" w:lineRule="exact"/>
              <w:jc w:val="center"/>
              <w:textAlignment w:val="baseline"/>
              <w:rPr>
                <w:rFonts w:ascii="Times New Roman" w:hAnsi="Times New Roman" w:eastAsia="仿宋_GB2312" w:cs="Arial"/>
                <w:snapToGrid w:val="0"/>
                <w:kern w:val="0"/>
                <w:sz w:val="28"/>
                <w:szCs w:val="28"/>
              </w:rPr>
            </w:pPr>
            <w:r>
              <w:rPr>
                <w:rFonts w:ascii="Times New Roman" w:hAnsi="Times New Roman" w:eastAsia="仿宋_GB2312" w:cs="Arial"/>
                <w:snapToGrid w:val="0"/>
                <w:kern w:val="0"/>
                <w:sz w:val="28"/>
                <w:szCs w:val="28"/>
              </w:rPr>
              <w:t>···</w:t>
            </w:r>
          </w:p>
        </w:tc>
        <w:tc>
          <w:tcPr>
            <w:tcW w:w="1813" w:type="dxa"/>
            <w:vAlign w:val="center"/>
          </w:tcPr>
          <w:p w14:paraId="6C18BA7B">
            <w:pPr>
              <w:snapToGrid w:val="0"/>
              <w:spacing w:line="400" w:lineRule="exact"/>
              <w:jc w:val="center"/>
              <w:textAlignment w:val="baseline"/>
              <w:rPr>
                <w:rFonts w:ascii="Times New Roman" w:hAnsi="Times New Roman" w:eastAsia="仿宋_GB2312" w:cs="Arial"/>
                <w:snapToGrid w:val="0"/>
                <w:kern w:val="0"/>
                <w:sz w:val="28"/>
                <w:szCs w:val="28"/>
              </w:rPr>
            </w:pPr>
            <w:r>
              <w:rPr>
                <w:rFonts w:ascii="Times New Roman" w:hAnsi="Times New Roman" w:eastAsia="仿宋_GB2312" w:cs="Arial"/>
                <w:snapToGrid w:val="0"/>
                <w:kern w:val="0"/>
                <w:sz w:val="28"/>
                <w:szCs w:val="28"/>
              </w:rPr>
              <w:t>···</w:t>
            </w:r>
          </w:p>
        </w:tc>
        <w:tc>
          <w:tcPr>
            <w:tcW w:w="3849" w:type="dxa"/>
            <w:gridSpan w:val="2"/>
            <w:vAlign w:val="center"/>
          </w:tcPr>
          <w:p w14:paraId="0BB7005D">
            <w:pPr>
              <w:snapToGrid w:val="0"/>
              <w:spacing w:line="400" w:lineRule="exact"/>
              <w:textAlignment w:val="baseline"/>
              <w:rPr>
                <w:rFonts w:ascii="Times New Roman" w:hAnsi="Times New Roman" w:eastAsia="仿宋_GB2312" w:cs="Arial"/>
                <w:snapToGrid w:val="0"/>
                <w:kern w:val="0"/>
                <w:sz w:val="24"/>
                <w:lang w:eastAsia="en-US"/>
              </w:rPr>
            </w:pPr>
          </w:p>
        </w:tc>
      </w:tr>
      <w:tr w14:paraId="7DC8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432" w:type="dxa"/>
            <w:vAlign w:val="center"/>
          </w:tcPr>
          <w:p w14:paraId="389BF0DF">
            <w:pPr>
              <w:snapToGrid w:val="0"/>
              <w:spacing w:line="400" w:lineRule="exact"/>
              <w:textAlignment w:val="baseline"/>
              <w:rPr>
                <w:rFonts w:ascii="Times New Roman" w:hAnsi="Times New Roman" w:eastAsia="仿宋_GB2312" w:cs="Arial"/>
                <w:snapToGrid w:val="0"/>
                <w:kern w:val="0"/>
                <w:sz w:val="28"/>
                <w:szCs w:val="28"/>
              </w:rPr>
            </w:pPr>
          </w:p>
        </w:tc>
        <w:tc>
          <w:tcPr>
            <w:tcW w:w="1923" w:type="dxa"/>
            <w:vAlign w:val="center"/>
          </w:tcPr>
          <w:p w14:paraId="5174669D">
            <w:pPr>
              <w:snapToGrid w:val="0"/>
              <w:spacing w:line="400" w:lineRule="exact"/>
              <w:textAlignment w:val="baseline"/>
              <w:rPr>
                <w:rFonts w:ascii="Times New Roman" w:hAnsi="Times New Roman" w:eastAsia="仿宋_GB2312" w:cs="Arial"/>
                <w:snapToGrid w:val="0"/>
                <w:kern w:val="0"/>
                <w:sz w:val="28"/>
                <w:szCs w:val="28"/>
              </w:rPr>
            </w:pPr>
          </w:p>
        </w:tc>
        <w:tc>
          <w:tcPr>
            <w:tcW w:w="1813" w:type="dxa"/>
            <w:vAlign w:val="center"/>
          </w:tcPr>
          <w:p w14:paraId="79917970">
            <w:pPr>
              <w:snapToGrid w:val="0"/>
              <w:spacing w:line="400" w:lineRule="exact"/>
              <w:textAlignment w:val="baseline"/>
              <w:rPr>
                <w:rFonts w:ascii="Times New Roman" w:hAnsi="Times New Roman" w:eastAsia="仿宋_GB2312" w:cs="Arial"/>
                <w:snapToGrid w:val="0"/>
                <w:kern w:val="0"/>
                <w:sz w:val="28"/>
                <w:szCs w:val="28"/>
              </w:rPr>
            </w:pPr>
          </w:p>
        </w:tc>
        <w:tc>
          <w:tcPr>
            <w:tcW w:w="3849" w:type="dxa"/>
            <w:gridSpan w:val="2"/>
            <w:vAlign w:val="center"/>
          </w:tcPr>
          <w:p w14:paraId="5CECA6CF">
            <w:pPr>
              <w:snapToGrid w:val="0"/>
              <w:spacing w:line="400" w:lineRule="exact"/>
              <w:textAlignment w:val="baseline"/>
              <w:rPr>
                <w:rFonts w:ascii="Times New Roman" w:hAnsi="Times New Roman" w:eastAsia="仿宋_GB2312" w:cs="Arial"/>
                <w:snapToGrid w:val="0"/>
                <w:kern w:val="0"/>
                <w:sz w:val="24"/>
                <w:lang w:eastAsia="en-US"/>
              </w:rPr>
            </w:pPr>
          </w:p>
        </w:tc>
      </w:tr>
      <w:tr w14:paraId="2AB6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432" w:type="dxa"/>
            <w:vAlign w:val="center"/>
          </w:tcPr>
          <w:p w14:paraId="084E7271">
            <w:pPr>
              <w:snapToGrid w:val="0"/>
              <w:spacing w:line="400" w:lineRule="exact"/>
              <w:textAlignment w:val="baseline"/>
              <w:rPr>
                <w:rFonts w:ascii="Times New Roman" w:hAnsi="Times New Roman" w:eastAsia="仿宋_GB2312" w:cs="Arial"/>
                <w:snapToGrid w:val="0"/>
                <w:kern w:val="0"/>
                <w:sz w:val="28"/>
                <w:szCs w:val="28"/>
              </w:rPr>
            </w:pPr>
          </w:p>
        </w:tc>
        <w:tc>
          <w:tcPr>
            <w:tcW w:w="1923" w:type="dxa"/>
            <w:vAlign w:val="center"/>
          </w:tcPr>
          <w:p w14:paraId="4488FCA4">
            <w:pPr>
              <w:snapToGrid w:val="0"/>
              <w:spacing w:line="400" w:lineRule="exact"/>
              <w:textAlignment w:val="baseline"/>
              <w:rPr>
                <w:rFonts w:ascii="Times New Roman" w:hAnsi="Times New Roman" w:eastAsia="仿宋_GB2312" w:cs="Arial"/>
                <w:snapToGrid w:val="0"/>
                <w:kern w:val="0"/>
                <w:sz w:val="28"/>
                <w:szCs w:val="28"/>
              </w:rPr>
            </w:pPr>
          </w:p>
        </w:tc>
        <w:tc>
          <w:tcPr>
            <w:tcW w:w="1813" w:type="dxa"/>
            <w:vAlign w:val="center"/>
          </w:tcPr>
          <w:p w14:paraId="56510421">
            <w:pPr>
              <w:snapToGrid w:val="0"/>
              <w:spacing w:line="400" w:lineRule="exact"/>
              <w:textAlignment w:val="baseline"/>
              <w:rPr>
                <w:rFonts w:ascii="Times New Roman" w:hAnsi="Times New Roman" w:eastAsia="仿宋_GB2312" w:cs="Arial"/>
                <w:snapToGrid w:val="0"/>
                <w:kern w:val="0"/>
                <w:sz w:val="28"/>
                <w:szCs w:val="28"/>
              </w:rPr>
            </w:pPr>
          </w:p>
        </w:tc>
        <w:tc>
          <w:tcPr>
            <w:tcW w:w="3849" w:type="dxa"/>
            <w:gridSpan w:val="2"/>
            <w:vAlign w:val="center"/>
          </w:tcPr>
          <w:p w14:paraId="7D185D0C">
            <w:pPr>
              <w:snapToGrid w:val="0"/>
              <w:spacing w:line="400" w:lineRule="exact"/>
              <w:textAlignment w:val="baseline"/>
              <w:rPr>
                <w:rFonts w:ascii="Times New Roman" w:hAnsi="Times New Roman" w:eastAsia="仿宋_GB2312" w:cs="Arial"/>
                <w:snapToGrid w:val="0"/>
                <w:kern w:val="0"/>
                <w:sz w:val="24"/>
                <w:lang w:eastAsia="en-US"/>
              </w:rPr>
            </w:pPr>
          </w:p>
        </w:tc>
      </w:tr>
    </w:tbl>
    <w:p w14:paraId="376F7FB0">
      <w:pPr>
        <w:widowControl/>
        <w:snapToGrid w:val="0"/>
        <w:spacing w:line="400" w:lineRule="exact"/>
        <w:ind w:firstLine="560" w:firstLineChars="200"/>
        <w:textAlignment w:val="baseline"/>
        <w:rPr>
          <w:rFonts w:ascii="Times New Roman" w:hAnsi="Times New Roman" w:eastAsia="仿宋_GB2312" w:cs="Arial"/>
          <w:snapToGrid w:val="0"/>
          <w:kern w:val="0"/>
          <w:sz w:val="28"/>
          <w:szCs w:val="28"/>
        </w:rPr>
      </w:pPr>
      <w:r>
        <w:rPr>
          <w:rFonts w:ascii="Times New Roman" w:hAnsi="Times New Roman" w:eastAsia="仿宋_GB2312" w:cs="Arial"/>
          <w:snapToGrid w:val="0"/>
          <w:kern w:val="0"/>
          <w:sz w:val="28"/>
          <w:szCs w:val="28"/>
        </w:rPr>
        <w:t>注：1.审查符合√，不符合写明原因；2.此表一式两份，管委会和发包企业各存一份。</w:t>
      </w:r>
    </w:p>
    <w:p w14:paraId="4B8249D2">
      <w:pPr>
        <w:ind w:firstLine="640"/>
        <w:sectPr>
          <w:footerReference r:id="rId13" w:type="default"/>
          <w:pgSz w:w="11906" w:h="16838"/>
          <w:pgMar w:top="1440" w:right="1800" w:bottom="1440" w:left="1800" w:header="851" w:footer="992" w:gutter="0"/>
          <w:cols w:space="720" w:num="1"/>
          <w:docGrid w:type="lines" w:linePitch="312" w:charSpace="0"/>
        </w:sectPr>
      </w:pPr>
    </w:p>
    <w:p w14:paraId="6056D0AF">
      <w:pPr>
        <w:widowControl/>
        <w:snapToGrid w:val="0"/>
        <w:spacing w:line="600" w:lineRule="exact"/>
        <w:textAlignment w:val="baseline"/>
        <w:rPr>
          <w:rFonts w:ascii="Times New Roman" w:hAnsi="Times New Roman" w:eastAsia="黑体" w:cs="Arial"/>
          <w:snapToGrid w:val="0"/>
          <w:kern w:val="0"/>
          <w:sz w:val="32"/>
          <w:szCs w:val="32"/>
        </w:rPr>
      </w:pPr>
      <w:r>
        <w:rPr>
          <w:rFonts w:ascii="Times New Roman" w:hAnsi="Times New Roman" w:eastAsia="黑体" w:cs="Arial"/>
          <w:snapToGrid w:val="0"/>
          <w:kern w:val="0"/>
          <w:sz w:val="32"/>
          <w:szCs w:val="32"/>
        </w:rPr>
        <w:t>附件3</w:t>
      </w:r>
    </w:p>
    <w:p w14:paraId="7D90A9C7">
      <w:pPr>
        <w:tabs>
          <w:tab w:val="center" w:pos="4153"/>
          <w:tab w:val="right" w:pos="8306"/>
        </w:tabs>
        <w:snapToGrid w:val="0"/>
        <w:spacing w:line="600" w:lineRule="exact"/>
        <w:ind w:firstLine="360" w:firstLineChars="200"/>
        <w:textAlignment w:val="baseline"/>
        <w:rPr>
          <w:rFonts w:ascii="Times New Roman" w:hAnsi="Times New Roman" w:eastAsia="仿宋" w:cs="Arial"/>
          <w:snapToGrid w:val="0"/>
          <w:kern w:val="0"/>
          <w:sz w:val="18"/>
          <w:szCs w:val="21"/>
        </w:rPr>
      </w:pPr>
    </w:p>
    <w:p w14:paraId="31CE4030">
      <w:pPr>
        <w:widowControl/>
        <w:snapToGrid w:val="0"/>
        <w:spacing w:line="560" w:lineRule="exact"/>
        <w:jc w:val="center"/>
        <w:textAlignment w:val="baseline"/>
        <w:rPr>
          <w:rFonts w:ascii="Times New Roman" w:hAnsi="Times New Roman" w:eastAsia="仿宋_GB2312" w:cs="Arial"/>
          <w:snapToGrid w:val="0"/>
          <w:kern w:val="0"/>
          <w:sz w:val="32"/>
          <w:szCs w:val="32"/>
        </w:rPr>
      </w:pPr>
      <w:r>
        <w:rPr>
          <w:rFonts w:ascii="Times New Roman" w:hAnsi="Times New Roman" w:eastAsia="方正小标宋简体" w:cs="Arial"/>
          <w:snapToGrid w:val="0"/>
          <w:kern w:val="0"/>
          <w:sz w:val="44"/>
          <w:szCs w:val="44"/>
        </w:rPr>
        <w:t>承包商报备</w:t>
      </w:r>
    </w:p>
    <w:p w14:paraId="508145E2">
      <w:pPr>
        <w:widowControl/>
        <w:snapToGrid w:val="0"/>
        <w:spacing w:line="560" w:lineRule="exact"/>
        <w:ind w:firstLine="640" w:firstLineChars="200"/>
        <w:textAlignment w:val="baseline"/>
        <w:rPr>
          <w:rFonts w:ascii="Times New Roman" w:hAnsi="Times New Roman" w:eastAsia="仿宋_GB2312" w:cs="Arial"/>
          <w:snapToGrid w:val="0"/>
          <w:kern w:val="0"/>
          <w:sz w:val="32"/>
          <w:szCs w:val="32"/>
        </w:rPr>
      </w:pPr>
    </w:p>
    <w:p w14:paraId="0A62BDC8">
      <w:pPr>
        <w:widowControl/>
        <w:snapToGrid w:val="0"/>
        <w:spacing w:line="560" w:lineRule="exact"/>
        <w:ind w:firstLine="640" w:firstLineChars="200"/>
        <w:textAlignment w:val="baseline"/>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常德经济技术开发区管理委员会：</w:t>
      </w:r>
    </w:p>
    <w:p w14:paraId="09174A7F">
      <w:pPr>
        <w:widowControl/>
        <w:snapToGrid w:val="0"/>
        <w:spacing w:line="560" w:lineRule="exact"/>
        <w:ind w:firstLine="640" w:firstLineChars="200"/>
        <w:textAlignment w:val="baseline"/>
        <w:rPr>
          <w:rFonts w:ascii="Times New Roman" w:hAnsi="Times New Roman" w:eastAsia="仿宋_GB2312" w:cs="Arial"/>
          <w:snapToGrid w:val="0"/>
          <w:kern w:val="0"/>
          <w:sz w:val="32"/>
          <w:szCs w:val="32"/>
          <w:u w:val="single"/>
        </w:rPr>
      </w:pPr>
      <w:r>
        <w:rPr>
          <w:rFonts w:ascii="Times New Roman" w:hAnsi="Times New Roman" w:eastAsia="仿宋_GB2312" w:cs="Arial"/>
          <w:snapToGrid w:val="0"/>
          <w:kern w:val="0"/>
          <w:sz w:val="32"/>
          <w:szCs w:val="32"/>
        </w:rPr>
        <w:t>我公司定于</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年</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月</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日至</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年</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月</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日，由</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有限公司实施</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工程（项目、服务），已于</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年</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月</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日签订</w:t>
      </w:r>
      <w:r>
        <w:rPr>
          <w:rFonts w:ascii="Times New Roman" w:hAnsi="Times New Roman" w:eastAsia="仿宋_GB2312" w:cs="Arial"/>
          <w:snapToGrid w:val="0"/>
          <w:kern w:val="0"/>
          <w:sz w:val="32"/>
          <w:szCs w:val="32"/>
          <w:u w:val="single"/>
        </w:rPr>
        <w:t xml:space="preserve">   </w:t>
      </w:r>
    </w:p>
    <w:p w14:paraId="5D919D63">
      <w:pPr>
        <w:widowControl/>
        <w:snapToGrid w:val="0"/>
        <w:spacing w:line="560" w:lineRule="exact"/>
        <w:ind w:firstLine="640" w:firstLineChars="200"/>
        <w:textAlignment w:val="baseline"/>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合同（安全协议），承包商现场负责人：XX电话：XXX。施工前及其期间我公司将开展安全风险辨识，</w:t>
      </w:r>
      <w:r>
        <w:rPr>
          <w:rFonts w:hint="eastAsia" w:ascii="Times New Roman" w:hAnsi="Times New Roman" w:eastAsia="仿宋_GB2312" w:cs="Arial"/>
          <w:snapToGrid w:val="0"/>
          <w:kern w:val="0"/>
          <w:sz w:val="32"/>
          <w:szCs w:val="32"/>
        </w:rPr>
        <w:t>制定</w:t>
      </w:r>
      <w:r>
        <w:rPr>
          <w:rFonts w:ascii="Times New Roman" w:hAnsi="Times New Roman" w:eastAsia="仿宋_GB2312" w:cs="Arial"/>
          <w:snapToGrid w:val="0"/>
          <w:kern w:val="0"/>
          <w:sz w:val="32"/>
          <w:szCs w:val="32"/>
        </w:rPr>
        <w:t>相应的安全防范措施，加强现场安全管理，落实危险性作业的安全要求，履行好企业主体责任，坚决守好安全生产底线。</w:t>
      </w:r>
    </w:p>
    <w:p w14:paraId="364FC219">
      <w:pPr>
        <w:widowControl/>
        <w:snapToGrid w:val="0"/>
        <w:spacing w:line="560" w:lineRule="exact"/>
        <w:ind w:firstLine="640" w:firstLineChars="200"/>
        <w:textAlignment w:val="baseline"/>
        <w:rPr>
          <w:rFonts w:ascii="Times New Roman" w:hAnsi="Times New Roman" w:eastAsia="仿宋_GB2312" w:cs="Arial"/>
          <w:snapToGrid w:val="0"/>
          <w:kern w:val="0"/>
          <w:sz w:val="32"/>
          <w:szCs w:val="32"/>
        </w:rPr>
      </w:pPr>
      <w:r>
        <w:rPr>
          <w:rFonts w:ascii="Times New Roman" w:hAnsi="Times New Roman" w:eastAsia="仿宋_GB2312" w:cs="Arial"/>
          <w:snapToGrid w:val="0"/>
          <w:kern w:val="0"/>
          <w:sz w:val="32"/>
          <w:szCs w:val="32"/>
        </w:rPr>
        <w:t xml:space="preserve">    现提前</w:t>
      </w:r>
      <w:r>
        <w:rPr>
          <w:rFonts w:ascii="Times New Roman" w:hAnsi="Times New Roman" w:eastAsia="仿宋_GB2312" w:cs="Arial"/>
          <w:snapToGrid w:val="0"/>
          <w:kern w:val="0"/>
          <w:sz w:val="32"/>
          <w:szCs w:val="32"/>
          <w:u w:val="single"/>
        </w:rPr>
        <w:t xml:space="preserve">      </w:t>
      </w:r>
      <w:r>
        <w:rPr>
          <w:rFonts w:ascii="Times New Roman" w:hAnsi="Times New Roman" w:eastAsia="仿宋_GB2312" w:cs="Arial"/>
          <w:snapToGrid w:val="0"/>
          <w:kern w:val="0"/>
          <w:sz w:val="32"/>
          <w:szCs w:val="32"/>
        </w:rPr>
        <w:t xml:space="preserve">天特此报备。 </w:t>
      </w:r>
    </w:p>
    <w:p w14:paraId="2CD5F879">
      <w:pPr>
        <w:widowControl/>
        <w:snapToGrid w:val="0"/>
        <w:spacing w:line="560" w:lineRule="exact"/>
        <w:ind w:firstLine="640" w:firstLineChars="200"/>
        <w:textAlignment w:val="baseline"/>
        <w:rPr>
          <w:rFonts w:ascii="Times New Roman" w:hAnsi="Times New Roman" w:eastAsia="仿宋_GB2312" w:cs="Arial"/>
          <w:snapToGrid w:val="0"/>
          <w:kern w:val="0"/>
          <w:sz w:val="32"/>
          <w:szCs w:val="32"/>
        </w:rPr>
      </w:pPr>
    </w:p>
    <w:p w14:paraId="27AA070F">
      <w:pPr>
        <w:widowControl/>
        <w:snapToGrid w:val="0"/>
        <w:spacing w:line="560" w:lineRule="exact"/>
        <w:ind w:firstLine="640" w:firstLineChars="200"/>
        <w:textAlignment w:val="baseline"/>
        <w:rPr>
          <w:rFonts w:ascii="Times New Roman" w:hAnsi="Times New Roman" w:eastAsia="仿宋_GB2312" w:cs="Arial"/>
          <w:bCs/>
          <w:snapToGrid w:val="0"/>
          <w:kern w:val="0"/>
          <w:sz w:val="32"/>
          <w:szCs w:val="32"/>
        </w:rPr>
      </w:pPr>
      <w:r>
        <w:rPr>
          <w:rFonts w:ascii="Times New Roman" w:hAnsi="Times New Roman" w:eastAsia="仿宋_GB2312" w:cs="Arial"/>
          <w:snapToGrid w:val="0"/>
          <w:kern w:val="0"/>
          <w:sz w:val="32"/>
          <w:szCs w:val="32"/>
        </w:rPr>
        <w:t>附件：</w:t>
      </w:r>
      <w:r>
        <w:rPr>
          <w:rFonts w:ascii="Times New Roman" w:hAnsi="Times New Roman" w:eastAsia="仿宋_GB2312" w:cs="Arial"/>
          <w:bCs/>
          <w:snapToGrid w:val="0"/>
          <w:kern w:val="0"/>
          <w:sz w:val="32"/>
          <w:szCs w:val="32"/>
        </w:rPr>
        <w:t>1.安全管理协议/维护保养合同/环境监测技术服务合同/危险废物无害化处置技术服务合同等；</w:t>
      </w:r>
    </w:p>
    <w:p w14:paraId="40DDA0C4">
      <w:pPr>
        <w:widowControl/>
        <w:snapToGrid w:val="0"/>
        <w:spacing w:line="560" w:lineRule="exact"/>
        <w:ind w:firstLine="640" w:firstLineChars="200"/>
        <w:textAlignment w:val="baseline"/>
        <w:rPr>
          <w:rFonts w:ascii="Times New Roman" w:hAnsi="Times New Roman" w:eastAsia="仿宋_GB2312" w:cs="Arial"/>
          <w:bCs/>
          <w:snapToGrid w:val="0"/>
          <w:kern w:val="0"/>
          <w:sz w:val="32"/>
          <w:szCs w:val="32"/>
        </w:rPr>
      </w:pPr>
      <w:r>
        <w:rPr>
          <w:rFonts w:ascii="Times New Roman" w:hAnsi="Times New Roman" w:eastAsia="仿宋_GB2312" w:cs="Arial"/>
          <w:bCs/>
          <w:snapToGrid w:val="0"/>
          <w:kern w:val="0"/>
          <w:sz w:val="32"/>
          <w:szCs w:val="32"/>
        </w:rPr>
        <w:t>2.特种作业人员资格证书；</w:t>
      </w:r>
    </w:p>
    <w:p w14:paraId="116D62A3">
      <w:pPr>
        <w:widowControl/>
        <w:snapToGrid w:val="0"/>
        <w:spacing w:line="560" w:lineRule="exact"/>
        <w:ind w:firstLine="640" w:firstLineChars="200"/>
        <w:textAlignment w:val="baseline"/>
        <w:rPr>
          <w:rFonts w:ascii="Times New Roman" w:hAnsi="Times New Roman" w:eastAsia="仿宋_GB2312" w:cs="Arial"/>
          <w:bCs/>
          <w:snapToGrid w:val="0"/>
          <w:kern w:val="0"/>
          <w:sz w:val="32"/>
          <w:szCs w:val="32"/>
        </w:rPr>
      </w:pPr>
      <w:r>
        <w:rPr>
          <w:rFonts w:ascii="Times New Roman" w:hAnsi="Times New Roman" w:eastAsia="仿宋_GB2312" w:cs="Arial"/>
          <w:bCs/>
          <w:snapToGrid w:val="0"/>
          <w:kern w:val="0"/>
          <w:sz w:val="32"/>
          <w:szCs w:val="32"/>
        </w:rPr>
        <w:t>3.作业人员培训记录、劳动防护用品发放登记记录；</w:t>
      </w:r>
    </w:p>
    <w:p w14:paraId="2C6DBC1E">
      <w:pPr>
        <w:widowControl/>
        <w:snapToGrid w:val="0"/>
        <w:spacing w:line="560" w:lineRule="exact"/>
        <w:ind w:firstLine="640" w:firstLineChars="200"/>
        <w:textAlignment w:val="baseline"/>
        <w:rPr>
          <w:rFonts w:ascii="Times New Roman" w:hAnsi="Times New Roman" w:eastAsia="仿宋_GB2312" w:cs="Arial"/>
          <w:bCs/>
          <w:snapToGrid w:val="0"/>
          <w:kern w:val="0"/>
          <w:sz w:val="32"/>
          <w:szCs w:val="32"/>
        </w:rPr>
      </w:pPr>
      <w:r>
        <w:rPr>
          <w:rFonts w:ascii="Times New Roman" w:hAnsi="Times New Roman" w:eastAsia="仿宋_GB2312" w:cs="Arial"/>
          <w:bCs/>
          <w:snapToGrid w:val="0"/>
          <w:kern w:val="0"/>
          <w:sz w:val="32"/>
          <w:szCs w:val="32"/>
        </w:rPr>
        <w:t>4.安全施工方案以及各项突发事件应急预案；</w:t>
      </w:r>
    </w:p>
    <w:p w14:paraId="08D68785">
      <w:pPr>
        <w:widowControl/>
        <w:snapToGrid w:val="0"/>
        <w:spacing w:line="560" w:lineRule="exact"/>
        <w:ind w:firstLine="640" w:firstLineChars="200"/>
        <w:textAlignment w:val="baseline"/>
        <w:rPr>
          <w:rFonts w:ascii="Times New Roman" w:hAnsi="Times New Roman" w:eastAsia="仿宋_GB2312" w:cs="Arial"/>
          <w:bCs/>
          <w:snapToGrid w:val="0"/>
          <w:kern w:val="0"/>
          <w:sz w:val="32"/>
          <w:szCs w:val="32"/>
        </w:rPr>
      </w:pPr>
      <w:r>
        <w:rPr>
          <w:rFonts w:ascii="Times New Roman" w:hAnsi="Times New Roman" w:eastAsia="仿宋_GB2312" w:cs="Arial"/>
          <w:bCs/>
          <w:snapToGrid w:val="0"/>
          <w:kern w:val="0"/>
          <w:sz w:val="32"/>
          <w:szCs w:val="32"/>
        </w:rPr>
        <w:t>5.……</w:t>
      </w:r>
    </w:p>
    <w:p w14:paraId="2919AAC5">
      <w:pPr>
        <w:widowControl/>
        <w:snapToGrid w:val="0"/>
        <w:spacing w:line="560" w:lineRule="exact"/>
        <w:ind w:left="4160" w:hanging="4160" w:hangingChars="1300"/>
        <w:textAlignment w:val="baseline"/>
        <w:rPr>
          <w:rFonts w:ascii="Times New Roman" w:hAnsi="Times New Roman" w:eastAsia="仿宋" w:cs="Arial"/>
          <w:snapToGrid w:val="0"/>
          <w:kern w:val="0"/>
          <w:sz w:val="32"/>
          <w:szCs w:val="21"/>
        </w:rPr>
      </w:pPr>
      <w:r>
        <w:rPr>
          <w:rFonts w:ascii="Times New Roman" w:hAnsi="Times New Roman" w:eastAsia="仿宋_GB2312" w:cs="Arial"/>
          <w:bCs/>
          <w:snapToGrid w:val="0"/>
          <w:kern w:val="0"/>
          <w:sz w:val="32"/>
          <w:szCs w:val="32"/>
        </w:rPr>
        <w:t xml:space="preserve">                       XXXXXX有限公司（盖章）                      XX年 XX月XX 日</w:t>
      </w:r>
    </w:p>
    <w:p w14:paraId="58B91CE9">
      <w:pPr>
        <w:spacing w:line="560" w:lineRule="exact"/>
        <w:ind w:firstLine="640" w:firstLineChars="200"/>
        <w:rPr>
          <w:rFonts w:ascii="Times New Roman" w:hAnsi="Times New Roman" w:eastAsia="仿宋_GB2312" w:cs="Arial"/>
          <w:bCs/>
          <w:snapToGrid w:val="0"/>
          <w:kern w:val="0"/>
          <w:sz w:val="32"/>
          <w:szCs w:val="32"/>
        </w:rPr>
      </w:pPr>
      <w:r>
        <w:rPr>
          <w:rFonts w:ascii="Times New Roman" w:hAnsi="Times New Roman" w:eastAsia="仿宋_GB2312" w:cs="Arial"/>
          <w:bCs/>
          <w:snapToGrid w:val="0"/>
          <w:kern w:val="0"/>
          <w:sz w:val="32"/>
          <w:szCs w:val="32"/>
        </w:rPr>
        <w:t>（联系人：XX；联系电话：XXXXXX）</w:t>
      </w:r>
    </w:p>
    <w:p w14:paraId="5096EC36">
      <w:pPr>
        <w:widowControl/>
        <w:snapToGrid w:val="0"/>
        <w:spacing w:line="600" w:lineRule="exact"/>
        <w:textAlignment w:val="baseline"/>
        <w:rPr>
          <w:rFonts w:ascii="Times New Roman" w:hAnsi="Times New Roman" w:eastAsia="黑体" w:cs="Arial"/>
          <w:snapToGrid w:val="0"/>
          <w:kern w:val="0"/>
          <w:sz w:val="32"/>
          <w:szCs w:val="32"/>
        </w:rPr>
      </w:pPr>
      <w:r>
        <w:rPr>
          <w:rFonts w:ascii="Times New Roman" w:hAnsi="Times New Roman" w:eastAsia="黑体" w:cs="Arial"/>
          <w:snapToGrid w:val="0"/>
          <w:kern w:val="0"/>
          <w:sz w:val="32"/>
          <w:szCs w:val="32"/>
        </w:rPr>
        <w:t>附件4</w:t>
      </w:r>
    </w:p>
    <w:p w14:paraId="48F0BE17">
      <w:pPr>
        <w:widowControl/>
        <w:snapToGrid w:val="0"/>
        <w:spacing w:line="560" w:lineRule="exact"/>
        <w:jc w:val="center"/>
        <w:textAlignment w:val="baseline"/>
        <w:rPr>
          <w:rFonts w:ascii="Times New Roman" w:hAnsi="Times New Roman" w:eastAsia="方正小标宋简体" w:cs="Arial"/>
          <w:snapToGrid w:val="0"/>
          <w:kern w:val="0"/>
          <w:sz w:val="44"/>
          <w:szCs w:val="44"/>
        </w:rPr>
      </w:pPr>
      <w:r>
        <w:rPr>
          <w:rFonts w:ascii="Times New Roman" w:hAnsi="Times New Roman" w:eastAsia="方正小标宋简体" w:cs="Arial"/>
          <w:snapToGrid w:val="0"/>
          <w:kern w:val="0"/>
          <w:sz w:val="44"/>
          <w:szCs w:val="44"/>
        </w:rPr>
        <w:t>承包商考核表</w:t>
      </w:r>
    </w:p>
    <w:p w14:paraId="56B95677">
      <w:pPr>
        <w:tabs>
          <w:tab w:val="center" w:pos="4153"/>
          <w:tab w:val="right" w:pos="8306"/>
        </w:tabs>
        <w:snapToGrid w:val="0"/>
        <w:spacing w:line="600" w:lineRule="exact"/>
        <w:jc w:val="center"/>
        <w:textAlignment w:val="baseline"/>
        <w:rPr>
          <w:rFonts w:ascii="Times New Roman" w:hAnsi="Times New Roman" w:eastAsia="楷体" w:cs="Arial"/>
          <w:snapToGrid w:val="0"/>
          <w:kern w:val="0"/>
          <w:sz w:val="32"/>
          <w:szCs w:val="32"/>
        </w:rPr>
      </w:pPr>
      <w:r>
        <w:rPr>
          <w:rFonts w:ascii="Times New Roman" w:hAnsi="Times New Roman" w:eastAsia="楷体" w:cs="Arial"/>
          <w:snapToGrid w:val="0"/>
          <w:kern w:val="0"/>
          <w:sz w:val="32"/>
          <w:szCs w:val="32"/>
        </w:rPr>
        <w:t>（参考模板）</w:t>
      </w:r>
    </w:p>
    <w:p w14:paraId="1F36F277">
      <w:pPr>
        <w:widowControl/>
        <w:snapToGrid w:val="0"/>
        <w:spacing w:line="600" w:lineRule="exact"/>
        <w:ind w:firstLine="640" w:firstLineChars="200"/>
        <w:jc w:val="center"/>
        <w:textAlignment w:val="baseline"/>
        <w:rPr>
          <w:rFonts w:ascii="Times New Roman" w:hAnsi="Times New Roman" w:eastAsia="仿宋" w:cs="Arial"/>
          <w:snapToGrid w:val="0"/>
          <w:kern w:val="0"/>
          <w:sz w:val="32"/>
          <w:szCs w:val="21"/>
        </w:rPr>
      </w:pPr>
    </w:p>
    <w:p w14:paraId="1A0093E7">
      <w:pPr>
        <w:widowControl/>
        <w:snapToGrid w:val="0"/>
        <w:spacing w:line="600" w:lineRule="exact"/>
        <w:textAlignment w:val="baseline"/>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承包商名称：                 考核日期：</w:t>
      </w:r>
      <w:r>
        <w:rPr>
          <w:rFonts w:ascii="Times New Roman" w:hAnsi="Times New Roman" w:eastAsia="仿宋_GB2312" w:cs="Arial"/>
          <w:snapToGrid w:val="0"/>
          <w:kern w:val="0"/>
          <w:sz w:val="32"/>
          <w:szCs w:val="32"/>
        </w:rPr>
        <w:t xml:space="preserve">  年   月   日</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570"/>
        <w:gridCol w:w="958"/>
        <w:gridCol w:w="1611"/>
        <w:gridCol w:w="2461"/>
        <w:gridCol w:w="1032"/>
      </w:tblGrid>
      <w:tr w14:paraId="78FE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90" w:type="dxa"/>
            <w:vAlign w:val="center"/>
          </w:tcPr>
          <w:p w14:paraId="2336C223">
            <w:pPr>
              <w:snapToGrid w:val="0"/>
              <w:spacing w:line="400" w:lineRule="exact"/>
              <w:jc w:val="center"/>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序号</w:t>
            </w:r>
          </w:p>
        </w:tc>
        <w:tc>
          <w:tcPr>
            <w:tcW w:w="4139" w:type="dxa"/>
            <w:gridSpan w:val="3"/>
            <w:vAlign w:val="center"/>
          </w:tcPr>
          <w:p w14:paraId="06C27B8E">
            <w:pPr>
              <w:snapToGrid w:val="0"/>
              <w:spacing w:line="400" w:lineRule="exact"/>
              <w:jc w:val="center"/>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考核内容</w:t>
            </w:r>
          </w:p>
        </w:tc>
        <w:tc>
          <w:tcPr>
            <w:tcW w:w="2461" w:type="dxa"/>
            <w:vAlign w:val="center"/>
          </w:tcPr>
          <w:p w14:paraId="6E0AAAF5">
            <w:pPr>
              <w:snapToGrid w:val="0"/>
              <w:spacing w:line="400" w:lineRule="exact"/>
              <w:jc w:val="center"/>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考核情况</w:t>
            </w:r>
          </w:p>
        </w:tc>
        <w:tc>
          <w:tcPr>
            <w:tcW w:w="1032" w:type="dxa"/>
            <w:vAlign w:val="center"/>
          </w:tcPr>
          <w:p w14:paraId="2A4D77EF">
            <w:pPr>
              <w:snapToGrid w:val="0"/>
              <w:spacing w:line="400" w:lineRule="exact"/>
              <w:jc w:val="center"/>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备注</w:t>
            </w:r>
          </w:p>
        </w:tc>
      </w:tr>
      <w:tr w14:paraId="5F6C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90" w:type="dxa"/>
            <w:vAlign w:val="center"/>
          </w:tcPr>
          <w:p w14:paraId="64089016">
            <w:pPr>
              <w:snapToGrid w:val="0"/>
              <w:spacing w:line="400" w:lineRule="exact"/>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1</w:t>
            </w:r>
          </w:p>
        </w:tc>
        <w:tc>
          <w:tcPr>
            <w:tcW w:w="4139" w:type="dxa"/>
            <w:gridSpan w:val="3"/>
            <w:vAlign w:val="center"/>
          </w:tcPr>
          <w:p w14:paraId="378C821F">
            <w:pPr>
              <w:snapToGrid w:val="0"/>
              <w:spacing w:line="400" w:lineRule="exact"/>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安全资质情况</w:t>
            </w:r>
          </w:p>
        </w:tc>
        <w:tc>
          <w:tcPr>
            <w:tcW w:w="2461" w:type="dxa"/>
            <w:vAlign w:val="center"/>
          </w:tcPr>
          <w:p w14:paraId="2468A8D8">
            <w:pPr>
              <w:snapToGrid w:val="0"/>
              <w:spacing w:line="400" w:lineRule="exact"/>
              <w:textAlignment w:val="baseline"/>
              <w:rPr>
                <w:rFonts w:ascii="Times New Roman" w:hAnsi="Times New Roman" w:eastAsia="仿宋" w:cs="Arial"/>
                <w:snapToGrid w:val="0"/>
                <w:kern w:val="0"/>
                <w:sz w:val="32"/>
                <w:szCs w:val="32"/>
                <w:lang w:eastAsia="en-US"/>
              </w:rPr>
            </w:pPr>
          </w:p>
        </w:tc>
        <w:tc>
          <w:tcPr>
            <w:tcW w:w="1032" w:type="dxa"/>
            <w:vAlign w:val="center"/>
          </w:tcPr>
          <w:p w14:paraId="5E22282E">
            <w:pPr>
              <w:snapToGrid w:val="0"/>
              <w:spacing w:line="400" w:lineRule="exact"/>
              <w:textAlignment w:val="baseline"/>
              <w:rPr>
                <w:rFonts w:ascii="Times New Roman" w:hAnsi="Times New Roman" w:eastAsia="仿宋" w:cs="Arial"/>
                <w:snapToGrid w:val="0"/>
                <w:kern w:val="0"/>
                <w:sz w:val="32"/>
                <w:szCs w:val="32"/>
                <w:lang w:eastAsia="en-US"/>
              </w:rPr>
            </w:pPr>
          </w:p>
        </w:tc>
      </w:tr>
      <w:tr w14:paraId="3E5F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90" w:type="dxa"/>
            <w:vAlign w:val="center"/>
          </w:tcPr>
          <w:p w14:paraId="59932D1B">
            <w:pPr>
              <w:snapToGrid w:val="0"/>
              <w:spacing w:line="400" w:lineRule="exact"/>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2</w:t>
            </w:r>
          </w:p>
        </w:tc>
        <w:tc>
          <w:tcPr>
            <w:tcW w:w="4139" w:type="dxa"/>
            <w:gridSpan w:val="3"/>
            <w:vAlign w:val="center"/>
          </w:tcPr>
          <w:p w14:paraId="7E3653D9">
            <w:pPr>
              <w:widowControl/>
              <w:shd w:val="clear" w:color="auto" w:fill="FFFFFF"/>
              <w:snapToGrid w:val="0"/>
              <w:spacing w:before="100" w:beforeAutospacing="1" w:after="100" w:afterAutospacing="1" w:line="525" w:lineRule="atLeast"/>
              <w:textAlignment w:val="baseline"/>
              <w:rPr>
                <w:rFonts w:ascii="Times New Roman" w:hAnsi="Times New Roman" w:eastAsia="仿宋" w:cs="Times New Roman"/>
                <w:snapToGrid w:val="0"/>
                <w:kern w:val="0"/>
                <w:sz w:val="32"/>
                <w:szCs w:val="32"/>
              </w:rPr>
            </w:pPr>
            <w:r>
              <w:rPr>
                <w:rFonts w:ascii="Times New Roman" w:hAnsi="Times New Roman" w:eastAsia="仿宋" w:cs="Times New Roman"/>
                <w:snapToGrid w:val="0"/>
                <w:kern w:val="0"/>
                <w:sz w:val="32"/>
                <w:szCs w:val="32"/>
              </w:rPr>
              <w:t>签订安全生产管理协议情况</w:t>
            </w:r>
          </w:p>
        </w:tc>
        <w:tc>
          <w:tcPr>
            <w:tcW w:w="2461" w:type="dxa"/>
            <w:vAlign w:val="center"/>
          </w:tcPr>
          <w:p w14:paraId="053BB362">
            <w:pPr>
              <w:snapToGrid w:val="0"/>
              <w:spacing w:line="400" w:lineRule="exact"/>
              <w:textAlignment w:val="baseline"/>
              <w:rPr>
                <w:rFonts w:ascii="Times New Roman" w:hAnsi="Times New Roman" w:eastAsia="仿宋" w:cs="Arial"/>
                <w:snapToGrid w:val="0"/>
                <w:kern w:val="0"/>
                <w:sz w:val="32"/>
                <w:szCs w:val="32"/>
              </w:rPr>
            </w:pPr>
          </w:p>
        </w:tc>
        <w:tc>
          <w:tcPr>
            <w:tcW w:w="1032" w:type="dxa"/>
            <w:vAlign w:val="center"/>
          </w:tcPr>
          <w:p w14:paraId="5E5D5A57">
            <w:pPr>
              <w:snapToGrid w:val="0"/>
              <w:spacing w:line="400" w:lineRule="exact"/>
              <w:textAlignment w:val="baseline"/>
              <w:rPr>
                <w:rFonts w:ascii="Times New Roman" w:hAnsi="Times New Roman" w:eastAsia="仿宋" w:cs="Arial"/>
                <w:snapToGrid w:val="0"/>
                <w:kern w:val="0"/>
                <w:sz w:val="32"/>
                <w:szCs w:val="32"/>
              </w:rPr>
            </w:pPr>
          </w:p>
        </w:tc>
      </w:tr>
      <w:tr w14:paraId="3B0D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rPr>
        <w:tc>
          <w:tcPr>
            <w:tcW w:w="890" w:type="dxa"/>
            <w:vAlign w:val="center"/>
          </w:tcPr>
          <w:p w14:paraId="77A6BD89">
            <w:pPr>
              <w:snapToGrid w:val="0"/>
              <w:spacing w:line="400" w:lineRule="exact"/>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3</w:t>
            </w:r>
          </w:p>
        </w:tc>
        <w:tc>
          <w:tcPr>
            <w:tcW w:w="4139" w:type="dxa"/>
            <w:gridSpan w:val="3"/>
            <w:vAlign w:val="center"/>
          </w:tcPr>
          <w:p w14:paraId="52C22369">
            <w:pPr>
              <w:snapToGrid w:val="0"/>
              <w:spacing w:line="400" w:lineRule="exact"/>
              <w:textAlignment w:val="baseline"/>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发生生产安全事故情况</w:t>
            </w:r>
          </w:p>
        </w:tc>
        <w:tc>
          <w:tcPr>
            <w:tcW w:w="2461" w:type="dxa"/>
            <w:vAlign w:val="center"/>
          </w:tcPr>
          <w:p w14:paraId="7CD549AF">
            <w:pPr>
              <w:snapToGrid w:val="0"/>
              <w:spacing w:line="400" w:lineRule="exact"/>
              <w:textAlignment w:val="baseline"/>
              <w:rPr>
                <w:rFonts w:ascii="Times New Roman" w:hAnsi="Times New Roman" w:eastAsia="仿宋" w:cs="Arial"/>
                <w:snapToGrid w:val="0"/>
                <w:kern w:val="0"/>
                <w:sz w:val="32"/>
                <w:szCs w:val="32"/>
              </w:rPr>
            </w:pPr>
          </w:p>
        </w:tc>
        <w:tc>
          <w:tcPr>
            <w:tcW w:w="1032" w:type="dxa"/>
            <w:vAlign w:val="center"/>
          </w:tcPr>
          <w:p w14:paraId="1D78B6E9">
            <w:pPr>
              <w:snapToGrid w:val="0"/>
              <w:spacing w:line="400" w:lineRule="exact"/>
              <w:textAlignment w:val="baseline"/>
              <w:rPr>
                <w:rFonts w:ascii="Times New Roman" w:hAnsi="Times New Roman" w:eastAsia="仿宋" w:cs="Arial"/>
                <w:snapToGrid w:val="0"/>
                <w:kern w:val="0"/>
                <w:sz w:val="32"/>
                <w:szCs w:val="32"/>
              </w:rPr>
            </w:pPr>
          </w:p>
        </w:tc>
      </w:tr>
      <w:tr w14:paraId="6E4C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90" w:type="dxa"/>
            <w:vAlign w:val="center"/>
          </w:tcPr>
          <w:p w14:paraId="1D189358">
            <w:pPr>
              <w:snapToGrid w:val="0"/>
              <w:spacing w:line="400" w:lineRule="exact"/>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4</w:t>
            </w:r>
          </w:p>
        </w:tc>
        <w:tc>
          <w:tcPr>
            <w:tcW w:w="4139" w:type="dxa"/>
            <w:gridSpan w:val="3"/>
            <w:vAlign w:val="center"/>
          </w:tcPr>
          <w:p w14:paraId="52D95BFA">
            <w:pPr>
              <w:snapToGrid w:val="0"/>
              <w:spacing w:line="400" w:lineRule="exact"/>
              <w:textAlignment w:val="baseline"/>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事故隐患及整改落实情况</w:t>
            </w:r>
          </w:p>
        </w:tc>
        <w:tc>
          <w:tcPr>
            <w:tcW w:w="2461" w:type="dxa"/>
            <w:vAlign w:val="center"/>
          </w:tcPr>
          <w:p w14:paraId="77AA6AD2">
            <w:pPr>
              <w:snapToGrid w:val="0"/>
              <w:spacing w:line="400" w:lineRule="exact"/>
              <w:textAlignment w:val="baseline"/>
              <w:rPr>
                <w:rFonts w:ascii="Times New Roman" w:hAnsi="Times New Roman" w:eastAsia="仿宋" w:cs="Arial"/>
                <w:snapToGrid w:val="0"/>
                <w:kern w:val="0"/>
                <w:sz w:val="32"/>
                <w:szCs w:val="32"/>
              </w:rPr>
            </w:pPr>
          </w:p>
        </w:tc>
        <w:tc>
          <w:tcPr>
            <w:tcW w:w="1032" w:type="dxa"/>
            <w:vAlign w:val="center"/>
          </w:tcPr>
          <w:p w14:paraId="5FD0F4CC">
            <w:pPr>
              <w:snapToGrid w:val="0"/>
              <w:spacing w:line="400" w:lineRule="exact"/>
              <w:textAlignment w:val="baseline"/>
              <w:rPr>
                <w:rFonts w:ascii="Times New Roman" w:hAnsi="Times New Roman" w:eastAsia="仿宋" w:cs="Arial"/>
                <w:snapToGrid w:val="0"/>
                <w:kern w:val="0"/>
                <w:sz w:val="32"/>
                <w:szCs w:val="32"/>
              </w:rPr>
            </w:pPr>
          </w:p>
        </w:tc>
      </w:tr>
      <w:tr w14:paraId="1154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90" w:type="dxa"/>
            <w:vAlign w:val="center"/>
          </w:tcPr>
          <w:p w14:paraId="76F5AFFB">
            <w:pPr>
              <w:snapToGrid w:val="0"/>
              <w:spacing w:line="400" w:lineRule="exact"/>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5</w:t>
            </w:r>
          </w:p>
        </w:tc>
        <w:tc>
          <w:tcPr>
            <w:tcW w:w="4139" w:type="dxa"/>
            <w:gridSpan w:val="3"/>
            <w:vAlign w:val="center"/>
          </w:tcPr>
          <w:p w14:paraId="4A6D2AB1">
            <w:pPr>
              <w:snapToGrid w:val="0"/>
              <w:spacing w:line="400" w:lineRule="exact"/>
              <w:textAlignment w:val="baseline"/>
              <w:rPr>
                <w:rFonts w:ascii="Times New Roman" w:hAnsi="Times New Roman" w:eastAsia="仿宋" w:cs="Arial"/>
                <w:snapToGrid w:val="0"/>
                <w:kern w:val="0"/>
                <w:sz w:val="32"/>
                <w:szCs w:val="32"/>
                <w:shd w:val="clear" w:color="auto" w:fill="FFFFFF"/>
              </w:rPr>
            </w:pPr>
            <w:r>
              <w:rPr>
                <w:rFonts w:ascii="Times New Roman" w:hAnsi="Times New Roman" w:eastAsia="仿宋" w:cs="Arial"/>
                <w:snapToGrid w:val="0"/>
                <w:kern w:val="0"/>
                <w:sz w:val="32"/>
                <w:szCs w:val="32"/>
                <w:shd w:val="clear" w:color="auto" w:fill="FFFFFF"/>
              </w:rPr>
              <w:t>被应急管理部门或上级监管部门行政处罚情况</w:t>
            </w:r>
          </w:p>
        </w:tc>
        <w:tc>
          <w:tcPr>
            <w:tcW w:w="2461" w:type="dxa"/>
            <w:vAlign w:val="center"/>
          </w:tcPr>
          <w:p w14:paraId="590BA18A">
            <w:pPr>
              <w:snapToGrid w:val="0"/>
              <w:spacing w:line="400" w:lineRule="exact"/>
              <w:textAlignment w:val="baseline"/>
              <w:rPr>
                <w:rFonts w:ascii="Times New Roman" w:hAnsi="Times New Roman" w:eastAsia="仿宋" w:cs="Arial"/>
                <w:snapToGrid w:val="0"/>
                <w:kern w:val="0"/>
                <w:sz w:val="32"/>
                <w:szCs w:val="32"/>
              </w:rPr>
            </w:pPr>
          </w:p>
        </w:tc>
        <w:tc>
          <w:tcPr>
            <w:tcW w:w="1032" w:type="dxa"/>
            <w:vAlign w:val="center"/>
          </w:tcPr>
          <w:p w14:paraId="2E4111C9">
            <w:pPr>
              <w:snapToGrid w:val="0"/>
              <w:spacing w:line="400" w:lineRule="exact"/>
              <w:textAlignment w:val="baseline"/>
              <w:rPr>
                <w:rFonts w:ascii="Times New Roman" w:hAnsi="Times New Roman" w:eastAsia="仿宋" w:cs="Arial"/>
                <w:snapToGrid w:val="0"/>
                <w:kern w:val="0"/>
                <w:sz w:val="32"/>
                <w:szCs w:val="32"/>
              </w:rPr>
            </w:pPr>
          </w:p>
        </w:tc>
      </w:tr>
      <w:tr w14:paraId="3C70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90" w:type="dxa"/>
            <w:vAlign w:val="center"/>
          </w:tcPr>
          <w:p w14:paraId="635D04AE">
            <w:pPr>
              <w:snapToGrid w:val="0"/>
              <w:spacing w:line="400" w:lineRule="exact"/>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6</w:t>
            </w:r>
          </w:p>
        </w:tc>
        <w:tc>
          <w:tcPr>
            <w:tcW w:w="4139" w:type="dxa"/>
            <w:gridSpan w:val="3"/>
            <w:vAlign w:val="center"/>
          </w:tcPr>
          <w:p w14:paraId="02896F24">
            <w:pPr>
              <w:snapToGrid w:val="0"/>
              <w:spacing w:line="400" w:lineRule="exact"/>
              <w:textAlignment w:val="baseline"/>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采取隐蔽、欺骗或阻碍等方式逃避、对抗上级部门监管情况</w:t>
            </w:r>
          </w:p>
        </w:tc>
        <w:tc>
          <w:tcPr>
            <w:tcW w:w="2461" w:type="dxa"/>
            <w:vAlign w:val="center"/>
          </w:tcPr>
          <w:p w14:paraId="6D796914">
            <w:pPr>
              <w:snapToGrid w:val="0"/>
              <w:spacing w:line="400" w:lineRule="exact"/>
              <w:textAlignment w:val="baseline"/>
              <w:rPr>
                <w:rFonts w:ascii="Times New Roman" w:hAnsi="Times New Roman" w:eastAsia="仿宋" w:cs="Arial"/>
                <w:snapToGrid w:val="0"/>
                <w:kern w:val="0"/>
                <w:sz w:val="32"/>
                <w:szCs w:val="32"/>
              </w:rPr>
            </w:pPr>
          </w:p>
        </w:tc>
        <w:tc>
          <w:tcPr>
            <w:tcW w:w="1032" w:type="dxa"/>
            <w:vAlign w:val="center"/>
          </w:tcPr>
          <w:p w14:paraId="65C11C87">
            <w:pPr>
              <w:snapToGrid w:val="0"/>
              <w:spacing w:line="400" w:lineRule="exact"/>
              <w:textAlignment w:val="baseline"/>
              <w:rPr>
                <w:rFonts w:ascii="Times New Roman" w:hAnsi="Times New Roman" w:eastAsia="仿宋" w:cs="Arial"/>
                <w:snapToGrid w:val="0"/>
                <w:kern w:val="0"/>
                <w:sz w:val="32"/>
                <w:szCs w:val="32"/>
              </w:rPr>
            </w:pPr>
          </w:p>
        </w:tc>
      </w:tr>
      <w:tr w14:paraId="77B3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890" w:type="dxa"/>
            <w:vAlign w:val="center"/>
          </w:tcPr>
          <w:p w14:paraId="3A3966FB">
            <w:pPr>
              <w:snapToGrid w:val="0"/>
              <w:spacing w:line="400" w:lineRule="exact"/>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7</w:t>
            </w:r>
          </w:p>
        </w:tc>
        <w:tc>
          <w:tcPr>
            <w:tcW w:w="4139" w:type="dxa"/>
            <w:gridSpan w:val="3"/>
            <w:vAlign w:val="center"/>
          </w:tcPr>
          <w:p w14:paraId="473078E2">
            <w:pPr>
              <w:snapToGrid w:val="0"/>
              <w:spacing w:line="400" w:lineRule="exact"/>
              <w:textAlignment w:val="baseline"/>
              <w:rPr>
                <w:rFonts w:ascii="Times New Roman" w:hAnsi="Times New Roman" w:eastAsia="仿宋" w:cs="Arial"/>
                <w:snapToGrid w:val="0"/>
                <w:kern w:val="0"/>
                <w:sz w:val="32"/>
                <w:szCs w:val="32"/>
                <w:shd w:val="clear" w:color="auto" w:fill="FFFFFF"/>
              </w:rPr>
            </w:pPr>
            <w:r>
              <w:rPr>
                <w:rFonts w:ascii="Times New Roman" w:hAnsi="Times New Roman" w:eastAsia="仿宋" w:cs="Arial"/>
                <w:snapToGrid w:val="0"/>
                <w:kern w:val="0"/>
                <w:sz w:val="32"/>
                <w:szCs w:val="32"/>
                <w:shd w:val="clear" w:color="auto" w:fill="FFFFFF"/>
              </w:rPr>
              <w:t>被暂扣、吊销相关资质证照</w:t>
            </w:r>
          </w:p>
        </w:tc>
        <w:tc>
          <w:tcPr>
            <w:tcW w:w="2461" w:type="dxa"/>
            <w:vAlign w:val="center"/>
          </w:tcPr>
          <w:p w14:paraId="299A5DCE">
            <w:pPr>
              <w:snapToGrid w:val="0"/>
              <w:spacing w:line="400" w:lineRule="exact"/>
              <w:textAlignment w:val="baseline"/>
              <w:rPr>
                <w:rFonts w:ascii="Times New Roman" w:hAnsi="Times New Roman" w:eastAsia="仿宋" w:cs="Arial"/>
                <w:snapToGrid w:val="0"/>
                <w:kern w:val="0"/>
                <w:sz w:val="32"/>
                <w:szCs w:val="32"/>
              </w:rPr>
            </w:pPr>
          </w:p>
        </w:tc>
        <w:tc>
          <w:tcPr>
            <w:tcW w:w="1032" w:type="dxa"/>
            <w:vAlign w:val="center"/>
          </w:tcPr>
          <w:p w14:paraId="220D6A4D">
            <w:pPr>
              <w:snapToGrid w:val="0"/>
              <w:spacing w:line="400" w:lineRule="exact"/>
              <w:textAlignment w:val="baseline"/>
              <w:rPr>
                <w:rFonts w:ascii="Times New Roman" w:hAnsi="Times New Roman" w:eastAsia="仿宋" w:cs="Arial"/>
                <w:snapToGrid w:val="0"/>
                <w:kern w:val="0"/>
                <w:sz w:val="32"/>
                <w:szCs w:val="32"/>
              </w:rPr>
            </w:pPr>
          </w:p>
        </w:tc>
      </w:tr>
      <w:tr w14:paraId="3564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890" w:type="dxa"/>
            <w:vAlign w:val="center"/>
          </w:tcPr>
          <w:p w14:paraId="466E08D2">
            <w:pPr>
              <w:snapToGrid w:val="0"/>
              <w:spacing w:line="400" w:lineRule="exact"/>
              <w:textAlignment w:val="baseline"/>
              <w:rPr>
                <w:rFonts w:ascii="Times New Roman" w:hAnsi="Times New Roman" w:eastAsia="仿宋" w:cs="Arial"/>
                <w:snapToGrid w:val="0"/>
                <w:kern w:val="0"/>
                <w:sz w:val="32"/>
                <w:szCs w:val="32"/>
                <w:lang w:eastAsia="en-US"/>
              </w:rPr>
            </w:pPr>
            <w:r>
              <w:rPr>
                <w:rFonts w:ascii="Times New Roman" w:hAnsi="Times New Roman" w:eastAsia="仿宋" w:cs="Arial"/>
                <w:snapToGrid w:val="0"/>
                <w:kern w:val="0"/>
                <w:sz w:val="32"/>
                <w:szCs w:val="32"/>
                <w:lang w:eastAsia="en-US"/>
              </w:rPr>
              <w:t>8</w:t>
            </w:r>
          </w:p>
        </w:tc>
        <w:tc>
          <w:tcPr>
            <w:tcW w:w="4139" w:type="dxa"/>
            <w:gridSpan w:val="3"/>
            <w:vAlign w:val="center"/>
          </w:tcPr>
          <w:p w14:paraId="06552CCB">
            <w:pPr>
              <w:snapToGrid w:val="0"/>
              <w:spacing w:line="400" w:lineRule="exact"/>
              <w:textAlignment w:val="baseline"/>
              <w:rPr>
                <w:rFonts w:ascii="Times New Roman" w:hAnsi="Times New Roman" w:eastAsia="仿宋" w:cs="Arial"/>
                <w:snapToGrid w:val="0"/>
                <w:kern w:val="0"/>
                <w:sz w:val="32"/>
                <w:szCs w:val="32"/>
                <w:shd w:val="clear" w:color="auto" w:fill="FFFFFF"/>
              </w:rPr>
            </w:pPr>
            <w:r>
              <w:rPr>
                <w:rFonts w:ascii="Times New Roman" w:hAnsi="Times New Roman" w:eastAsia="仿宋" w:cs="Arial"/>
                <w:snapToGrid w:val="0"/>
                <w:kern w:val="0"/>
                <w:sz w:val="32"/>
                <w:szCs w:val="32"/>
                <w:shd w:val="clear" w:color="auto" w:fill="FFFFFF"/>
              </w:rPr>
              <w:t>被相关部门纳入“黑名单”情况</w:t>
            </w:r>
          </w:p>
        </w:tc>
        <w:tc>
          <w:tcPr>
            <w:tcW w:w="2461" w:type="dxa"/>
            <w:vAlign w:val="center"/>
          </w:tcPr>
          <w:p w14:paraId="0CA42CAF">
            <w:pPr>
              <w:snapToGrid w:val="0"/>
              <w:spacing w:line="400" w:lineRule="exact"/>
              <w:textAlignment w:val="baseline"/>
              <w:rPr>
                <w:rFonts w:ascii="Times New Roman" w:hAnsi="Times New Roman" w:eastAsia="仿宋" w:cs="Arial"/>
                <w:snapToGrid w:val="0"/>
                <w:kern w:val="0"/>
                <w:sz w:val="32"/>
                <w:szCs w:val="32"/>
              </w:rPr>
            </w:pPr>
          </w:p>
        </w:tc>
        <w:tc>
          <w:tcPr>
            <w:tcW w:w="1032" w:type="dxa"/>
            <w:vAlign w:val="center"/>
          </w:tcPr>
          <w:p w14:paraId="1152ED40">
            <w:pPr>
              <w:snapToGrid w:val="0"/>
              <w:spacing w:line="400" w:lineRule="exact"/>
              <w:textAlignment w:val="baseline"/>
              <w:rPr>
                <w:rFonts w:ascii="Times New Roman" w:hAnsi="Times New Roman" w:eastAsia="仿宋" w:cs="Arial"/>
                <w:snapToGrid w:val="0"/>
                <w:kern w:val="0"/>
                <w:sz w:val="32"/>
                <w:szCs w:val="32"/>
              </w:rPr>
            </w:pPr>
          </w:p>
        </w:tc>
      </w:tr>
      <w:tr w14:paraId="7417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3418" w:type="dxa"/>
            <w:gridSpan w:val="3"/>
            <w:vAlign w:val="center"/>
          </w:tcPr>
          <w:p w14:paraId="67164AF5">
            <w:pPr>
              <w:snapToGrid w:val="0"/>
              <w:spacing w:line="400" w:lineRule="exact"/>
              <w:textAlignment w:val="baseline"/>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该承包商是否通过考核</w:t>
            </w:r>
          </w:p>
        </w:tc>
        <w:tc>
          <w:tcPr>
            <w:tcW w:w="5104" w:type="dxa"/>
            <w:gridSpan w:val="3"/>
            <w:vAlign w:val="center"/>
          </w:tcPr>
          <w:p w14:paraId="5D467C35">
            <w:pPr>
              <w:snapToGrid w:val="0"/>
              <w:spacing w:line="400" w:lineRule="exact"/>
              <w:textAlignment w:val="baseline"/>
              <w:rPr>
                <w:rFonts w:ascii="Times New Roman" w:hAnsi="Times New Roman" w:eastAsia="仿宋" w:cs="Arial"/>
                <w:snapToGrid w:val="0"/>
                <w:kern w:val="0"/>
                <w:sz w:val="32"/>
                <w:szCs w:val="32"/>
              </w:rPr>
            </w:pPr>
          </w:p>
        </w:tc>
      </w:tr>
      <w:tr w14:paraId="1136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2460" w:type="dxa"/>
            <w:gridSpan w:val="2"/>
            <w:vAlign w:val="center"/>
          </w:tcPr>
          <w:p w14:paraId="5477E4CD">
            <w:pPr>
              <w:snapToGrid w:val="0"/>
              <w:spacing w:line="400" w:lineRule="exact"/>
              <w:textAlignment w:val="baseline"/>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考核单位</w:t>
            </w:r>
          </w:p>
          <w:p w14:paraId="16916351">
            <w:pPr>
              <w:snapToGrid w:val="0"/>
              <w:spacing w:line="400" w:lineRule="exact"/>
              <w:textAlignment w:val="baseline"/>
              <w:rPr>
                <w:rFonts w:ascii="Times New Roman" w:hAnsi="Times New Roman" w:eastAsia="仿宋" w:cs="Arial"/>
                <w:snapToGrid w:val="0"/>
                <w:kern w:val="0"/>
                <w:sz w:val="32"/>
                <w:szCs w:val="32"/>
              </w:rPr>
            </w:pPr>
            <w:r>
              <w:rPr>
                <w:rFonts w:ascii="Times New Roman" w:hAnsi="Times New Roman" w:eastAsia="仿宋" w:cs="Arial"/>
                <w:snapToGrid w:val="0"/>
                <w:kern w:val="0"/>
                <w:sz w:val="32"/>
                <w:szCs w:val="32"/>
              </w:rPr>
              <w:t>及考核人员签名</w:t>
            </w:r>
          </w:p>
        </w:tc>
        <w:tc>
          <w:tcPr>
            <w:tcW w:w="6062" w:type="dxa"/>
            <w:gridSpan w:val="4"/>
            <w:vAlign w:val="center"/>
          </w:tcPr>
          <w:p w14:paraId="629BE1E8">
            <w:pPr>
              <w:snapToGrid w:val="0"/>
              <w:spacing w:line="400" w:lineRule="exact"/>
              <w:textAlignment w:val="baseline"/>
              <w:rPr>
                <w:rFonts w:ascii="Times New Roman" w:hAnsi="Times New Roman" w:eastAsia="仿宋" w:cs="Arial"/>
                <w:snapToGrid w:val="0"/>
                <w:kern w:val="0"/>
                <w:sz w:val="32"/>
                <w:szCs w:val="32"/>
              </w:rPr>
            </w:pPr>
          </w:p>
        </w:tc>
      </w:tr>
    </w:tbl>
    <w:p w14:paraId="6EF6330D">
      <w:pPr>
        <w:tabs>
          <w:tab w:val="center" w:pos="4153"/>
          <w:tab w:val="right" w:pos="8306"/>
        </w:tabs>
        <w:snapToGrid w:val="0"/>
        <w:spacing w:line="600" w:lineRule="exact"/>
        <w:ind w:firstLine="480" w:firstLineChars="200"/>
        <w:textAlignment w:val="baseline"/>
        <w:rPr>
          <w:rFonts w:ascii="Times New Roman" w:hAnsi="Times New Roman" w:eastAsia="仿宋_GB2312" w:cs="Arial"/>
          <w:snapToGrid w:val="0"/>
          <w:kern w:val="0"/>
          <w:sz w:val="24"/>
        </w:rPr>
      </w:pPr>
      <w:r>
        <w:rPr>
          <w:rFonts w:ascii="Times New Roman" w:hAnsi="Times New Roman" w:eastAsia="仿宋_GB2312" w:cs="Arial"/>
          <w:snapToGrid w:val="0"/>
          <w:kern w:val="0"/>
          <w:sz w:val="24"/>
        </w:rPr>
        <w:t>备注：此表填写一式三份，承包商发包企业、承包商和管委会各存一份。</w:t>
      </w:r>
    </w:p>
    <w:p w14:paraId="76115F3F">
      <w:pPr>
        <w:widowControl/>
        <w:snapToGrid w:val="0"/>
        <w:spacing w:line="600" w:lineRule="exact"/>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br w:type="page"/>
      </w:r>
      <w:r>
        <w:rPr>
          <w:rFonts w:ascii="Times New Roman" w:hAnsi="Times New Roman" w:eastAsia="黑体" w:cs="Arial"/>
          <w:snapToGrid w:val="0"/>
          <w:kern w:val="0"/>
          <w:sz w:val="32"/>
          <w:szCs w:val="32"/>
        </w:rPr>
        <w:t>附件5</w:t>
      </w:r>
    </w:p>
    <w:p w14:paraId="137FF8E3">
      <w:pPr>
        <w:widowControl/>
        <w:snapToGrid w:val="0"/>
        <w:spacing w:line="560" w:lineRule="exact"/>
        <w:jc w:val="center"/>
        <w:textAlignment w:val="baseline"/>
        <w:rPr>
          <w:rFonts w:ascii="Times New Roman" w:hAnsi="Times New Roman" w:eastAsia="方正小标宋简体" w:cs="Arial"/>
          <w:snapToGrid w:val="0"/>
          <w:kern w:val="0"/>
          <w:sz w:val="44"/>
          <w:szCs w:val="44"/>
        </w:rPr>
      </w:pPr>
      <w:r>
        <w:rPr>
          <w:rFonts w:ascii="Times New Roman" w:hAnsi="Times New Roman" w:eastAsia="方正小标宋简体" w:cs="Arial"/>
          <w:snapToGrid w:val="0"/>
          <w:kern w:val="0"/>
          <w:sz w:val="44"/>
          <w:szCs w:val="44"/>
        </w:rPr>
        <w:t>承包商安全评估表</w:t>
      </w:r>
    </w:p>
    <w:p w14:paraId="2F7BDFD4">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b/>
          <w:snapToGrid w:val="0"/>
          <w:kern w:val="0"/>
          <w:sz w:val="24"/>
        </w:rPr>
        <w:t>承包商名称：</w:t>
      </w:r>
      <w:r>
        <w:rPr>
          <w:rFonts w:ascii="Times New Roman" w:hAnsi="Times New Roman" w:eastAsia="仿宋_GB2312" w:cs="Arial"/>
          <w:b/>
          <w:snapToGrid w:val="0"/>
          <w:kern w:val="0"/>
          <w:sz w:val="32"/>
          <w:szCs w:val="21"/>
        </w:rPr>
        <w:t xml:space="preserve"> </w:t>
      </w:r>
      <w:r>
        <w:rPr>
          <w:rFonts w:ascii="Times New Roman" w:hAnsi="Times New Roman" w:eastAsia="仿宋_GB2312" w:cs="Arial"/>
          <w:b/>
          <w:snapToGrid w:val="0"/>
          <w:kern w:val="0"/>
          <w:sz w:val="24"/>
          <w:u w:val="single"/>
        </w:rPr>
        <w:t>                                             </w:t>
      </w:r>
      <w:r>
        <w:rPr>
          <w:rFonts w:ascii="Times New Roman" w:hAnsi="Times New Roman" w:eastAsia="仿宋_GB2312" w:cs="Arial"/>
          <w:snapToGrid w:val="0"/>
          <w:kern w:val="0"/>
          <w:sz w:val="32"/>
          <w:szCs w:val="21"/>
        </w:rPr>
        <w:t xml:space="preserve"> </w:t>
      </w:r>
    </w:p>
    <w:p w14:paraId="3E4686CE">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b/>
          <w:snapToGrid w:val="0"/>
          <w:kern w:val="0"/>
          <w:sz w:val="24"/>
        </w:rPr>
        <w:t>得分：</w:t>
      </w:r>
      <w:r>
        <w:rPr>
          <w:rFonts w:ascii="Times New Roman" w:hAnsi="Times New Roman" w:eastAsia="仿宋_GB2312" w:cs="Arial"/>
          <w:b/>
          <w:snapToGrid w:val="0"/>
          <w:kern w:val="0"/>
          <w:sz w:val="24"/>
          <w:u w:val="single"/>
        </w:rPr>
        <w:t>                </w:t>
      </w:r>
      <w:r>
        <w:rPr>
          <w:rFonts w:ascii="Times New Roman" w:hAnsi="Times New Roman" w:eastAsia="仿宋_GB2312" w:cs="Arial"/>
          <w:b/>
          <w:snapToGrid w:val="0"/>
          <w:kern w:val="0"/>
          <w:sz w:val="24"/>
        </w:rPr>
        <w:t>分    评分时间：</w:t>
      </w:r>
      <w:r>
        <w:rPr>
          <w:rFonts w:ascii="Times New Roman" w:hAnsi="Times New Roman" w:eastAsia="仿宋_GB2312" w:cs="Arial"/>
          <w:b/>
          <w:snapToGrid w:val="0"/>
          <w:kern w:val="0"/>
          <w:sz w:val="24"/>
          <w:u w:val="single"/>
        </w:rPr>
        <w:t>                        </w:t>
      </w:r>
      <w:r>
        <w:rPr>
          <w:rFonts w:ascii="Times New Roman" w:hAnsi="Times New Roman" w:eastAsia="仿宋_GB2312" w:cs="Arial"/>
          <w:snapToGrid w:val="0"/>
          <w:kern w:val="0"/>
          <w:sz w:val="32"/>
          <w:szCs w:val="21"/>
        </w:rPr>
        <w:t xml:space="preserve"> </w:t>
      </w:r>
    </w:p>
    <w:p w14:paraId="32AE6EEB">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b/>
          <w:snapToGrid w:val="0"/>
          <w:kern w:val="0"/>
          <w:sz w:val="24"/>
        </w:rPr>
        <w:t>评分单位：</w:t>
      </w:r>
      <w:r>
        <w:rPr>
          <w:rFonts w:ascii="Times New Roman" w:hAnsi="Times New Roman" w:eastAsia="仿宋_GB2312" w:cs="Arial"/>
          <w:b/>
          <w:snapToGrid w:val="0"/>
          <w:kern w:val="0"/>
          <w:sz w:val="24"/>
          <w:u w:val="single"/>
        </w:rPr>
        <w:t>                                                 </w:t>
      </w:r>
      <w:r>
        <w:rPr>
          <w:rFonts w:ascii="Times New Roman" w:hAnsi="Times New Roman" w:eastAsia="仿宋_GB2312" w:cs="Arial"/>
          <w:snapToGrid w:val="0"/>
          <w:kern w:val="0"/>
          <w:sz w:val="32"/>
          <w:szCs w:val="21"/>
        </w:rPr>
        <w:t xml:space="preserve"> </w:t>
      </w:r>
    </w:p>
    <w:tbl>
      <w:tblPr>
        <w:tblStyle w:val="2"/>
        <w:tblW w:w="0" w:type="auto"/>
        <w:jc w:val="center"/>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Layout w:type="fixed"/>
        <w:tblCellMar>
          <w:top w:w="15" w:type="dxa"/>
          <w:left w:w="15" w:type="dxa"/>
          <w:bottom w:w="15" w:type="dxa"/>
          <w:right w:w="15" w:type="dxa"/>
        </w:tblCellMar>
      </w:tblPr>
      <w:tblGrid>
        <w:gridCol w:w="654"/>
        <w:gridCol w:w="1584"/>
        <w:gridCol w:w="3355"/>
        <w:gridCol w:w="669"/>
        <w:gridCol w:w="645"/>
        <w:gridCol w:w="1781"/>
      </w:tblGrid>
      <w:tr w14:paraId="52DE0B71">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tblHeade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68E1FE4B">
            <w:pPr>
              <w:widowControl/>
              <w:snapToGrid w:val="0"/>
              <w:spacing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序号</w:t>
            </w:r>
          </w:p>
        </w:tc>
        <w:tc>
          <w:tcPr>
            <w:tcW w:w="1584" w:type="dxa"/>
            <w:tcBorders>
              <w:top w:val="single" w:color="000000" w:sz="8" w:space="0"/>
              <w:left w:val="single" w:color="000000" w:sz="8" w:space="0"/>
              <w:bottom w:val="single" w:color="000000" w:sz="8" w:space="0"/>
              <w:right w:val="single" w:color="000000" w:sz="8" w:space="0"/>
            </w:tcBorders>
            <w:vAlign w:val="center"/>
          </w:tcPr>
          <w:p w14:paraId="40E563AE">
            <w:pPr>
              <w:widowControl/>
              <w:snapToGrid w:val="0"/>
              <w:spacing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评分项目</w:t>
            </w:r>
          </w:p>
        </w:tc>
        <w:tc>
          <w:tcPr>
            <w:tcW w:w="3355" w:type="dxa"/>
            <w:tcBorders>
              <w:top w:val="single" w:color="000000" w:sz="8" w:space="0"/>
              <w:left w:val="single" w:color="000000" w:sz="8" w:space="0"/>
              <w:bottom w:val="single" w:color="000000" w:sz="8" w:space="0"/>
              <w:right w:val="single" w:color="000000" w:sz="8" w:space="0"/>
            </w:tcBorders>
            <w:vAlign w:val="center"/>
          </w:tcPr>
          <w:p w14:paraId="3B2DDB49">
            <w:pPr>
              <w:widowControl/>
              <w:snapToGrid w:val="0"/>
              <w:spacing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评分标准</w:t>
            </w:r>
          </w:p>
        </w:tc>
        <w:tc>
          <w:tcPr>
            <w:tcW w:w="669" w:type="dxa"/>
            <w:tcBorders>
              <w:top w:val="single" w:color="000000" w:sz="8" w:space="0"/>
              <w:left w:val="single" w:color="000000" w:sz="8" w:space="0"/>
              <w:bottom w:val="single" w:color="000000" w:sz="8" w:space="0"/>
              <w:right w:val="single" w:color="000000" w:sz="8" w:space="0"/>
            </w:tcBorders>
            <w:vAlign w:val="center"/>
          </w:tcPr>
          <w:p w14:paraId="69424786">
            <w:pPr>
              <w:widowControl/>
              <w:snapToGrid w:val="0"/>
              <w:spacing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控制</w:t>
            </w:r>
          </w:p>
          <w:p w14:paraId="2EBECEE0">
            <w:pPr>
              <w:widowControl/>
              <w:snapToGrid w:val="0"/>
              <w:spacing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分数</w:t>
            </w:r>
          </w:p>
        </w:tc>
        <w:tc>
          <w:tcPr>
            <w:tcW w:w="645" w:type="dxa"/>
            <w:tcBorders>
              <w:top w:val="single" w:color="000000" w:sz="8" w:space="0"/>
              <w:left w:val="single" w:color="000000" w:sz="8" w:space="0"/>
              <w:bottom w:val="single" w:color="000000" w:sz="8" w:space="0"/>
              <w:right w:val="single" w:color="000000" w:sz="8" w:space="0"/>
            </w:tcBorders>
            <w:vAlign w:val="center"/>
          </w:tcPr>
          <w:p w14:paraId="69133021">
            <w:pPr>
              <w:widowControl/>
              <w:snapToGrid w:val="0"/>
              <w:spacing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扣分</w:t>
            </w:r>
          </w:p>
        </w:tc>
        <w:tc>
          <w:tcPr>
            <w:tcW w:w="1781" w:type="dxa"/>
            <w:tcBorders>
              <w:top w:val="single" w:color="000000" w:sz="8" w:space="0"/>
              <w:left w:val="single" w:color="000000" w:sz="8" w:space="0"/>
              <w:bottom w:val="single" w:color="000000" w:sz="8" w:space="0"/>
              <w:right w:val="single" w:color="000000" w:sz="8" w:space="0"/>
            </w:tcBorders>
            <w:vAlign w:val="center"/>
          </w:tcPr>
          <w:p w14:paraId="202A4A24">
            <w:pPr>
              <w:widowControl/>
              <w:snapToGrid w:val="0"/>
              <w:spacing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扣分</w:t>
            </w:r>
          </w:p>
          <w:p w14:paraId="116B0CFD">
            <w:pPr>
              <w:widowControl/>
              <w:snapToGrid w:val="0"/>
              <w:spacing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事项</w:t>
            </w:r>
          </w:p>
        </w:tc>
      </w:tr>
      <w:tr w14:paraId="5C5FD9DD">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2B69DD79">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1</w:t>
            </w:r>
          </w:p>
        </w:tc>
        <w:tc>
          <w:tcPr>
            <w:tcW w:w="1584" w:type="dxa"/>
            <w:tcBorders>
              <w:top w:val="single" w:color="000000" w:sz="8" w:space="0"/>
              <w:left w:val="single" w:color="000000" w:sz="8" w:space="0"/>
              <w:bottom w:val="single" w:color="000000" w:sz="8" w:space="0"/>
              <w:right w:val="single" w:color="000000" w:sz="8" w:space="0"/>
            </w:tcBorders>
            <w:vAlign w:val="center"/>
          </w:tcPr>
          <w:p w14:paraId="17622242">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合同履行能力</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2AC8F367">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合同履行不满足要求的，每发生一次酌情扣1—5分。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7A2E7D72">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648F861B">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7118B836">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5F7A39E7">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6435E300">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2</w:t>
            </w:r>
          </w:p>
        </w:tc>
        <w:tc>
          <w:tcPr>
            <w:tcW w:w="1584" w:type="dxa"/>
            <w:tcBorders>
              <w:top w:val="single" w:color="000000" w:sz="8" w:space="0"/>
              <w:left w:val="single" w:color="000000" w:sz="8" w:space="0"/>
              <w:bottom w:val="single" w:color="000000" w:sz="8" w:space="0"/>
              <w:right w:val="single" w:color="000000" w:sz="8" w:space="0"/>
            </w:tcBorders>
            <w:vAlign w:val="center"/>
          </w:tcPr>
          <w:p w14:paraId="0252708A">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质量保障能力</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2FB40313">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施工（服务）质量不满足要求的，每发生一次酌情扣2—5分。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27E6B870">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593E6492">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49A5249B">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151DF80A">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6F0C4CD3">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3</w:t>
            </w:r>
          </w:p>
        </w:tc>
        <w:tc>
          <w:tcPr>
            <w:tcW w:w="1584" w:type="dxa"/>
            <w:tcBorders>
              <w:top w:val="single" w:color="000000" w:sz="8" w:space="0"/>
              <w:left w:val="single" w:color="000000" w:sz="8" w:space="0"/>
              <w:bottom w:val="single" w:color="000000" w:sz="8" w:space="0"/>
              <w:right w:val="single" w:color="000000" w:sz="8" w:space="0"/>
            </w:tcBorders>
            <w:vAlign w:val="center"/>
          </w:tcPr>
          <w:p w14:paraId="45EC28CC">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进度控制</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0FE5F48D">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施工（服务）进度不满足要求的，每发生一次酌情扣1—3分。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03E381EB">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49FBCCCB">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5BEC58F8">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557B38C0">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39C15839">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4</w:t>
            </w:r>
          </w:p>
        </w:tc>
        <w:tc>
          <w:tcPr>
            <w:tcW w:w="1584" w:type="dxa"/>
            <w:tcBorders>
              <w:top w:val="single" w:color="000000" w:sz="8" w:space="0"/>
              <w:left w:val="single" w:color="000000" w:sz="8" w:space="0"/>
              <w:bottom w:val="single" w:color="000000" w:sz="8" w:space="0"/>
              <w:right w:val="single" w:color="000000" w:sz="8" w:space="0"/>
            </w:tcBorders>
            <w:vAlign w:val="center"/>
          </w:tcPr>
          <w:p w14:paraId="49624C36">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安全管理制度</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5B1294B9">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安全管理制度不健全或落实不到位的，每发生一次酌情扣1—3分。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72E066A1">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25CE1E22">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6F66CAB3">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3E44AEAE">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733D042D">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5</w:t>
            </w:r>
          </w:p>
        </w:tc>
        <w:tc>
          <w:tcPr>
            <w:tcW w:w="1584" w:type="dxa"/>
            <w:tcBorders>
              <w:top w:val="single" w:color="000000" w:sz="8" w:space="0"/>
              <w:left w:val="single" w:color="000000" w:sz="8" w:space="0"/>
              <w:bottom w:val="single" w:color="000000" w:sz="8" w:space="0"/>
              <w:right w:val="single" w:color="000000" w:sz="8" w:space="0"/>
            </w:tcBorders>
            <w:vAlign w:val="center"/>
          </w:tcPr>
          <w:p w14:paraId="06D617CE">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人身、设备风险控制</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5E5BEB36">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发生人身轻伤扣5分/次，人身重伤扣20分/次，人身死亡扣30分/次。</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075B6B5C">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30</w:t>
            </w:r>
          </w:p>
        </w:tc>
        <w:tc>
          <w:tcPr>
            <w:tcW w:w="645" w:type="dxa"/>
            <w:tcBorders>
              <w:top w:val="single" w:color="000000" w:sz="8" w:space="0"/>
              <w:left w:val="single" w:color="000000" w:sz="8" w:space="0"/>
              <w:bottom w:val="single" w:color="000000" w:sz="8" w:space="0"/>
              <w:right w:val="single" w:color="000000" w:sz="8" w:space="0"/>
            </w:tcBorders>
            <w:vAlign w:val="center"/>
          </w:tcPr>
          <w:p w14:paraId="59325BBF">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7BF6987B">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784699EB">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trHeight w:val="932" w:hRule="atLeast"/>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6BEE16C2">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6</w:t>
            </w:r>
          </w:p>
        </w:tc>
        <w:tc>
          <w:tcPr>
            <w:tcW w:w="1584" w:type="dxa"/>
            <w:tcBorders>
              <w:top w:val="single" w:color="000000" w:sz="8" w:space="0"/>
              <w:left w:val="single" w:color="000000" w:sz="8" w:space="0"/>
              <w:bottom w:val="single" w:color="000000" w:sz="8" w:space="0"/>
              <w:right w:val="single" w:color="000000" w:sz="8" w:space="0"/>
            </w:tcBorders>
            <w:vAlign w:val="center"/>
          </w:tcPr>
          <w:p w14:paraId="27EC109B">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作业管理能力</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2645D52A">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作业管理能力不符合要求的，每发生一次酌情扣1—3分。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600F7157">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4B7C0294">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6F7BB7C9">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598132BF">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trHeight w:val="2388" w:hRule="atLeast"/>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478BCEF9">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7</w:t>
            </w:r>
          </w:p>
        </w:tc>
        <w:tc>
          <w:tcPr>
            <w:tcW w:w="1584" w:type="dxa"/>
            <w:tcBorders>
              <w:top w:val="single" w:color="000000" w:sz="8" w:space="0"/>
              <w:left w:val="single" w:color="000000" w:sz="8" w:space="0"/>
              <w:bottom w:val="single" w:color="000000" w:sz="8" w:space="0"/>
              <w:right w:val="single" w:color="000000" w:sz="8" w:space="0"/>
            </w:tcBorders>
            <w:vAlign w:val="center"/>
          </w:tcPr>
          <w:p w14:paraId="598FF102">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管理层对安全生产的重视</w:t>
            </w:r>
            <w:r>
              <w:rPr>
                <w:rFonts w:ascii="Times New Roman" w:hAnsi="Times New Roman" w:eastAsia="仿宋_GB2312" w:cs="Arial"/>
                <w:snapToGrid w:val="0"/>
                <w:kern w:val="0"/>
                <w:sz w:val="32"/>
                <w:szCs w:val="21"/>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021DCFAB">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管理层未保证足够的安全投入、施工（服务）资源投入，未认真组织安全培训、定期进行安全检查、及时解决项目责任单位反映的问题的，每发生一次扣2—5分。发生其他不重视安全生产的事项，酌情扣1—5分。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4CB482DA">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440CB3B9">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36579879">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07A9EC38">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4C84AC97">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8</w:t>
            </w:r>
          </w:p>
        </w:tc>
        <w:tc>
          <w:tcPr>
            <w:tcW w:w="1584" w:type="dxa"/>
            <w:tcBorders>
              <w:top w:val="single" w:color="000000" w:sz="8" w:space="0"/>
              <w:left w:val="single" w:color="000000" w:sz="8" w:space="0"/>
              <w:bottom w:val="single" w:color="000000" w:sz="8" w:space="0"/>
              <w:right w:val="single" w:color="000000" w:sz="8" w:space="0"/>
            </w:tcBorders>
            <w:vAlign w:val="center"/>
          </w:tcPr>
          <w:p w14:paraId="18DE0994">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管理人员履职</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19223BC0">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施工（服务）单位管理人员未认真履行职责、有效组织作业的，每发生一次酌情扣1—5分。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515AE514">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2713102D">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21605502">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6F5EFE5D">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trHeight w:val="1206" w:hRule="atLeast"/>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1CD7E68E">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9</w:t>
            </w:r>
          </w:p>
        </w:tc>
        <w:tc>
          <w:tcPr>
            <w:tcW w:w="1584" w:type="dxa"/>
            <w:tcBorders>
              <w:top w:val="single" w:color="000000" w:sz="8" w:space="0"/>
              <w:left w:val="single" w:color="000000" w:sz="8" w:space="0"/>
              <w:bottom w:val="single" w:color="000000" w:sz="8" w:space="0"/>
              <w:right w:val="single" w:color="000000" w:sz="8" w:space="0"/>
            </w:tcBorders>
            <w:vAlign w:val="center"/>
          </w:tcPr>
          <w:p w14:paraId="21B490A2">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员工安全培训</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271D4F6D">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未按要求对作业人员进行安全培训的，每发生一次酌情扣1—5分。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2A7CC165">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0F140D65">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0F529D08">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60A4ACE0">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2A513A69">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10</w:t>
            </w:r>
          </w:p>
        </w:tc>
        <w:tc>
          <w:tcPr>
            <w:tcW w:w="1584" w:type="dxa"/>
            <w:tcBorders>
              <w:top w:val="single" w:color="000000" w:sz="8" w:space="0"/>
              <w:left w:val="single" w:color="000000" w:sz="8" w:space="0"/>
              <w:bottom w:val="single" w:color="000000" w:sz="8" w:space="0"/>
              <w:right w:val="single" w:color="000000" w:sz="8" w:space="0"/>
            </w:tcBorders>
            <w:vAlign w:val="center"/>
          </w:tcPr>
          <w:p w14:paraId="093A951B">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安全投入</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2776E0D0">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未按规定配置足够的安全工具、个人防护用品、安全管理人员的，每发生一次扣2—5分。安全工器具、个人防护用品不符合作业需要或规程要求的，每发生一次扣2分。发生其他安全投入不足的事项，酌情扣1—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169B414A">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5D24706C">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59F9D672">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2B1B1220">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288908EF">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11</w:t>
            </w:r>
          </w:p>
        </w:tc>
        <w:tc>
          <w:tcPr>
            <w:tcW w:w="1584" w:type="dxa"/>
            <w:tcBorders>
              <w:top w:val="single" w:color="000000" w:sz="8" w:space="0"/>
              <w:left w:val="single" w:color="000000" w:sz="8" w:space="0"/>
              <w:bottom w:val="single" w:color="000000" w:sz="8" w:space="0"/>
              <w:right w:val="single" w:color="000000" w:sz="8" w:space="0"/>
            </w:tcBorders>
            <w:vAlign w:val="center"/>
          </w:tcPr>
          <w:p w14:paraId="2C288075">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施工（服务）资源投入</w:t>
            </w:r>
            <w:r>
              <w:rPr>
                <w:rFonts w:ascii="Times New Roman" w:hAnsi="Times New Roman" w:eastAsia="仿宋_GB2312" w:cs="Arial"/>
                <w:snapToGrid w:val="0"/>
                <w:kern w:val="0"/>
                <w:sz w:val="32"/>
                <w:szCs w:val="21"/>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28D4D4DC">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未根据工作需要配置足够的人力资源、施工设备、工器具等资源的，每发生一次扣2—5分。发生其他施工资源投入不足的事项，酌情扣1—5分。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07F6B2EC">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1E3AC7A7">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500A02D2">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0A5224B5">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48931550">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12</w:t>
            </w:r>
          </w:p>
        </w:tc>
        <w:tc>
          <w:tcPr>
            <w:tcW w:w="1584" w:type="dxa"/>
            <w:tcBorders>
              <w:top w:val="single" w:color="000000" w:sz="8" w:space="0"/>
              <w:left w:val="single" w:color="000000" w:sz="8" w:space="0"/>
              <w:bottom w:val="single" w:color="000000" w:sz="8" w:space="0"/>
              <w:right w:val="single" w:color="000000" w:sz="8" w:space="0"/>
            </w:tcBorders>
            <w:vAlign w:val="center"/>
          </w:tcPr>
          <w:p w14:paraId="4DA58709">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施工</w:t>
            </w:r>
            <w:r>
              <w:rPr>
                <w:rFonts w:ascii="Times New Roman" w:hAnsi="Times New Roman" w:eastAsia="仿宋_GB2312" w:cs="Arial"/>
                <w:snapToGrid w:val="0"/>
                <w:kern w:val="0"/>
                <w:sz w:val="24"/>
              </w:rPr>
              <w:t>（服务）</w:t>
            </w:r>
            <w:r>
              <w:rPr>
                <w:rFonts w:ascii="Times New Roman" w:hAnsi="Times New Roman" w:eastAsia="仿宋_GB2312" w:cs="Arial"/>
                <w:snapToGrid w:val="0"/>
                <w:kern w:val="0"/>
                <w:sz w:val="24"/>
                <w:lang w:eastAsia="en-US"/>
              </w:rPr>
              <w:t>组织</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623A5077">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未认真进行施工（服务）组织，作业准备不充分、现场勘查不到位、作业文件编制不结合实际的，每发生一次酌情扣2—5分。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722DCA28">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61B15412">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6AF313F9">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4253D03C">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0C56E0F0">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13</w:t>
            </w:r>
          </w:p>
        </w:tc>
        <w:tc>
          <w:tcPr>
            <w:tcW w:w="1584" w:type="dxa"/>
            <w:tcBorders>
              <w:top w:val="single" w:color="000000" w:sz="8" w:space="0"/>
              <w:left w:val="single" w:color="000000" w:sz="8" w:space="0"/>
              <w:bottom w:val="single" w:color="000000" w:sz="8" w:space="0"/>
              <w:right w:val="single" w:color="000000" w:sz="8" w:space="0"/>
            </w:tcBorders>
            <w:vAlign w:val="center"/>
          </w:tcPr>
          <w:p w14:paraId="7C001EF7">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现场安全设施的符合性</w:t>
            </w:r>
            <w:r>
              <w:rPr>
                <w:rFonts w:ascii="Times New Roman" w:hAnsi="Times New Roman" w:eastAsia="仿宋_GB2312" w:cs="Arial"/>
                <w:snapToGrid w:val="0"/>
                <w:kern w:val="0"/>
                <w:sz w:val="32"/>
                <w:szCs w:val="21"/>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2BB0EA62">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现场安健环设施布置不符合要求或不满足作业需要的，每发生一次酌情扣2—5分。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3D1C86CC">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0A6C07BF">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6D71D05F">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0F86B11E">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2468743A">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14</w:t>
            </w:r>
          </w:p>
        </w:tc>
        <w:tc>
          <w:tcPr>
            <w:tcW w:w="1584" w:type="dxa"/>
            <w:tcBorders>
              <w:top w:val="single" w:color="000000" w:sz="8" w:space="0"/>
              <w:left w:val="single" w:color="000000" w:sz="8" w:space="0"/>
              <w:bottom w:val="single" w:color="000000" w:sz="8" w:space="0"/>
              <w:right w:val="single" w:color="000000" w:sz="8" w:space="0"/>
            </w:tcBorders>
            <w:vAlign w:val="center"/>
          </w:tcPr>
          <w:p w14:paraId="563F9429">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内部安全技术交底</w:t>
            </w:r>
            <w:r>
              <w:rPr>
                <w:rFonts w:ascii="Times New Roman" w:hAnsi="Times New Roman" w:eastAsia="仿宋_GB2312" w:cs="Arial"/>
                <w:snapToGrid w:val="0"/>
                <w:kern w:val="0"/>
                <w:sz w:val="32"/>
                <w:szCs w:val="21"/>
                <w:lang w:eastAsia="en-US"/>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6023C07C">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作业前未进行学习和现场安全交底的，每发生一次酌情扣1—5分。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569C3BD9">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42B0D5C3">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15058331">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2AF58EE6">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3D4575DC">
            <w:pPr>
              <w:widowControl/>
              <w:snapToGrid w:val="0"/>
              <w:spacing w:before="100" w:beforeAutospacing="1" w:after="100" w:afterAutospacing="1" w:line="240" w:lineRule="auto"/>
              <w:jc w:val="center"/>
              <w:rPr>
                <w:rFonts w:ascii="Times New Roman" w:hAnsi="Times New Roman" w:eastAsia="仿宋_GB2312" w:cs="Times New Roman"/>
                <w:snapToGrid w:val="0"/>
                <w:kern w:val="0"/>
                <w:sz w:val="24"/>
              </w:rPr>
            </w:pPr>
            <w:r>
              <w:rPr>
                <w:rFonts w:ascii="Times New Roman" w:hAnsi="Times New Roman" w:eastAsia="仿宋_GB2312" w:cs="Times New Roman"/>
                <w:b/>
                <w:snapToGrid w:val="0"/>
                <w:kern w:val="0"/>
                <w:sz w:val="24"/>
              </w:rPr>
              <w:t>15</w:t>
            </w:r>
          </w:p>
        </w:tc>
        <w:tc>
          <w:tcPr>
            <w:tcW w:w="1584" w:type="dxa"/>
            <w:tcBorders>
              <w:top w:val="single" w:color="000000" w:sz="8" w:space="0"/>
              <w:left w:val="single" w:color="000000" w:sz="8" w:space="0"/>
              <w:bottom w:val="single" w:color="000000" w:sz="8" w:space="0"/>
              <w:right w:val="single" w:color="000000" w:sz="8" w:space="0"/>
            </w:tcBorders>
            <w:vAlign w:val="center"/>
          </w:tcPr>
          <w:p w14:paraId="2CC747F9">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作业人员执行规章制度的依从性</w:t>
            </w:r>
            <w:r>
              <w:rPr>
                <w:rFonts w:ascii="Times New Roman" w:hAnsi="Times New Roman" w:eastAsia="仿宋_GB2312" w:cs="Arial"/>
                <w:snapToGrid w:val="0"/>
                <w:kern w:val="0"/>
                <w:sz w:val="32"/>
                <w:szCs w:val="21"/>
              </w:rPr>
              <w:t xml:space="preserve"> </w:t>
            </w:r>
          </w:p>
        </w:tc>
        <w:tc>
          <w:tcPr>
            <w:tcW w:w="3355" w:type="dxa"/>
            <w:tcBorders>
              <w:top w:val="single" w:color="000000" w:sz="8" w:space="0"/>
              <w:left w:val="single" w:color="000000" w:sz="8" w:space="0"/>
              <w:bottom w:val="single" w:color="000000" w:sz="8" w:space="0"/>
              <w:right w:val="single" w:color="000000" w:sz="8" w:space="0"/>
            </w:tcBorders>
            <w:vAlign w:val="center"/>
          </w:tcPr>
          <w:p w14:paraId="7420E722">
            <w:pPr>
              <w:widowControl/>
              <w:snapToGrid w:val="0"/>
              <w:spacing w:before="100" w:beforeAutospacing="1" w:after="100" w:afterAutospacing="1" w:line="240" w:lineRule="auto"/>
              <w:rPr>
                <w:rFonts w:ascii="Times New Roman" w:hAnsi="Times New Roman" w:eastAsia="仿宋_GB2312" w:cs="Arial"/>
                <w:snapToGrid w:val="0"/>
                <w:kern w:val="0"/>
                <w:sz w:val="32"/>
                <w:szCs w:val="21"/>
              </w:rPr>
            </w:pPr>
            <w:r>
              <w:rPr>
                <w:rFonts w:ascii="Times New Roman" w:hAnsi="Times New Roman" w:eastAsia="仿宋_GB2312" w:cs="Arial"/>
                <w:snapToGrid w:val="0"/>
                <w:kern w:val="0"/>
                <w:sz w:val="24"/>
              </w:rPr>
              <w:t>员工执行作业文件不到位的，每发生一次酌情扣1—3分。发生违章每发生一次酌情扣2—4分。</w:t>
            </w:r>
            <w:r>
              <w:rPr>
                <w:rFonts w:ascii="Times New Roman" w:hAnsi="Times New Roman" w:eastAsia="仿宋_GB2312" w:cs="Arial"/>
                <w:snapToGrid w:val="0"/>
                <w:kern w:val="0"/>
                <w:sz w:val="32"/>
                <w:szCs w:val="21"/>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2D4FEEBA">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snapToGrid w:val="0"/>
                <w:kern w:val="0"/>
                <w:sz w:val="24"/>
                <w:lang w:eastAsia="en-US"/>
              </w:rPr>
              <w:t>5</w:t>
            </w:r>
          </w:p>
        </w:tc>
        <w:tc>
          <w:tcPr>
            <w:tcW w:w="645" w:type="dxa"/>
            <w:tcBorders>
              <w:top w:val="single" w:color="000000" w:sz="8" w:space="0"/>
              <w:left w:val="single" w:color="000000" w:sz="8" w:space="0"/>
              <w:bottom w:val="single" w:color="000000" w:sz="8" w:space="0"/>
              <w:right w:val="single" w:color="000000" w:sz="8" w:space="0"/>
            </w:tcBorders>
            <w:vAlign w:val="center"/>
          </w:tcPr>
          <w:p w14:paraId="6E861448">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28C50FA2">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r w14:paraId="67933AA5">
        <w:tblPrEx>
          <w:tblBorders>
            <w:top w:val="none" w:color="333333" w:sz="6" w:space="0"/>
            <w:left w:val="none" w:color="333333" w:sz="6" w:space="0"/>
            <w:bottom w:val="none" w:color="333333" w:sz="6" w:space="0"/>
            <w:right w:val="none" w:color="333333"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54" w:type="dxa"/>
            <w:tcBorders>
              <w:top w:val="single" w:color="000000" w:sz="8" w:space="0"/>
              <w:left w:val="single" w:color="000000" w:sz="8" w:space="0"/>
              <w:bottom w:val="single" w:color="000000" w:sz="8" w:space="0"/>
              <w:right w:val="single" w:color="000000" w:sz="8" w:space="0"/>
            </w:tcBorders>
            <w:vAlign w:val="center"/>
          </w:tcPr>
          <w:p w14:paraId="2977C740">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合计</w:t>
            </w:r>
          </w:p>
        </w:tc>
        <w:tc>
          <w:tcPr>
            <w:tcW w:w="4939" w:type="dxa"/>
            <w:gridSpan w:val="2"/>
            <w:tcBorders>
              <w:top w:val="single" w:color="000000" w:sz="8" w:space="0"/>
              <w:left w:val="single" w:color="000000" w:sz="8" w:space="0"/>
              <w:bottom w:val="single" w:color="000000" w:sz="8" w:space="0"/>
              <w:right w:val="single" w:color="000000" w:sz="8" w:space="0"/>
            </w:tcBorders>
            <w:vAlign w:val="center"/>
          </w:tcPr>
          <w:p w14:paraId="7323B6D7">
            <w:pPr>
              <w:widowControl/>
              <w:snapToGrid w:val="0"/>
              <w:spacing w:before="100" w:beforeAutospacing="1" w:after="100" w:afterAutospacing="1" w:line="240" w:lineRule="auto"/>
              <w:rPr>
                <w:rFonts w:ascii="Times New Roman" w:hAnsi="Times New Roman" w:eastAsia="仿宋_GB2312" w:cs="Arial"/>
                <w:snapToGrid w:val="0"/>
                <w:kern w:val="0"/>
                <w:sz w:val="32"/>
                <w:szCs w:val="21"/>
                <w:lang w:eastAsia="en-US"/>
              </w:rPr>
            </w:pPr>
            <w:r>
              <w:rPr>
                <w:rFonts w:ascii="Times New Roman" w:hAnsi="Times New Roman" w:eastAsia="仿宋_GB2312" w:cs="Arial"/>
                <w:b/>
                <w:snapToGrid w:val="0"/>
                <w:kern w:val="0"/>
                <w:sz w:val="24"/>
                <w:lang w:eastAsia="en-US"/>
              </w:rPr>
              <w:t>得分（100分</w:t>
            </w:r>
            <w:r>
              <w:rPr>
                <w:rFonts w:hint="eastAsia" w:ascii="Times New Roman" w:hAnsi="Times New Roman" w:eastAsia="仿宋_GB2312" w:cs="Arial"/>
                <w:b/>
                <w:snapToGrid w:val="0"/>
                <w:kern w:val="0"/>
                <w:sz w:val="24"/>
              </w:rPr>
              <w:t>－</w:t>
            </w:r>
            <w:r>
              <w:rPr>
                <w:rFonts w:ascii="Times New Roman" w:hAnsi="Times New Roman" w:eastAsia="仿宋_GB2312" w:cs="Arial"/>
                <w:b/>
                <w:snapToGrid w:val="0"/>
                <w:kern w:val="0"/>
                <w:sz w:val="24"/>
                <w:lang w:eastAsia="en-US"/>
              </w:rPr>
              <w:t>总扣分）</w:t>
            </w:r>
            <w:r>
              <w:rPr>
                <w:rFonts w:ascii="Times New Roman" w:hAnsi="Times New Roman" w:eastAsia="仿宋_GB2312" w:cs="Arial"/>
                <w:snapToGrid w:val="0"/>
                <w:kern w:val="0"/>
                <w:sz w:val="32"/>
                <w:szCs w:val="21"/>
                <w:lang w:eastAsia="en-US"/>
              </w:rPr>
              <w:t xml:space="preserve"> </w:t>
            </w:r>
          </w:p>
        </w:tc>
        <w:tc>
          <w:tcPr>
            <w:tcW w:w="669" w:type="dxa"/>
            <w:tcBorders>
              <w:top w:val="single" w:color="000000" w:sz="8" w:space="0"/>
              <w:left w:val="single" w:color="000000" w:sz="8" w:space="0"/>
              <w:bottom w:val="single" w:color="000000" w:sz="8" w:space="0"/>
              <w:right w:val="single" w:color="000000" w:sz="8" w:space="0"/>
            </w:tcBorders>
            <w:vAlign w:val="center"/>
          </w:tcPr>
          <w:p w14:paraId="3C2A5915">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645" w:type="dxa"/>
            <w:tcBorders>
              <w:top w:val="single" w:color="000000" w:sz="8" w:space="0"/>
              <w:left w:val="single" w:color="000000" w:sz="8" w:space="0"/>
              <w:bottom w:val="single" w:color="000000" w:sz="8" w:space="0"/>
              <w:right w:val="single" w:color="000000" w:sz="8" w:space="0"/>
            </w:tcBorders>
            <w:vAlign w:val="center"/>
          </w:tcPr>
          <w:p w14:paraId="3FA84196">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c>
          <w:tcPr>
            <w:tcW w:w="1781" w:type="dxa"/>
            <w:tcBorders>
              <w:top w:val="single" w:color="000000" w:sz="8" w:space="0"/>
              <w:left w:val="single" w:color="000000" w:sz="8" w:space="0"/>
              <w:bottom w:val="single" w:color="000000" w:sz="8" w:space="0"/>
              <w:right w:val="single" w:color="000000" w:sz="8" w:space="0"/>
            </w:tcBorders>
            <w:vAlign w:val="center"/>
          </w:tcPr>
          <w:p w14:paraId="34E8F1DB">
            <w:pPr>
              <w:widowControl/>
              <w:snapToGrid w:val="0"/>
              <w:spacing w:before="100" w:beforeAutospacing="1" w:after="100" w:afterAutospacing="1" w:line="240" w:lineRule="auto"/>
              <w:jc w:val="center"/>
              <w:rPr>
                <w:rFonts w:ascii="Times New Roman" w:hAnsi="Times New Roman" w:eastAsia="仿宋_GB2312" w:cs="Arial"/>
                <w:snapToGrid w:val="0"/>
                <w:kern w:val="0"/>
                <w:sz w:val="32"/>
                <w:szCs w:val="21"/>
                <w:lang w:eastAsia="en-US"/>
              </w:rPr>
            </w:pPr>
          </w:p>
        </w:tc>
      </w:tr>
    </w:tbl>
    <w:p w14:paraId="163DAEDA">
      <w:pPr>
        <w:ind w:firstLine="640"/>
        <w:sectPr>
          <w:pgSz w:w="11906" w:h="16838"/>
          <w:pgMar w:top="1440" w:right="1800" w:bottom="1440" w:left="1800" w:header="851" w:footer="992" w:gutter="0"/>
          <w:cols w:space="720" w:num="1"/>
          <w:docGrid w:type="lines" w:linePitch="312" w:charSpace="0"/>
        </w:sectPr>
      </w:pPr>
    </w:p>
    <w:p w14:paraId="57698BAE">
      <w:pPr>
        <w:widowControl/>
        <w:snapToGrid w:val="0"/>
        <w:spacing w:line="600" w:lineRule="exact"/>
        <w:ind w:firstLine="640" w:firstLineChars="200"/>
        <w:textAlignment w:val="baseline"/>
        <w:rPr>
          <w:rFonts w:ascii="Times New Roman" w:hAnsi="Times New Roman" w:eastAsia="仿宋" w:cs="Arial"/>
          <w:snapToGrid w:val="0"/>
          <w:kern w:val="0"/>
          <w:sz w:val="32"/>
          <w:szCs w:val="21"/>
          <w:lang w:eastAsia="en-US"/>
        </w:rPr>
      </w:pPr>
    </w:p>
    <w:p w14:paraId="07206BAE">
      <w:pPr>
        <w:widowControl/>
        <w:snapToGrid w:val="0"/>
        <w:spacing w:line="600" w:lineRule="exact"/>
        <w:ind w:firstLine="640" w:firstLineChars="200"/>
        <w:textAlignment w:val="baseline"/>
        <w:rPr>
          <w:rFonts w:ascii="Times New Roman" w:hAnsi="Times New Roman" w:eastAsia="仿宋" w:cs="Arial"/>
          <w:snapToGrid w:val="0"/>
          <w:kern w:val="0"/>
          <w:sz w:val="32"/>
          <w:szCs w:val="21"/>
          <w:lang w:eastAsia="en-US"/>
        </w:rPr>
      </w:pPr>
    </w:p>
    <w:p w14:paraId="01CFA10C">
      <w:pPr>
        <w:widowControl/>
        <w:snapToGrid w:val="0"/>
        <w:spacing w:line="600" w:lineRule="exact"/>
        <w:ind w:firstLine="640" w:firstLineChars="200"/>
        <w:textAlignment w:val="baseline"/>
        <w:rPr>
          <w:rFonts w:ascii="Times New Roman" w:hAnsi="Times New Roman" w:eastAsia="仿宋" w:cs="Arial"/>
          <w:snapToGrid w:val="0"/>
          <w:kern w:val="0"/>
          <w:sz w:val="32"/>
          <w:szCs w:val="21"/>
          <w:lang w:eastAsia="en-US"/>
        </w:rPr>
      </w:pPr>
    </w:p>
    <w:p w14:paraId="1561EAA1">
      <w:pPr>
        <w:widowControl/>
        <w:snapToGrid w:val="0"/>
        <w:spacing w:line="600" w:lineRule="exact"/>
        <w:ind w:firstLine="640" w:firstLineChars="200"/>
        <w:textAlignment w:val="baseline"/>
        <w:rPr>
          <w:rFonts w:ascii="Times New Roman" w:hAnsi="Times New Roman" w:eastAsia="仿宋" w:cs="Arial"/>
          <w:snapToGrid w:val="0"/>
          <w:kern w:val="0"/>
          <w:sz w:val="32"/>
          <w:szCs w:val="21"/>
          <w:lang w:eastAsia="en-US"/>
        </w:rPr>
      </w:pPr>
    </w:p>
    <w:p w14:paraId="6872EED7">
      <w:pPr>
        <w:widowControl/>
        <w:snapToGrid w:val="0"/>
        <w:spacing w:line="600" w:lineRule="exact"/>
        <w:ind w:firstLine="640" w:firstLineChars="200"/>
        <w:textAlignment w:val="baseline"/>
        <w:rPr>
          <w:rFonts w:ascii="Times New Roman" w:hAnsi="Times New Roman" w:eastAsia="仿宋" w:cs="Arial"/>
          <w:snapToGrid w:val="0"/>
          <w:kern w:val="0"/>
          <w:sz w:val="32"/>
          <w:szCs w:val="21"/>
          <w:lang w:eastAsia="en-US"/>
        </w:rPr>
      </w:pPr>
    </w:p>
    <w:p w14:paraId="1C41A279">
      <w:pPr>
        <w:widowControl/>
        <w:snapToGrid w:val="0"/>
        <w:spacing w:line="600" w:lineRule="exact"/>
        <w:ind w:firstLine="640" w:firstLineChars="200"/>
        <w:textAlignment w:val="baseline"/>
        <w:rPr>
          <w:rFonts w:ascii="Times New Roman" w:hAnsi="Times New Roman" w:eastAsia="仿宋" w:cs="Arial"/>
          <w:snapToGrid w:val="0"/>
          <w:kern w:val="0"/>
          <w:sz w:val="32"/>
          <w:szCs w:val="21"/>
          <w:lang w:eastAsia="en-US"/>
        </w:rPr>
      </w:pPr>
    </w:p>
    <w:p w14:paraId="1D02B2CF">
      <w:pPr>
        <w:widowControl/>
        <w:snapToGrid w:val="0"/>
        <w:spacing w:line="600" w:lineRule="exact"/>
        <w:ind w:firstLine="640" w:firstLineChars="200"/>
        <w:textAlignment w:val="baseline"/>
        <w:rPr>
          <w:rFonts w:ascii="Times New Roman" w:hAnsi="Times New Roman" w:eastAsia="仿宋" w:cs="Arial"/>
          <w:snapToGrid w:val="0"/>
          <w:kern w:val="0"/>
          <w:sz w:val="32"/>
          <w:szCs w:val="21"/>
          <w:lang w:eastAsia="en-US"/>
        </w:rPr>
      </w:pPr>
    </w:p>
    <w:p w14:paraId="0B92612E">
      <w:pPr>
        <w:widowControl/>
        <w:snapToGrid w:val="0"/>
        <w:spacing w:line="600" w:lineRule="exact"/>
        <w:ind w:firstLine="640" w:firstLineChars="200"/>
        <w:textAlignment w:val="baseline"/>
        <w:rPr>
          <w:rFonts w:ascii="Times New Roman" w:hAnsi="Times New Roman" w:eastAsia="仿宋" w:cs="Arial"/>
          <w:snapToGrid w:val="0"/>
          <w:kern w:val="0"/>
          <w:sz w:val="32"/>
          <w:szCs w:val="21"/>
          <w:lang w:eastAsia="en-US"/>
        </w:rPr>
      </w:pPr>
    </w:p>
    <w:p w14:paraId="09A6DB1C">
      <w:pPr>
        <w:widowControl/>
        <w:snapToGrid w:val="0"/>
        <w:spacing w:line="600" w:lineRule="exact"/>
        <w:ind w:firstLine="640" w:firstLineChars="200"/>
        <w:textAlignment w:val="baseline"/>
        <w:rPr>
          <w:rFonts w:ascii="Times New Roman" w:hAnsi="Times New Roman" w:eastAsia="仿宋" w:cs="Arial"/>
          <w:snapToGrid w:val="0"/>
          <w:kern w:val="0"/>
          <w:sz w:val="32"/>
          <w:szCs w:val="21"/>
          <w:lang w:eastAsia="en-US"/>
        </w:rPr>
      </w:pPr>
    </w:p>
    <w:p w14:paraId="613079E4">
      <w:pPr>
        <w:keepNext/>
        <w:keepLines/>
        <w:snapToGrid w:val="0"/>
        <w:spacing w:line="600" w:lineRule="exact"/>
        <w:jc w:val="center"/>
        <w:textAlignment w:val="baseline"/>
        <w:outlineLvl w:val="0"/>
        <w:rPr>
          <w:rFonts w:hint="eastAsia" w:ascii="方正小标宋简体" w:hAnsi="方正小标宋简体" w:eastAsia="方正小标宋简体" w:cs="方正小标宋简体"/>
          <w:b/>
          <w:snapToGrid w:val="0"/>
          <w:kern w:val="44"/>
          <w:sz w:val="48"/>
          <w:szCs w:val="21"/>
          <w:lang w:eastAsia="en-US"/>
        </w:rPr>
      </w:pPr>
      <w:bookmarkStart w:id="72" w:name="_Toc216434811"/>
      <w:bookmarkStart w:id="73" w:name="_Toc1368705474"/>
      <w:bookmarkStart w:id="74" w:name="_Toc1100276557"/>
      <w:bookmarkStart w:id="75" w:name="_Toc18048"/>
      <w:r>
        <w:rPr>
          <w:rFonts w:hint="eastAsia" w:ascii="方正小标宋简体" w:hAnsi="方正小标宋简体" w:eastAsia="方正小标宋简体" w:cs="方正小标宋简体"/>
          <w:b/>
          <w:snapToGrid w:val="0"/>
          <w:kern w:val="44"/>
          <w:sz w:val="48"/>
          <w:szCs w:val="21"/>
          <w:lang w:eastAsia="en-US"/>
        </w:rPr>
        <w:t>第</w:t>
      </w:r>
      <w:r>
        <w:rPr>
          <w:rFonts w:hint="eastAsia" w:ascii="方正小标宋简体" w:hAnsi="方正小标宋简体" w:eastAsia="方正小标宋简体" w:cs="方正小标宋简体"/>
          <w:b/>
          <w:snapToGrid w:val="0"/>
          <w:kern w:val="44"/>
          <w:sz w:val="48"/>
          <w:szCs w:val="21"/>
        </w:rPr>
        <w:t>七</w:t>
      </w:r>
      <w:r>
        <w:rPr>
          <w:rFonts w:hint="eastAsia" w:ascii="方正小标宋简体" w:hAnsi="方正小标宋简体" w:eastAsia="方正小标宋简体" w:cs="方正小标宋简体"/>
          <w:b/>
          <w:snapToGrid w:val="0"/>
          <w:kern w:val="44"/>
          <w:sz w:val="48"/>
          <w:szCs w:val="21"/>
          <w:lang w:eastAsia="en-US"/>
        </w:rPr>
        <w:t>部分</w:t>
      </w:r>
      <w:r>
        <w:rPr>
          <w:rFonts w:hint="eastAsia" w:ascii="方正小标宋简体" w:hAnsi="方正小标宋简体" w:eastAsia="方正小标宋简体" w:cs="方正小标宋简体"/>
          <w:b/>
          <w:snapToGrid w:val="0"/>
          <w:kern w:val="44"/>
          <w:sz w:val="48"/>
          <w:szCs w:val="21"/>
        </w:rPr>
        <w:t xml:space="preserve"> 应急管理制度</w:t>
      </w:r>
      <w:bookmarkEnd w:id="72"/>
      <w:bookmarkEnd w:id="73"/>
      <w:bookmarkEnd w:id="74"/>
      <w:bookmarkEnd w:id="75"/>
    </w:p>
    <w:p w14:paraId="1BC10CED">
      <w:pPr>
        <w:ind w:firstLine="640"/>
        <w:jc w:val="center"/>
        <w:rPr>
          <w:rFonts w:hint="eastAsia" w:ascii="方正小标宋简体" w:hAnsi="方正小标宋简体" w:eastAsia="方正小标宋简体" w:cs="方正小标宋简体"/>
        </w:rPr>
        <w:sectPr>
          <w:pgSz w:w="11906" w:h="16838"/>
          <w:pgMar w:top="1440" w:right="1800" w:bottom="1440" w:left="1800" w:header="851" w:footer="992" w:gutter="0"/>
          <w:cols w:space="720" w:num="1"/>
          <w:docGrid w:type="lines" w:linePitch="312" w:charSpace="0"/>
        </w:sectPr>
      </w:pPr>
    </w:p>
    <w:p w14:paraId="5819A58E">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76" w:name="_Toc117669905"/>
      <w:r>
        <w:rPr>
          <w:rFonts w:ascii="Times New Roman" w:hAnsi="Times New Roman" w:eastAsia="方正小标宋简体" w:cs="Arial"/>
          <w:snapToGrid w:val="0"/>
          <w:kern w:val="0"/>
          <w:sz w:val="44"/>
          <w:szCs w:val="21"/>
        </w:rPr>
        <w:t>应急管理制度</w:t>
      </w:r>
      <w:bookmarkEnd w:id="76"/>
    </w:p>
    <w:p w14:paraId="6AF1210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F8D380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27AC263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加强常德经济技术开发区枫树岗化工片区（以下简称“化工园区”）应急管理工作，提升应急救援协同联动效果，规范化工园区内事故事件及应急救援队伍和物资管理，依据相关法律法规和标准规范，制定本制度。</w:t>
      </w:r>
    </w:p>
    <w:p w14:paraId="1242B724">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本制度适用于化工园区和危险化学品企业消防与应急管理，其他生产经营单位按照法律法规和本行业领域标准规范执行。</w:t>
      </w:r>
    </w:p>
    <w:p w14:paraId="2478AB8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产业发展局（安全监管局）是化工园区应急管理的综合管理部门，负责综合指导、协调和监督。</w:t>
      </w:r>
    </w:p>
    <w:p w14:paraId="445956E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危险化学品企业对本企业应急管理工作负主体责任，应严格遵守相关法律法规和标准规范，并执行管委会制度要求。</w:t>
      </w:r>
    </w:p>
    <w:p w14:paraId="32669A61">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应急管理</w:t>
      </w:r>
    </w:p>
    <w:p w14:paraId="253D4E4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产业发展局（安全监管局）应委托具有相应资质的机构或由专业安全监管人员编制化工园区总体应急预案和专项预案。有关内设机构、危险化学品企业应配合编制工作。</w:t>
      </w:r>
    </w:p>
    <w:p w14:paraId="3BF01DB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预案编制完成后，应组织有关专家进行审定；必要时，可以召开听证会，听取社会有关方面的意见。通过评审后，应在市应急管理部门备案。</w:t>
      </w:r>
    </w:p>
    <w:p w14:paraId="05B0798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危险化学品企业应成立以单位有关负责人为组长，相关部门人员（生产、技术、设备、安全、行政、人事、财务等）参加的应急预案编制工作组，编制本企业综合应急预案、专项应急预案、现场处置方案。</w:t>
      </w:r>
    </w:p>
    <w:p w14:paraId="5E33028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预案编制、评审、备案应符合《生产安全事故应急预案管理办法》（原国家安全生产监督管理总局令第88号公布，应急管理部令第2号修正）、《生产经营单位生产安全事故应急预案编制导则》（GB/T29639）有关规定和要求。应急预案在属地应急管理部门备案后，应及时在安全风险智能化管控平台更新。</w:t>
      </w:r>
    </w:p>
    <w:p w14:paraId="65F5417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化工园区和危险化学品企业应急预案体系应结合实际包括以下内容：</w:t>
      </w:r>
    </w:p>
    <w:p w14:paraId="0CDCA00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1、生产安全事故风险评估报告。</w:t>
      </w:r>
    </w:p>
    <w:p w14:paraId="06F4492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2、生产安全事故应急资源调查报告。</w:t>
      </w:r>
    </w:p>
    <w:p w14:paraId="64A6DC0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3、综合应急预案。包括总则、应急组织机构及职责、应急响应、后期处置、应急保障。</w:t>
      </w:r>
    </w:p>
    <w:p w14:paraId="7054766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4、专项应急预案。包括适用范围、应急组织机构及职责、响应启动、处置措施、应急保障。</w:t>
      </w:r>
    </w:p>
    <w:p w14:paraId="734F102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5、现场处置方案。包括事故风险描述、应急工作职责、应急处置、注意事项。</w:t>
      </w:r>
    </w:p>
    <w:p w14:paraId="3B2C888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6、附件。包括生产经营单位概况、风险评估的结果、预案体系与衔接、应急物资装备的名录或清单，有关应急部门、机构或人员的联系方式，格式化文本，关键的路线、标识和图纸，有关协议或者备忘录。</w:t>
      </w:r>
    </w:p>
    <w:p w14:paraId="367F935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产业发展局（安全监管局）应每两年牵头组织一次生产安全事故应急救援预案演练，其他相关机构、危险化学品企业应按照预案分工参加演练活动。</w:t>
      </w:r>
    </w:p>
    <w:p w14:paraId="57435B3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危险化学品企业应至少每半年组织一次生产安全事故应急预案演练，每年至少进行一次重大危险源专项应急预案演练，每半年至少进行一次重大危险源现场处置方案演练，并对演练效果进行评估，每三年进行一次应急预案评估。</w:t>
      </w:r>
    </w:p>
    <w:p w14:paraId="4E0E860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有下列情形之一的，应急预案应及时修订并归档：</w:t>
      </w:r>
    </w:p>
    <w:p w14:paraId="1E386D7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1、依据的</w:t>
      </w:r>
      <w:r>
        <w:rPr>
          <w:rFonts w:hint="eastAsia" w:ascii="Times New Roman" w:hAnsi="Times New Roman" w:eastAsia="仿宋" w:cs="Arial"/>
          <w:snapToGrid w:val="0"/>
          <w:kern w:val="0"/>
          <w:sz w:val="32"/>
          <w:szCs w:val="21"/>
        </w:rPr>
        <w:t>法律法规</w:t>
      </w:r>
      <w:r>
        <w:rPr>
          <w:rFonts w:ascii="Times New Roman" w:hAnsi="Times New Roman" w:eastAsia="仿宋" w:cs="Arial"/>
          <w:snapToGrid w:val="0"/>
          <w:kern w:val="0"/>
          <w:sz w:val="32"/>
          <w:szCs w:val="21"/>
        </w:rPr>
        <w:t>、规章、标准及上位预案中的有关规定发生重大变化的。</w:t>
      </w:r>
    </w:p>
    <w:p w14:paraId="75CD6864">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2、应急指挥机构及其职责发生调整的。</w:t>
      </w:r>
    </w:p>
    <w:p w14:paraId="642ABA9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3、安全生产面临的风险发生重大变化的。</w:t>
      </w:r>
    </w:p>
    <w:p w14:paraId="5644186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4、重要应急资源发生重大变化的。</w:t>
      </w:r>
    </w:p>
    <w:p w14:paraId="0D69FFF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5、在应急演练和事故应急救援中发现需要修订预案的重大问题的。</w:t>
      </w:r>
    </w:p>
    <w:p w14:paraId="368C7B1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6、编制单位认为应当修订的其他情况。</w:t>
      </w:r>
    </w:p>
    <w:p w14:paraId="465A360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管委会有关内设机构应按照《应急物资储备管理办法》加强公共应急物资日常维护、更新，规范使用、调度、补偿及管理。</w:t>
      </w:r>
    </w:p>
    <w:p w14:paraId="0DD8B31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 xml:space="preserve">第十条 </w:t>
      </w:r>
      <w:r>
        <w:rPr>
          <w:rFonts w:ascii="Times New Roman" w:hAnsi="Times New Roman" w:eastAsia="仿宋" w:cs="Arial"/>
          <w:snapToGrid w:val="0"/>
          <w:kern w:val="0"/>
          <w:sz w:val="32"/>
          <w:szCs w:val="21"/>
        </w:rPr>
        <w:t xml:space="preserve"> 危险化学品企业应建立应急物资储备制度，按照《危险化学品单位应急救援物资配备要求》（GB30077）和应急预案配备相应的应急物资，并定期进行检查、维护保养和补充、更新，保证资源充足有效。涉及有毒气体生产、储存和使用的企业，应配备至少两套全封闭防化服。</w:t>
      </w:r>
    </w:p>
    <w:p w14:paraId="4D5B6AC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产业发展局（安全监管局）应依托现有资源，利用附近医疗资源合作共建化工园区医疗救护站，医疗急救队伍人员应符合国家有关医疗机构的标准规定。</w:t>
      </w:r>
    </w:p>
    <w:p w14:paraId="471CEE1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除基本医疗救援类装备和常用药品外，医疗救护站应配备中毒处置类装备、常用特效解毒药、洗消物资等，有条件的情况下可参照《化工园区化学事故医疗应急救援机构建设导则》（TCOSHA007）附录B、E、F进行配置。</w:t>
      </w:r>
    </w:p>
    <w:p w14:paraId="3BE714B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产业发展局（安全监管局）应依托现有资源，利用附近消防站、大型企业合作共建化工园区公共气体防护站。</w:t>
      </w:r>
    </w:p>
    <w:p w14:paraId="2B119B7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公共气防站应根据实际需要配备气体防护车，配置的其他设备设施应至少符合《化工园区开发建设导则》（GB/T42078）附录D的规定。</w:t>
      </w:r>
    </w:p>
    <w:p w14:paraId="5D8559C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大量生产、储存和使用有毒有害气体并危害人身安全的化工企业应设置气体防护站，气体防护站装备应至少符合《化工企业安全卫生设计规范》（HG20571）有关要求。</w:t>
      </w:r>
    </w:p>
    <w:p w14:paraId="5FD105D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危险化学品企业应按照《化工企业生产过程异常工况安全处置准则》规范和加强异常工况安全风险管控，提高异常工况安全处置意识和能力。包括但不限于以下要求：</w:t>
      </w:r>
    </w:p>
    <w:p w14:paraId="70D938C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1、对照异常工况情形，进行风险评估，建立或明确紧急处置程序，开展培训和演练，紧急处置程序至少应包括处置步骤、安全措施、停车条件等。</w:t>
      </w:r>
    </w:p>
    <w:p w14:paraId="5864354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2、紧急处置时，企业未开展评估和进行审批，不得摘除或旁路联锁以强制维持设备或装置运行。</w:t>
      </w:r>
    </w:p>
    <w:p w14:paraId="175D094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3、建立完善岗位人员紧急停车、人员撤离等授权机制。</w:t>
      </w:r>
    </w:p>
    <w:p w14:paraId="67391DB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4、装置联锁触发后应及时查明原因，并逐一消除联锁触发条件，严禁强行复位。</w:t>
      </w:r>
    </w:p>
    <w:p w14:paraId="1535CF2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5、必须及时响应装置所有报警。可燃气体和有毒气体检测、火灾报警系统报警后，严禁不分析原因、不到现场确认随意消除报警。</w:t>
      </w:r>
    </w:p>
    <w:p w14:paraId="4C598EB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6、动火、受限空间、设备或管线打开等作业，企业应按照规定办理作业审批。</w:t>
      </w:r>
    </w:p>
    <w:p w14:paraId="22C50A7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7、应急状态下应采取“及时退守到安全状态、现场处置人员最少化、全面辨识分析风险稳妥处置、有效防止能量意外释放、全局考虑统一指挥”的处置原则。</w:t>
      </w:r>
    </w:p>
    <w:p w14:paraId="7C2FB7CB">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8、应符合企业典型异常工况安全处置要点。</w:t>
      </w:r>
    </w:p>
    <w:p w14:paraId="4DAADFE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管委会各内设机构应按照《生产安全事故报告和调查处理条例》（国务院令第493号）有关规定和《枫树岗化工片区领导带班制度》第四章有关要求做好突发事件信息报送，报告内容应至少包括以下内容：</w:t>
      </w:r>
    </w:p>
    <w:p w14:paraId="2F5C962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1、事故发生时间、地点及事故现场情况。</w:t>
      </w:r>
    </w:p>
    <w:p w14:paraId="0DFA46D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2、事故的简要经过。</w:t>
      </w:r>
    </w:p>
    <w:p w14:paraId="557B8D2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3、事故已经造成或可能造成的伤亡人数和初步估计的直接经济损失。</w:t>
      </w:r>
    </w:p>
    <w:p w14:paraId="7FE3DB9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4、已经采取的措施。</w:t>
      </w:r>
    </w:p>
    <w:p w14:paraId="636C7E2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5、其他应当报告的情况。</w:t>
      </w:r>
    </w:p>
    <w:p w14:paraId="542FBA7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未经主要负责同志同意，严禁对外发布信息。</w:t>
      </w:r>
    </w:p>
    <w:p w14:paraId="46103D9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产业发展局（安全监管局）、开发建设局等部门应按照职能，配合市人民政府直接组织或授权、委托有关部门组织的事故调查。</w:t>
      </w:r>
    </w:p>
    <w:p w14:paraId="7817C110">
      <w:pPr>
        <w:ind w:firstLine="640"/>
        <w:sectPr>
          <w:pgSz w:w="11906" w:h="16838"/>
          <w:pgMar w:top="1440" w:right="1800" w:bottom="1440" w:left="1800" w:header="851" w:footer="992" w:gutter="0"/>
          <w:cols w:space="720" w:num="1"/>
          <w:docGrid w:type="lines" w:linePitch="312" w:charSpace="0"/>
        </w:sectPr>
      </w:pPr>
    </w:p>
    <w:p w14:paraId="425682A4">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77" w:name="_Toc1116134439"/>
      <w:r>
        <w:rPr>
          <w:rFonts w:ascii="Times New Roman" w:hAnsi="Times New Roman" w:eastAsia="方正小标宋简体" w:cs="Arial"/>
          <w:snapToGrid w:val="0"/>
          <w:kern w:val="0"/>
          <w:sz w:val="44"/>
          <w:szCs w:val="21"/>
        </w:rPr>
        <w:t>行业联合监管、协同执法、应急救援机制管理制度</w:t>
      </w:r>
      <w:bookmarkEnd w:id="77"/>
    </w:p>
    <w:p w14:paraId="0BDEA2ED">
      <w:pPr>
        <w:widowControl/>
        <w:snapToGrid w:val="0"/>
        <w:spacing w:line="600" w:lineRule="exact"/>
        <w:ind w:firstLine="640" w:firstLineChars="200"/>
        <w:jc w:val="center"/>
        <w:textAlignment w:val="baseline"/>
        <w:rPr>
          <w:rFonts w:ascii="Times New Roman" w:hAnsi="Times New Roman" w:eastAsia="仿宋" w:cs="Arial"/>
          <w:snapToGrid w:val="0"/>
          <w:kern w:val="0"/>
          <w:sz w:val="32"/>
          <w:szCs w:val="21"/>
        </w:rPr>
      </w:pPr>
    </w:p>
    <w:p w14:paraId="771D0D4D">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30942D72">
      <w:pPr>
        <w:widowControl/>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贯彻落实常德经济技术开发区枫树岗化工片区（以下简称“化工园区”）全行业联合监管、协同执法、应急救援有关要求，全面加强化工园区风险管控力度，杜绝重特大事故发生，以实现化工园区共建共治共享的机制，力求达到优化整体资源配置、强化资源信息互通，在更好地保证力度的前提下，降低对企业生产经营的影响，深度推进化工园区高质量安全发展。现将建立化工园区全行业监管、协同执法、应急救援机制要求明确如下。</w:t>
      </w:r>
    </w:p>
    <w:p w14:paraId="3FA04C99">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联动机制</w:t>
      </w:r>
    </w:p>
    <w:p w14:paraId="03A76FCA">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第二条  安全生产应急管理监管联动机制</w:t>
      </w:r>
    </w:p>
    <w:p w14:paraId="4978429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由产业发展局（安全监管局）牵头，根据职责分工，组织协调经开区各部门，从规划、立项、建设、生产、经营、退出全过程加强生产经营单位及新建、改建、扩建项目的一体化监督管理。同时，落实简政放权、放管结合、优化服务的改革目标，减轻生产经营单位负担，营造良好营商环境。</w:t>
      </w:r>
    </w:p>
    <w:p w14:paraId="259E98A2">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第三条  安全生产应急管理协同执法联动机制</w:t>
      </w:r>
    </w:p>
    <w:p w14:paraId="50523E2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由发起单位牵头，委托产业发展局（安全监管局），组织协调经开区各部门，依法加强化工园区生产经营单位及生产经营行为的一体化监督管理，进一步优化监管执法资源配置，采取联合执法、“双随机”执法等方式，避免重复执法、多头监管，减少对正常生产经营活动的干扰。对严重影响人民群众生命财产安全的，拒不执行法律法规规定及管理部门指令的，上级交办的各类违法行为进行严肃查处。综合运用责令整改、行政处罚、联合惩戒等手段，严厉打击违法行为。</w:t>
      </w:r>
    </w:p>
    <w:p w14:paraId="7E27BDC0">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联合检查采用查阅台账资料、现场检查、专项检查、暗查暗访等形式灵活开展。</w:t>
      </w:r>
    </w:p>
    <w:p w14:paraId="55A76F8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各单位严格按照“管行业必须管安全”的要求，根据各自工作职责开展常规性的日常检查，根据实际情况适时开展联合检查，对出现下列情形之一的，应根据需要开展不定期联合检查：</w:t>
      </w:r>
    </w:p>
    <w:p w14:paraId="136F575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1、日常检查中发现企业存在涉及多部门监管的安全隐患的；</w:t>
      </w:r>
    </w:p>
    <w:p w14:paraId="3176FD7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2、企业存在重大安全隐患不能保证安全生产，或重大安全隐患长期得不到治理应停产停业整顿或依法关闭的；</w:t>
      </w:r>
    </w:p>
    <w:p w14:paraId="3CE5F1E1">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3、各类安全生产大检查、隐患排查治理、专项督查活动等需要多部门协调配合、共同开展的；</w:t>
      </w:r>
    </w:p>
    <w:p w14:paraId="5C7D1B0E">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4、针对重大节假日、重点政治活动和突发性、紧急性安全事件等需要开展的。</w:t>
      </w:r>
    </w:p>
    <w:p w14:paraId="4683CB8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联合检查情况要形成检查记录，对检查中发现的安全隐患，各单位要按照工作职责督促企业进行整改，并及时将所查隐患问题闭环整改等材料反馈给产业发展局（安全监管局）收存归档。</w:t>
      </w:r>
    </w:p>
    <w:p w14:paraId="49236237">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第四条  应急救援联动机制</w:t>
      </w:r>
    </w:p>
    <w:p w14:paraId="6D7BBAF5">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由产业发展局（安全监管局）牵头，组织各部门按照职责建立健全应急组织体系，形成“横向到边、纵向到底”的应急工作网络。健全预案管理体系，增强监测预警能力，完善监测网络、建立快速响应机制，加强应急救援队伍建设，提高专兼职救援能力融合，推进专项应急物资储备，强化应急知识宣教普及。</w:t>
      </w:r>
    </w:p>
    <w:p w14:paraId="3EC0472F">
      <w:pPr>
        <w:widowControl/>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第五条  联合培训宣传机制</w:t>
      </w:r>
    </w:p>
    <w:p w14:paraId="7177AB6A">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产业发展局（安全监管局）牵头，组织各部门成员定期组织危险化学品、消防、环保、应急救援等领域专家，对化工园区及企业开展危险化学品、消防安全监管、环境保护和应急救援等进行培训，推动提高业务能力和指导水平。加强危险化学品、消防等领域专家交流沟通，建立一批跨领域、业务精的专家队伍，为联合监管和应急联动提供专业队伍支持。要加大对危险化学品企业主要负责人员、技术负责人员、安全责任人员、管理人员、应急救援人员和重要技术工种、特殊作业人员以及一线员工的安全能力培训，培养一批危险化学品、消防安全管理的“明白人”。加强对近年来发生的重特大等典型事故警示宣传，举一反三，强化教育。</w:t>
      </w:r>
    </w:p>
    <w:p w14:paraId="16F7FD71">
      <w:pPr>
        <w:ind w:firstLine="640"/>
        <w:sectPr>
          <w:pgSz w:w="11906" w:h="16838"/>
          <w:pgMar w:top="1440" w:right="1800" w:bottom="1440" w:left="1800" w:header="851" w:footer="992" w:gutter="0"/>
          <w:cols w:space="720" w:num="1"/>
          <w:docGrid w:type="lines" w:linePitch="312" w:charSpace="0"/>
        </w:sectPr>
      </w:pPr>
    </w:p>
    <w:p w14:paraId="42C29C50">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78" w:name="_Toc1907171203"/>
      <w:r>
        <w:rPr>
          <w:rFonts w:ascii="Times New Roman" w:hAnsi="Times New Roman" w:eastAsia="方正小标宋简体" w:cs="Arial"/>
          <w:snapToGrid w:val="0"/>
          <w:kern w:val="0"/>
          <w:sz w:val="44"/>
          <w:szCs w:val="21"/>
        </w:rPr>
        <w:t>化工园区企业及公共应急物资储备</w:t>
      </w:r>
      <w:bookmarkEnd w:id="78"/>
    </w:p>
    <w:p w14:paraId="3EF36EBF">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79" w:name="_Toc1003415645"/>
      <w:r>
        <w:rPr>
          <w:rFonts w:ascii="Times New Roman" w:hAnsi="Times New Roman" w:eastAsia="方正小标宋简体" w:cs="Arial"/>
          <w:snapToGrid w:val="0"/>
          <w:kern w:val="0"/>
          <w:sz w:val="44"/>
          <w:szCs w:val="21"/>
        </w:rPr>
        <w:t>保障制度</w:t>
      </w:r>
      <w:bookmarkEnd w:id="79"/>
    </w:p>
    <w:p w14:paraId="1BEC6C62">
      <w:pPr>
        <w:snapToGrid w:val="0"/>
        <w:spacing w:line="600" w:lineRule="exact"/>
        <w:ind w:firstLine="640" w:firstLineChars="200"/>
        <w:jc w:val="center"/>
        <w:textAlignment w:val="baseline"/>
        <w:rPr>
          <w:rFonts w:ascii="Times New Roman" w:hAnsi="Times New Roman" w:eastAsia="仿宋" w:cs="Arial"/>
          <w:snapToGrid w:val="0"/>
          <w:kern w:val="0"/>
          <w:sz w:val="32"/>
          <w:szCs w:val="21"/>
        </w:rPr>
      </w:pPr>
    </w:p>
    <w:p w14:paraId="58069AA8">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1067FB9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应急物资是突发事件应急救援处置的重要物质支撑。为加强化工园区及化工园区重点企业应急物资储备工作，提高预防和处置突发事件的物资保障能力，建立健全园区突发事件应急物资储备体系，特制定本制度。</w:t>
      </w:r>
    </w:p>
    <w:p w14:paraId="002AD008">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第二条  应急物资定义和原则</w:t>
      </w:r>
    </w:p>
    <w:p w14:paraId="057B7B0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应急物资：是指化工园区内发生生产安全事故后，用于实施抢险救援行动的工具、设备、器材等专业应急救援物资。</w:t>
      </w:r>
    </w:p>
    <w:p w14:paraId="6D2B974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原则：化工园区救援物资纳入园区统一管理，储存条件和要求必须根据情况分库、分类储存，</w:t>
      </w:r>
      <w:r>
        <w:rPr>
          <w:rFonts w:hint="eastAsia" w:ascii="Times New Roman" w:hAnsi="Times New Roman" w:eastAsia="仿宋" w:cs="Arial"/>
          <w:snapToGrid w:val="0"/>
          <w:kern w:val="0"/>
          <w:sz w:val="32"/>
          <w:szCs w:val="21"/>
        </w:rPr>
        <w:t>应急物资储备</w:t>
      </w:r>
      <w:r>
        <w:rPr>
          <w:rFonts w:ascii="Times New Roman" w:hAnsi="Times New Roman" w:eastAsia="仿宋" w:cs="Arial"/>
          <w:snapToGrid w:val="0"/>
          <w:kern w:val="0"/>
          <w:sz w:val="32"/>
          <w:szCs w:val="21"/>
        </w:rPr>
        <w:t>管理程序规范、制度健全。</w:t>
      </w:r>
    </w:p>
    <w:p w14:paraId="3C568D6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本制度适用于化工园区和化工园区内企业应急物资储备和管理。</w:t>
      </w:r>
    </w:p>
    <w:p w14:paraId="5F7BE55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产业发展局（安全监管局）负责化工园区公共应急救援物资管理；企业安全部门负责各自单位内的应急救援物资管理。产业发展局（安全监管局）指导化工园区内各企业应急物资储备管理工作，主要包括：对应急物资的建档、监督管理。</w:t>
      </w:r>
    </w:p>
    <w:p w14:paraId="2F1904A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应急物资储备要求</w:t>
      </w:r>
    </w:p>
    <w:p w14:paraId="6DD5602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化工园区内各企业根据本行业领域、本单位实际，按照国家、省、市有关要求，履行应急物资储备管理要求。</w:t>
      </w:r>
    </w:p>
    <w:p w14:paraId="2DD682F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 xml:space="preserve">第六条 </w:t>
      </w:r>
      <w:r>
        <w:rPr>
          <w:rFonts w:ascii="Times New Roman" w:hAnsi="Times New Roman" w:eastAsia="仿宋" w:cs="Arial"/>
          <w:snapToGrid w:val="0"/>
          <w:kern w:val="0"/>
          <w:sz w:val="32"/>
          <w:szCs w:val="21"/>
        </w:rPr>
        <w:t xml:space="preserve"> 应急物资储备按照“以人为本、统一调度、各司其职、分级负责、合理采购、分类储存、资源共享”的原则，建立以化工园区为主导，以消防队伍、专业应急救援队伍（专业储备单位）及重点骨干企业储备为主体，其他社会力量储备为辅助的应急物资储备、管理、调拨和紧急配送机制，保证在化工园区区域内突发生产安全事故应急救援行动的需要。</w:t>
      </w:r>
    </w:p>
    <w:p w14:paraId="196A628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产业发展局（安全监管局）根据辖区内产业结构特点，以及易发的、影响大的突发生产安全事故灾难的种类和特点，制定相应的应急物资储备种类、数量计划，组织落实应急物资储备，并对一些主要应急救援工具、设备、器材等物资实行定点储备管理。</w:t>
      </w:r>
    </w:p>
    <w:p w14:paraId="2153462A">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专业应急救援队伍（专业储备单位）根据职责要求和本专业领域应急物资的实际需要，储备足够的应急物资，并保持良好状态。</w:t>
      </w:r>
    </w:p>
    <w:p w14:paraId="12B780A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危险化学品、易燃易爆物品等重点骨干企业应依据国家和行业有关标准规定，切实加强应急救援队伍建设，根据当地政府要求及企业实际，建立本单位应急物资库，储备足够的应急物资，并保持良好状态。其他企业，应根据企业自身实际需要，配备应有的应急物资，并保持良好状态。</w:t>
      </w:r>
    </w:p>
    <w:p w14:paraId="24CFD79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各储备单位应及时掌握已采购应急物资的有效期。对临近或过期的应急物资，应根据实际情况采取转让或报废的处置方式。应急物资报废后需专业化处理的，应联系专门的机构进行销毁；对不需要专门机构销毁的，可自行组织无害化销毁。应急物资报废处置后应及时补充，确保应急物资处于满库状态。</w:t>
      </w:r>
    </w:p>
    <w:p w14:paraId="548DBF66">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应急物资管理</w:t>
      </w:r>
    </w:p>
    <w:p w14:paraId="5CF49135">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第十一条  化工园区公共应急物资管理</w:t>
      </w:r>
    </w:p>
    <w:p w14:paraId="2D73805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1、定期检查公共应急储备物资的采购、检查、更新、维护保养、报废工作情况；</w:t>
      </w:r>
    </w:p>
    <w:p w14:paraId="430F342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2、检查应急物资</w:t>
      </w:r>
      <w:r>
        <w:rPr>
          <w:rFonts w:hint="eastAsia" w:ascii="Times New Roman" w:hAnsi="Times New Roman" w:eastAsia="仿宋" w:cs="Arial"/>
          <w:snapToGrid w:val="0"/>
          <w:kern w:val="0"/>
          <w:sz w:val="32"/>
          <w:szCs w:val="21"/>
        </w:rPr>
        <w:t>管理台账</w:t>
      </w:r>
      <w:r>
        <w:rPr>
          <w:rFonts w:ascii="Times New Roman" w:hAnsi="Times New Roman" w:eastAsia="仿宋" w:cs="Arial"/>
          <w:snapToGrid w:val="0"/>
          <w:kern w:val="0"/>
          <w:sz w:val="32"/>
          <w:szCs w:val="21"/>
        </w:rPr>
        <w:t>，并实施动态管理，以便在应对突发生产安全事故灾难时，能够及时、准确调用各类应急物资；</w:t>
      </w:r>
    </w:p>
    <w:p w14:paraId="39510FB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3、应急物资储备应悬挂统一的标识牌，标明应急物资名称、规格等；</w:t>
      </w:r>
    </w:p>
    <w:p w14:paraId="75D3CA5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w:t>
      </w:r>
      <w:r>
        <w:rPr>
          <w:rFonts w:hint="eastAsia" w:ascii="Times New Roman" w:hAnsi="Times New Roman" w:eastAsia="仿宋" w:cs="Arial"/>
          <w:snapToGrid w:val="0"/>
          <w:kern w:val="0"/>
          <w:sz w:val="32"/>
          <w:szCs w:val="21"/>
        </w:rPr>
        <w:t>管理台账</w:t>
      </w:r>
      <w:r>
        <w:rPr>
          <w:rFonts w:ascii="Times New Roman" w:hAnsi="Times New Roman" w:eastAsia="仿宋" w:cs="Arial"/>
          <w:snapToGrid w:val="0"/>
          <w:kern w:val="0"/>
          <w:sz w:val="32"/>
          <w:szCs w:val="21"/>
        </w:rPr>
        <w:t>及时更新，以备产业发展局（安全监管局）抽查和调用；</w:t>
      </w:r>
    </w:p>
    <w:p w14:paraId="59078CE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5、严格执行产业发展局（安全监管局）调度命令，负责应急物资的紧急调运工作。</w:t>
      </w:r>
    </w:p>
    <w:p w14:paraId="11B48303">
      <w:pPr>
        <w:snapToGrid w:val="0"/>
        <w:spacing w:line="600" w:lineRule="exact"/>
        <w:ind w:firstLine="643" w:firstLineChars="200"/>
        <w:textAlignment w:val="baseline"/>
        <w:rPr>
          <w:rFonts w:ascii="Times New Roman" w:hAnsi="Times New Roman" w:eastAsia="仿宋" w:cs="Arial"/>
          <w:b/>
          <w:bCs/>
          <w:snapToGrid w:val="0"/>
          <w:kern w:val="0"/>
          <w:sz w:val="32"/>
          <w:szCs w:val="21"/>
        </w:rPr>
      </w:pPr>
      <w:r>
        <w:rPr>
          <w:rFonts w:ascii="Times New Roman" w:hAnsi="Times New Roman" w:eastAsia="仿宋" w:cs="Arial"/>
          <w:b/>
          <w:bCs/>
          <w:snapToGrid w:val="0"/>
          <w:kern w:val="0"/>
          <w:sz w:val="32"/>
          <w:szCs w:val="21"/>
        </w:rPr>
        <w:t>第十二条  化工园区内各企业应急物资储备管理</w:t>
      </w:r>
    </w:p>
    <w:p w14:paraId="5512B37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1、各企业指定特定部门对应急物资进行管理；</w:t>
      </w:r>
    </w:p>
    <w:p w14:paraId="497B26C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2、定期检查企业应急储备物资的采购、检查、更新、维护保养、报废工作情况；</w:t>
      </w:r>
    </w:p>
    <w:p w14:paraId="148C997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3、检查应急物资</w:t>
      </w:r>
      <w:r>
        <w:rPr>
          <w:rFonts w:hint="eastAsia" w:ascii="Times New Roman" w:hAnsi="Times New Roman" w:eastAsia="仿宋" w:cs="Arial"/>
          <w:snapToGrid w:val="0"/>
          <w:kern w:val="0"/>
          <w:sz w:val="32"/>
          <w:szCs w:val="21"/>
        </w:rPr>
        <w:t>管理台账</w:t>
      </w:r>
      <w:r>
        <w:rPr>
          <w:rFonts w:ascii="Times New Roman" w:hAnsi="Times New Roman" w:eastAsia="仿宋" w:cs="Arial"/>
          <w:snapToGrid w:val="0"/>
          <w:kern w:val="0"/>
          <w:sz w:val="32"/>
          <w:szCs w:val="21"/>
        </w:rPr>
        <w:t>，并实施动态管理，以便在应对突发生产安全事故灾难时，能够及时、准确调用各类应急物资；</w:t>
      </w:r>
    </w:p>
    <w:p w14:paraId="70E8EC0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4、应急物资储备应悬挂统一的标识牌，标明应急物资名称、规格等；</w:t>
      </w:r>
    </w:p>
    <w:p w14:paraId="32B4D64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w:t>
      </w:r>
      <w:r>
        <w:rPr>
          <w:rFonts w:hint="eastAsia" w:ascii="Times New Roman" w:hAnsi="Times New Roman" w:eastAsia="仿宋" w:cs="Arial"/>
          <w:snapToGrid w:val="0"/>
          <w:kern w:val="0"/>
          <w:sz w:val="32"/>
          <w:szCs w:val="21"/>
        </w:rPr>
        <w:t>管理台账</w:t>
      </w:r>
      <w:r>
        <w:rPr>
          <w:rFonts w:ascii="Times New Roman" w:hAnsi="Times New Roman" w:eastAsia="仿宋" w:cs="Arial"/>
          <w:snapToGrid w:val="0"/>
          <w:kern w:val="0"/>
          <w:sz w:val="32"/>
          <w:szCs w:val="21"/>
        </w:rPr>
        <w:t>及时更新，以备产业发展局（安全监管局）抽查和调用；</w:t>
      </w:r>
    </w:p>
    <w:p w14:paraId="5E8CA7D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6、严格执行产业发展局（安全监管局）调度命令，负责应急物资的紧急调运工作。</w:t>
      </w:r>
    </w:p>
    <w:p w14:paraId="5511068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应急物资应急调运</w:t>
      </w:r>
    </w:p>
    <w:p w14:paraId="093548AF">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第十三条</w:t>
      </w:r>
      <w:r>
        <w:rPr>
          <w:rFonts w:ascii="Times New Roman" w:hAnsi="Times New Roman" w:eastAsia="仿宋" w:cs="Arial"/>
          <w:snapToGrid w:val="0"/>
          <w:kern w:val="0"/>
          <w:sz w:val="32"/>
          <w:szCs w:val="21"/>
        </w:rPr>
        <w:t xml:space="preserve">  如化工园区内发生生产安全事故灾难后，应急物资由化工园区事故应急救援指挥部（以下简称应急指挥部）统一进行调配。</w:t>
      </w:r>
    </w:p>
    <w:p w14:paraId="5C3225E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生产经营单位发生生产安全事故灾难需从外部调用应急物资支援时，由现场救援队伍向应急指挥部提出申请，经批准同意后，产业发展局（安全监管局）协调其他应急物资储备单位负责实施。</w:t>
      </w:r>
    </w:p>
    <w:p w14:paraId="0AE5284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应急物资调用根据“先近后远、先主后次、满足急需”的原则进行。</w:t>
      </w:r>
    </w:p>
    <w:p w14:paraId="1447BE7C">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第十六条</w:t>
      </w:r>
      <w:r>
        <w:rPr>
          <w:rFonts w:ascii="Times New Roman" w:hAnsi="Times New Roman" w:eastAsia="仿宋" w:cs="Arial"/>
          <w:snapToGrid w:val="0"/>
          <w:kern w:val="0"/>
          <w:sz w:val="32"/>
          <w:szCs w:val="21"/>
        </w:rPr>
        <w:t xml:space="preserve">  当应急物资被用于事故应急救援处置后，储备单位应及时将消耗的应急物资的品种和数量信息录入台账，结合库存应急物资库存情况，研究制定补充应急物资储备的种类和数量计划，按照采购程序，及时补充或增加储备。</w:t>
      </w:r>
    </w:p>
    <w:p w14:paraId="1F634A7B">
      <w:pPr>
        <w:ind w:firstLine="640"/>
        <w:sectPr>
          <w:pgSz w:w="11906" w:h="16838"/>
          <w:pgMar w:top="1440" w:right="1800" w:bottom="1440" w:left="1800" w:header="851" w:footer="992" w:gutter="0"/>
          <w:cols w:space="720" w:num="1"/>
          <w:docGrid w:type="lines" w:linePitch="312" w:charSpace="0"/>
        </w:sectPr>
      </w:pPr>
    </w:p>
    <w:p w14:paraId="3F2D0356">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3CE5CBFD">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6CF8944">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2D1E62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977F21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09900AF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6027E9F">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8C09D7C">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70668479">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27F4FB69">
      <w:pPr>
        <w:keepNext/>
        <w:keepLines/>
        <w:snapToGrid w:val="0"/>
        <w:spacing w:line="600" w:lineRule="exact"/>
        <w:jc w:val="center"/>
        <w:textAlignment w:val="baseline"/>
        <w:outlineLvl w:val="0"/>
        <w:rPr>
          <w:rFonts w:hint="eastAsia" w:ascii="方正小标宋简体" w:hAnsi="方正小标宋简体" w:eastAsia="方正小标宋简体" w:cs="方正小标宋简体"/>
          <w:b/>
          <w:snapToGrid w:val="0"/>
          <w:spacing w:val="-20"/>
          <w:kern w:val="44"/>
          <w:sz w:val="48"/>
          <w:szCs w:val="21"/>
        </w:rPr>
      </w:pPr>
      <w:bookmarkStart w:id="80" w:name="_Toc2010518486"/>
      <w:bookmarkStart w:id="81" w:name="_Toc22668"/>
      <w:bookmarkStart w:id="82" w:name="_Toc760750295"/>
      <w:bookmarkStart w:id="83" w:name="_Toc1565945092"/>
      <w:r>
        <w:rPr>
          <w:rFonts w:hint="eastAsia" w:ascii="方正小标宋简体" w:hAnsi="方正小标宋简体" w:eastAsia="方正小标宋简体" w:cs="方正小标宋简体"/>
          <w:b/>
          <w:snapToGrid w:val="0"/>
          <w:kern w:val="44"/>
          <w:sz w:val="48"/>
          <w:szCs w:val="21"/>
        </w:rPr>
        <w:t xml:space="preserve">第八部分 </w:t>
      </w:r>
      <w:r>
        <w:rPr>
          <w:rFonts w:hint="eastAsia" w:ascii="方正小标宋简体" w:hAnsi="方正小标宋简体" w:eastAsia="方正小标宋简体" w:cs="方正小标宋简体"/>
          <w:b/>
          <w:snapToGrid w:val="0"/>
          <w:spacing w:val="-20"/>
          <w:kern w:val="44"/>
          <w:sz w:val="48"/>
          <w:szCs w:val="21"/>
        </w:rPr>
        <w:t>消防和自然灾害安全管理制度</w:t>
      </w:r>
      <w:bookmarkEnd w:id="80"/>
      <w:bookmarkEnd w:id="81"/>
      <w:bookmarkEnd w:id="82"/>
      <w:bookmarkEnd w:id="83"/>
    </w:p>
    <w:p w14:paraId="7C5DC2E2">
      <w:pPr>
        <w:ind w:firstLine="560"/>
        <w:jc w:val="center"/>
        <w:rPr>
          <w:rFonts w:hint="eastAsia" w:ascii="方正小标宋简体" w:hAnsi="方正小标宋简体" w:eastAsia="方正小标宋简体" w:cs="方正小标宋简体"/>
          <w:spacing w:val="-20"/>
        </w:rPr>
        <w:sectPr>
          <w:pgSz w:w="11906" w:h="16838"/>
          <w:pgMar w:top="1440" w:right="1800" w:bottom="1440" w:left="1800" w:header="851" w:footer="992" w:gutter="0"/>
          <w:cols w:space="720" w:num="1"/>
          <w:docGrid w:type="lines" w:linePitch="312" w:charSpace="0"/>
        </w:sectPr>
      </w:pPr>
    </w:p>
    <w:p w14:paraId="340A4CD7">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84" w:name="_Toc290782110"/>
      <w:r>
        <w:rPr>
          <w:rFonts w:ascii="Times New Roman" w:hAnsi="Times New Roman" w:eastAsia="方正小标宋简体" w:cs="Arial"/>
          <w:snapToGrid w:val="0"/>
          <w:kern w:val="0"/>
          <w:sz w:val="44"/>
          <w:szCs w:val="21"/>
        </w:rPr>
        <w:t>消防安全管理制度</w:t>
      </w:r>
      <w:bookmarkEnd w:id="84"/>
    </w:p>
    <w:p w14:paraId="0A32ADF3">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5547EE96">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  则</w:t>
      </w:r>
    </w:p>
    <w:p w14:paraId="4398C9E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为加强常德经济技术开发区枫树岗化工片区（以下简称“化工园区”）消防安全管理工作，提升应急救援协同联动效果，依据相关法律法规和标准规范，制定本制度。</w:t>
      </w:r>
    </w:p>
    <w:p w14:paraId="5785B15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 xml:space="preserve">第二条 </w:t>
      </w:r>
      <w:r>
        <w:rPr>
          <w:rFonts w:ascii="Times New Roman" w:hAnsi="Times New Roman" w:eastAsia="仿宋" w:cs="Arial"/>
          <w:snapToGrid w:val="0"/>
          <w:kern w:val="0"/>
          <w:sz w:val="32"/>
          <w:szCs w:val="21"/>
        </w:rPr>
        <w:t xml:space="preserve"> 本制度适用于化工园区和危险化学品企业消防安全管理，其他生产经营单位按照法律法规和本行业领域标准规范执行。</w:t>
      </w:r>
    </w:p>
    <w:p w14:paraId="3EF0AF4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产业发展局（安全监管局）是化工园区消防安全管理的综合管理部门，负责综合指导、协调和监督。</w:t>
      </w:r>
    </w:p>
    <w:p w14:paraId="3280B60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危险化学品企业对本企业消防安全管理工作负主体责任，应严格遵守相关法律法规和标准规范，并执行管委会制度要求。</w:t>
      </w:r>
    </w:p>
    <w:p w14:paraId="0ED4A4E2">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消防管理</w:t>
      </w:r>
    </w:p>
    <w:p w14:paraId="0EC6204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化工园区应编制消防救援专项规划或在总体规划中设置专篇。</w:t>
      </w:r>
    </w:p>
    <w:p w14:paraId="61D0599E">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消防救援专项规划应包括但不限于以下内容：</w:t>
      </w:r>
    </w:p>
    <w:p w14:paraId="110AF3D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1、总则。</w:t>
      </w:r>
    </w:p>
    <w:p w14:paraId="6C39591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2、火灾危险性分析。包括物料的火灾危险性；生产工艺和装置的火灾危险性；储存场所的火灾危险性储存运输的火灾危险性；储存运输的火灾危险性。</w:t>
      </w:r>
    </w:p>
    <w:p w14:paraId="6F1BCD53">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3、消防安全布局。包括现状分析、规划原则、园区总平面规划、园区企业规划、储存场所规划、运输物流规划，排水、排污规划。</w:t>
      </w:r>
    </w:p>
    <w:p w14:paraId="18A0E0A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4、消防站与消防装备。包括现状分析、规划原则、消防站、消防车辆、消防装备、企业消防站、消防训练基地。</w:t>
      </w:r>
    </w:p>
    <w:p w14:paraId="6ED7A8CE">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5、消防给水及灭火设施。</w:t>
      </w:r>
    </w:p>
    <w:p w14:paraId="6273D8E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6、消防供电。</w:t>
      </w:r>
    </w:p>
    <w:p w14:paraId="1153F4E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7、消防通信。</w:t>
      </w:r>
    </w:p>
    <w:p w14:paraId="5CE6E82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8、消防道路。</w:t>
      </w:r>
    </w:p>
    <w:p w14:paraId="21642C42">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9、规划实施保障措施。</w:t>
      </w:r>
    </w:p>
    <w:p w14:paraId="1B02938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10、消防规划实施与管理。</w:t>
      </w:r>
    </w:p>
    <w:p w14:paraId="4CE27AA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总体规划中的消防专篇应包括以上内容的第3~8点。</w:t>
      </w:r>
    </w:p>
    <w:p w14:paraId="278960D8">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编制程序应符合《枫树岗化工片区布局规划管理制度》第九条有关规定。</w:t>
      </w:r>
    </w:p>
    <w:p w14:paraId="5C550D1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消防站及车辆配备应符合国家、地方有关标准要求；消防器材配备应满足现场灭火、有毒有害气体防护、侦检、破拆、堵漏、供气、医疗救护、环境监测等实际需求；个人防护装备宜按《消防员个人防护装备配备标准》（XF 621）有关要求配备。</w:t>
      </w:r>
    </w:p>
    <w:p w14:paraId="45E333C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生产、储存易燃易爆危险品的大型企业，储备可燃的重要物资的大型仓库、基地，‌火灾危险性较大且距离消防站较远的其他大型企业应建立专职消防队。</w:t>
      </w:r>
    </w:p>
    <w:p w14:paraId="3845EA4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危险化学品企业专职消防队或微型消防站应根据本企业火灾危险特性配备相应的消防装备器材，储备足够的灭火救援药剂和物资，定期组织消防业务学习和灭火技能训练。</w:t>
      </w:r>
    </w:p>
    <w:p w14:paraId="6D3A6EB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国有危险化学品企业专职消防队人员、车辆、器材、药剂等配备应参照《危化企业消防站建设标准》执行。</w:t>
      </w:r>
    </w:p>
    <w:p w14:paraId="75B6BED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产业发展局（安全监管局）应协调或联合消防救援大队开展化工灾害事故救援能力建设，组织公共消防站和企业消防队伍联勤联训联战，加强日常运行和管理，包括但不限于以下内容：</w:t>
      </w:r>
    </w:p>
    <w:p w14:paraId="7EC4463F">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1、定期组织学习化工灾害事故处置专业知识，掌握灾害事故处置程序方法和安全要点，结合实战需要，编制实战操法，细化处置程序和指挥要点。</w:t>
      </w:r>
    </w:p>
    <w:p w14:paraId="4AC7E0BD">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2、组织开展体能、个人防护、侦检、警戒、灭火、堵漏、洗消等装备器材和消防车辆实际操作训练，掌握车辆装备器材的技术性能、操作规程和车辆应急操作方法。</w:t>
      </w:r>
    </w:p>
    <w:p w14:paraId="7105844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3、组织对辖区企业级公共设施逐一开展实地熟悉，开展辖区事故级灾害风险评估，确定重点保卫对象和重点部位，完善不同灾情、重点部位应急救援预案。</w:t>
      </w:r>
    </w:p>
    <w:p w14:paraId="7BAFAA6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根据不同季节和时间段特点组织制定年度应急演练计划，编制演练方案，并定期组织开展演练。演练内容至少包含危险化学品识别、车辆与装备的使用、公共消防站和企业消防队伍协调配合、对外协同联动和极端天气应对等内容。</w:t>
      </w:r>
    </w:p>
    <w:p w14:paraId="1D28DD67">
      <w:pPr>
        <w:ind w:firstLine="640"/>
        <w:sectPr>
          <w:pgSz w:w="11906" w:h="16838"/>
          <w:pgMar w:top="1440" w:right="1800" w:bottom="1440" w:left="1800" w:header="851" w:footer="992" w:gutter="0"/>
          <w:cols w:space="720" w:num="1"/>
          <w:docGrid w:type="lines" w:linePitch="312" w:charSpace="0"/>
        </w:sectPr>
      </w:pPr>
    </w:p>
    <w:p w14:paraId="43C283DF">
      <w:pPr>
        <w:keepNext/>
        <w:keepLines/>
        <w:snapToGrid w:val="0"/>
        <w:spacing w:line="600" w:lineRule="exact"/>
        <w:jc w:val="center"/>
        <w:textAlignment w:val="baseline"/>
        <w:outlineLvl w:val="1"/>
        <w:rPr>
          <w:rFonts w:ascii="Times New Roman" w:hAnsi="Times New Roman" w:eastAsia="方正小标宋简体" w:cs="Arial"/>
          <w:snapToGrid w:val="0"/>
          <w:kern w:val="0"/>
          <w:sz w:val="44"/>
          <w:szCs w:val="21"/>
        </w:rPr>
      </w:pPr>
      <w:bookmarkStart w:id="85" w:name="_Toc248639381"/>
      <w:r>
        <w:rPr>
          <w:rFonts w:ascii="Times New Roman" w:hAnsi="Times New Roman" w:eastAsia="方正小标宋简体" w:cs="Arial"/>
          <w:snapToGrid w:val="0"/>
          <w:kern w:val="0"/>
          <w:sz w:val="44"/>
          <w:szCs w:val="21"/>
        </w:rPr>
        <w:t>自然灾害监测预警和防范应对管理制度</w:t>
      </w:r>
      <w:bookmarkEnd w:id="85"/>
    </w:p>
    <w:p w14:paraId="1849D87B">
      <w:pPr>
        <w:widowControl/>
        <w:snapToGrid w:val="0"/>
        <w:spacing w:line="600" w:lineRule="exact"/>
        <w:ind w:firstLine="640" w:firstLineChars="200"/>
        <w:textAlignment w:val="baseline"/>
        <w:rPr>
          <w:rFonts w:ascii="Times New Roman" w:hAnsi="Times New Roman" w:eastAsia="仿宋" w:cs="Arial"/>
          <w:snapToGrid w:val="0"/>
          <w:kern w:val="0"/>
          <w:sz w:val="32"/>
          <w:szCs w:val="21"/>
        </w:rPr>
      </w:pPr>
    </w:p>
    <w:p w14:paraId="6402B1AF">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第一章  总则</w:t>
      </w:r>
    </w:p>
    <w:p w14:paraId="56677FF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第一条</w:t>
      </w:r>
      <w:r>
        <w:rPr>
          <w:rFonts w:ascii="Times New Roman" w:hAnsi="Times New Roman" w:eastAsia="仿宋" w:cs="Arial"/>
          <w:snapToGrid w:val="0"/>
          <w:kern w:val="0"/>
          <w:sz w:val="32"/>
          <w:szCs w:val="21"/>
        </w:rPr>
        <w:t xml:space="preserve">  为规范常德经济技术开发区枫树岗化工片区（以下简称“化工园区”）自然灾害监测预警和应急响应工作，最大限度预防和减少自然灾害损失，全力防范自然灾害引发生产安全事故，根据《中华人民共和国突发事件应对法》《常德经济技术开发区枫树岗化工片区生产安全事故应急预案》等法律法规及相关文件的要求，制定本制度。</w:t>
      </w:r>
    </w:p>
    <w:p w14:paraId="5BA4BDBB">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第二条</w:t>
      </w:r>
      <w:r>
        <w:rPr>
          <w:rFonts w:ascii="Times New Roman" w:hAnsi="Times New Roman" w:eastAsia="仿宋" w:cs="Arial"/>
          <w:snapToGrid w:val="0"/>
          <w:kern w:val="0"/>
          <w:sz w:val="32"/>
          <w:szCs w:val="21"/>
        </w:rPr>
        <w:t xml:space="preserve">  本制度所称自然灾害是指化工园区所在区域可能发生或受周边区域影响的地质灾害、水旱灾害、气象灾害等。</w:t>
      </w:r>
    </w:p>
    <w:p w14:paraId="5A0FA611">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第三条</w:t>
      </w:r>
      <w:r>
        <w:rPr>
          <w:rFonts w:ascii="Times New Roman" w:hAnsi="Times New Roman" w:eastAsia="仿宋" w:cs="Arial"/>
          <w:snapToGrid w:val="0"/>
          <w:kern w:val="0"/>
          <w:sz w:val="32"/>
          <w:szCs w:val="21"/>
        </w:rPr>
        <w:t xml:space="preserve">  本制度适用于常德经济技术开发区管理委员会（以下简称“管委会”）所属内设机构、国有企业及管理范围内生产经营单位。</w:t>
      </w:r>
    </w:p>
    <w:p w14:paraId="2562D309">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第二章  职责分工</w:t>
      </w:r>
    </w:p>
    <w:p w14:paraId="5B46D99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第四条</w:t>
      </w:r>
      <w:r>
        <w:rPr>
          <w:rFonts w:ascii="Times New Roman" w:hAnsi="Times New Roman" w:eastAsia="仿宋" w:cs="Arial"/>
          <w:snapToGrid w:val="0"/>
          <w:kern w:val="0"/>
          <w:sz w:val="32"/>
          <w:szCs w:val="21"/>
        </w:rPr>
        <w:t xml:space="preserve">  化工园区自然灾害监测预警和防范应对工作坚持综合协调、部门联动、专业防范、行业管理的原则。</w:t>
      </w:r>
    </w:p>
    <w:p w14:paraId="481616C0">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第五条</w:t>
      </w:r>
      <w:r>
        <w:rPr>
          <w:rFonts w:ascii="Times New Roman" w:hAnsi="Times New Roman" w:eastAsia="仿宋" w:cs="Arial"/>
          <w:snapToGrid w:val="0"/>
          <w:kern w:val="0"/>
          <w:sz w:val="32"/>
          <w:szCs w:val="21"/>
        </w:rPr>
        <w:t xml:space="preserve">  管委会所属内设机构、国有企业应依法履行自然灾害防治工作职责。</w:t>
      </w:r>
    </w:p>
    <w:p w14:paraId="127393A0">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1、产业发展局（安全监管局）负责统筹协调化工园区自然灾害监测预警和防范应对工作，加强与常德市、武陵区有关部门协调联动、信息共享；负责在各单灾种主管部门监测预警的基础上，组织开展综合会商研判；负责配合高温、低温、雨雪、雷电、冰冻等气象灾害行业主管部门开展监测预警和防范应对工作；负责督促指导工业企业落实自然灾害防范应对措施。</w:t>
      </w:r>
    </w:p>
    <w:p w14:paraId="76F32CBA">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2、开发建设局负责配合地质、水旱等灾害行业主管部门开展监测预警和防范应对工作；负责督促指导建筑施工单位落实自然灾害防范应对措施。</w:t>
      </w:r>
    </w:p>
    <w:p w14:paraId="6A07BFF9">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3、产业发展局（安全监管局）负责根据预警信息发布需求，建立自然灾害预警信息发布“绿色通道”，多途径、多手段及时让公众获取预警信息；负责各类自然灾害防范应对的后勤保障工作。</w:t>
      </w:r>
    </w:p>
    <w:p w14:paraId="465C9C95">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4、德源集团负责配合管委会自然灾害监测预警和防范应对工作，对本公司运营的公用设施等灾害防范应对工作负主体责任。</w:t>
      </w:r>
    </w:p>
    <w:p w14:paraId="69EFD3E6">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5、其他部门负责按照管委会统一部署，配合落实包抓化工园区自然灾害防范应对工作。</w:t>
      </w:r>
    </w:p>
    <w:p w14:paraId="30A0FB3E">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第三章  监测预警和会商研判</w:t>
      </w:r>
    </w:p>
    <w:p w14:paraId="2AD34773">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第六条</w:t>
      </w:r>
      <w:r>
        <w:rPr>
          <w:rFonts w:ascii="Times New Roman" w:hAnsi="Times New Roman" w:eastAsia="仿宋" w:cs="Arial"/>
          <w:snapToGrid w:val="0"/>
          <w:kern w:val="0"/>
          <w:sz w:val="32"/>
          <w:szCs w:val="21"/>
        </w:rPr>
        <w:t xml:space="preserve">  产业发展局（安全监管局）、开发建设局应配合自然灾害监测部门完善化工园区范围内地面监测站网布局，加密监测站点，消除监测盲区，提高监测覆盖率。</w:t>
      </w:r>
    </w:p>
    <w:p w14:paraId="0668DD0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第七条</w:t>
      </w:r>
      <w:r>
        <w:rPr>
          <w:rFonts w:ascii="Times New Roman" w:hAnsi="Times New Roman" w:eastAsia="仿宋" w:cs="Arial"/>
          <w:snapToGrid w:val="0"/>
          <w:kern w:val="0"/>
          <w:sz w:val="32"/>
          <w:szCs w:val="21"/>
        </w:rPr>
        <w:t xml:space="preserve">  产业发展局（安全监管局）、开发建设局应协调自然灾害监测部门将相关监测站点、设备数据接入智慧园区综合管理服务平台，实现监测预警信息交换共享、业务高效协同。产业发展局（安全监管局）应逐步拓展智慧园区综合管理服务平台自然灾害分析研判等功能，提高监测预警水平。</w:t>
      </w:r>
    </w:p>
    <w:p w14:paraId="7FF3E546">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第八条</w:t>
      </w:r>
      <w:r>
        <w:rPr>
          <w:rFonts w:ascii="Times New Roman" w:hAnsi="Times New Roman" w:eastAsia="仿宋" w:cs="Arial"/>
          <w:snapToGrid w:val="0"/>
          <w:kern w:val="0"/>
          <w:sz w:val="32"/>
          <w:szCs w:val="21"/>
        </w:rPr>
        <w:t xml:space="preserve">  产业发展局（安全监管局）应充分利用安全风险智能化管控平台公共区域监测设备，加强本级自然灾害监测预警。</w:t>
      </w:r>
    </w:p>
    <w:p w14:paraId="4AAFB42D">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第九条</w:t>
      </w:r>
      <w:r>
        <w:rPr>
          <w:rFonts w:ascii="Times New Roman" w:hAnsi="Times New Roman" w:eastAsia="仿宋" w:cs="Arial"/>
          <w:snapToGrid w:val="0"/>
          <w:kern w:val="0"/>
          <w:sz w:val="32"/>
          <w:szCs w:val="21"/>
        </w:rPr>
        <w:t xml:space="preserve">  产业发展局（安全监管局）应在季度末、汛前、节假日前、年末等重要节点，及时汇总分析自然灾害趋势预测信息。</w:t>
      </w:r>
    </w:p>
    <w:p w14:paraId="51A00507">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第十条</w:t>
      </w:r>
      <w:r>
        <w:rPr>
          <w:rFonts w:ascii="Times New Roman" w:hAnsi="Times New Roman" w:eastAsia="仿宋" w:cs="Arial"/>
          <w:snapToGrid w:val="0"/>
          <w:kern w:val="0"/>
          <w:sz w:val="32"/>
          <w:szCs w:val="21"/>
        </w:rPr>
        <w:t xml:space="preserve">  产业发展局（安全监管局）、开发建设局应密切关注重特大自然灾害发生发展全过程，根据职能分别开展气象和地质、水旱重大自然灾害快速综合研判，及时协同有关监测部门汇总分析监测预报预警信息，必要时加密会商，适时开展灾前预评估、灾中跟踪评估和灾后总结评估等，对自然灾害发生可能性及其影响范围、损失影响和后续风险等开展快速综合研判，形成报告并不断更新。</w:t>
      </w:r>
    </w:p>
    <w:p w14:paraId="02EDBFDA">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第四章  预警发布</w:t>
      </w:r>
    </w:p>
    <w:p w14:paraId="75E5CDA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第十一条</w:t>
      </w:r>
      <w:r>
        <w:rPr>
          <w:rFonts w:ascii="Times New Roman" w:hAnsi="Times New Roman" w:eastAsia="仿宋" w:cs="Arial"/>
          <w:snapToGrid w:val="0"/>
          <w:kern w:val="0"/>
          <w:sz w:val="32"/>
          <w:szCs w:val="21"/>
        </w:rPr>
        <w:t xml:space="preserve">  省、市各自然灾害应急指挥部（办公室）或有关部门发布的自然灾害预警信号，分别由管委会办公室、产业发展局（安全监管局）、开发建设局向干部职工、工业企业、建筑施工单位转发。</w:t>
      </w:r>
    </w:p>
    <w:p w14:paraId="0C0FA078">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第十二条</w:t>
      </w:r>
      <w:r>
        <w:rPr>
          <w:rFonts w:ascii="Times New Roman" w:hAnsi="Times New Roman" w:eastAsia="仿宋" w:cs="Arial"/>
          <w:snapToGrid w:val="0"/>
          <w:kern w:val="0"/>
          <w:sz w:val="32"/>
          <w:szCs w:val="21"/>
        </w:rPr>
        <w:t xml:space="preserve">  经管委会有关部门监测和分析研判后，确有必要以管委会名义发布的预警信息，应严格执行预警审签发布制度。</w:t>
      </w:r>
    </w:p>
    <w:p w14:paraId="4E8BDE8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红色、橙色预警信息由相关部门会商提出预警内容，经产业发展局（安全监管局）会审后，逐级报管委会主要领导同志批准，由办公室统一发布。</w:t>
      </w:r>
    </w:p>
    <w:p w14:paraId="66E3DC91">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黄色、蓝色预警信息由相关部门会商提出预警内容，经产业发展局（安全监管局）会审后，报管委会分管领导同志审定，由预警提出机构和产业发展局（安全监管局）联合发布。</w:t>
      </w:r>
    </w:p>
    <w:p w14:paraId="4E91A17C">
      <w:pPr>
        <w:snapToGrid w:val="0"/>
        <w:spacing w:line="600" w:lineRule="exact"/>
        <w:ind w:firstLine="640"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snapToGrid w:val="0"/>
          <w:kern w:val="0"/>
          <w:sz w:val="32"/>
          <w:szCs w:val="21"/>
        </w:rPr>
        <w:t>升级预警级别、延长预警时限，按照相应级别的审签发布程序执行。</w:t>
      </w:r>
    </w:p>
    <w:p w14:paraId="43ECE0B9">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 xml:space="preserve">第十三条 </w:t>
      </w:r>
      <w:r>
        <w:rPr>
          <w:rFonts w:ascii="Times New Roman" w:hAnsi="Times New Roman" w:eastAsia="仿宋" w:cs="Arial"/>
          <w:snapToGrid w:val="0"/>
          <w:kern w:val="0"/>
          <w:sz w:val="32"/>
          <w:szCs w:val="21"/>
        </w:rPr>
        <w:t>产业发展局（安全监管局）应协调通信部门及时、准确、无偿向灾害预警区域手机用户靶向发送红色预警短信。各生产经营单位收到预警信息后，应通过电子显示屏、内部工作群等方式立即传播预警信息。</w:t>
      </w:r>
    </w:p>
    <w:p w14:paraId="7175E867">
      <w:pPr>
        <w:keepNext/>
        <w:keepLines/>
        <w:snapToGrid w:val="0"/>
        <w:spacing w:line="600" w:lineRule="exact"/>
        <w:jc w:val="center"/>
        <w:textAlignment w:val="baseline"/>
        <w:outlineLvl w:val="2"/>
        <w:rPr>
          <w:rFonts w:ascii="Times New Roman" w:hAnsi="Times New Roman" w:eastAsia="黑体" w:cs="Arial"/>
          <w:snapToGrid w:val="0"/>
          <w:kern w:val="0"/>
          <w:sz w:val="32"/>
          <w:szCs w:val="21"/>
        </w:rPr>
      </w:pPr>
      <w:r>
        <w:rPr>
          <w:rFonts w:ascii="Times New Roman" w:hAnsi="Times New Roman" w:eastAsia="黑体" w:cs="Arial"/>
          <w:snapToGrid w:val="0"/>
          <w:kern w:val="0"/>
          <w:sz w:val="32"/>
          <w:szCs w:val="21"/>
        </w:rPr>
        <w:t>第五章  预警响应措施</w:t>
      </w:r>
    </w:p>
    <w:p w14:paraId="5361B765">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第十四条</w:t>
      </w:r>
      <w:r>
        <w:rPr>
          <w:rFonts w:ascii="Times New Roman" w:hAnsi="Times New Roman" w:eastAsia="仿宋" w:cs="Arial"/>
          <w:snapToGrid w:val="0"/>
          <w:kern w:val="0"/>
          <w:sz w:val="32"/>
          <w:szCs w:val="21"/>
        </w:rPr>
        <w:t xml:space="preserve">  管委会各部门在接到预警信息后，应按照有关规定和预案，采取有效措施做好防范应对工作，避免或减轻自然灾害造成的危害，防范因自然灾害引发生产安全事故特别是危险化学品次生灾害。</w:t>
      </w:r>
    </w:p>
    <w:p w14:paraId="66C580D2">
      <w:pPr>
        <w:snapToGrid w:val="0"/>
        <w:spacing w:line="600" w:lineRule="exact"/>
        <w:ind w:firstLine="643" w:firstLineChars="200"/>
        <w:textAlignment w:val="baseline"/>
        <w:rPr>
          <w:rFonts w:ascii="Times New Roman" w:hAnsi="Times New Roman" w:eastAsia="仿宋" w:cs="Arial"/>
          <w:snapToGrid w:val="0"/>
          <w:kern w:val="0"/>
          <w:sz w:val="32"/>
          <w:szCs w:val="21"/>
        </w:rPr>
      </w:pPr>
      <w:r>
        <w:rPr>
          <w:rFonts w:ascii="Times New Roman" w:hAnsi="Times New Roman" w:eastAsia="仿宋" w:cs="Arial"/>
          <w:b/>
          <w:bCs/>
          <w:snapToGrid w:val="0"/>
          <w:kern w:val="0"/>
          <w:sz w:val="32"/>
          <w:szCs w:val="21"/>
        </w:rPr>
        <w:t>第十五条</w:t>
      </w:r>
      <w:r>
        <w:rPr>
          <w:rFonts w:ascii="Times New Roman" w:hAnsi="Times New Roman" w:eastAsia="仿宋" w:cs="Arial"/>
          <w:snapToGrid w:val="0"/>
          <w:kern w:val="0"/>
          <w:sz w:val="32"/>
          <w:szCs w:val="21"/>
        </w:rPr>
        <w:t xml:space="preserve">  各生产经营建设单位接到预警信息后，应加强安全防护，根据预警级别，结合实际做好应对工作。</w:t>
      </w:r>
    </w:p>
    <w:p w14:paraId="41EBDE0B"/>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C4724">
    <w:pPr>
      <w:tabs>
        <w:tab w:val="center" w:pos="4153"/>
        <w:tab w:val="right" w:pos="8306"/>
      </w:tabs>
      <w:kinsoku w:val="0"/>
      <w:autoSpaceDE w:val="0"/>
      <w:autoSpaceDN w:val="0"/>
      <w:adjustRightInd w:val="0"/>
      <w:snapToGrid w:val="0"/>
      <w:spacing w:line="600" w:lineRule="exact"/>
      <w:ind w:firstLine="360" w:firstLineChars="200"/>
      <w:jc w:val="left"/>
      <w:textAlignment w:val="baseline"/>
      <w:rPr>
        <w:rFonts w:ascii="Times New Roman" w:hAnsi="Times New Roman" w:eastAsia="仿宋" w:cs="Arial"/>
        <w:snapToGrid w:val="0"/>
        <w:color w:val="000000"/>
        <w:kern w:val="0"/>
        <w:sz w:val="18"/>
        <w:szCs w:val="21"/>
        <w:lang w:eastAsia="en-US"/>
      </w:rPr>
    </w:pPr>
    <w:r>
      <w:rPr>
        <w:rFonts w:ascii="Times New Roman" w:hAnsi="Times New Roman" w:eastAsia="仿宋" w:cs="Arial"/>
        <w:snapToGrid w:val="0"/>
        <w:color w:val="000000"/>
        <w:kern w:val="0"/>
        <w:sz w:val="18"/>
        <w:szCs w:val="21"/>
        <w:lang w:eastAsia="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978535" cy="381000"/>
              <wp:effectExtent l="0" t="0" r="0" b="0"/>
              <wp:wrapNone/>
              <wp:docPr id="4" name="文本框 2"/>
              <wp:cNvGraphicFramePr/>
              <a:graphic xmlns:a="http://schemas.openxmlformats.org/drawingml/2006/main">
                <a:graphicData uri="http://schemas.microsoft.com/office/word/2010/wordprocessingShape">
                  <wps:wsp>
                    <wps:cNvSpPr/>
                    <wps:spPr>
                      <a:xfrm>
                        <a:off x="0" y="0"/>
                        <a:ext cx="978535" cy="381000"/>
                      </a:xfrm>
                      <a:prstGeom prst="rect">
                        <a:avLst/>
                      </a:prstGeom>
                      <a:noFill/>
                      <a:ln>
                        <a:noFill/>
                      </a:ln>
                    </wps:spPr>
                    <wps:txbx>
                      <w:txbxContent>
                        <w:p w14:paraId="0E124EA3">
                          <w:pPr>
                            <w:tabs>
                              <w:tab w:val="center" w:pos="4153"/>
                              <w:tab w:val="right" w:pos="8306"/>
                            </w:tabs>
                            <w:kinsoku w:val="0"/>
                            <w:autoSpaceDE w:val="0"/>
                            <w:autoSpaceDN w:val="0"/>
                            <w:adjustRightInd w:val="0"/>
                            <w:snapToGrid w:val="0"/>
                            <w:spacing w:line="600" w:lineRule="exact"/>
                            <w:ind w:firstLine="560" w:firstLineChars="200"/>
                            <w:jc w:val="left"/>
                            <w:textAlignment w:val="baseline"/>
                            <w:rPr>
                              <w:rFonts w:ascii="Times New Roman" w:hAnsi="Times New Roman" w:eastAsia="仿宋" w:cs="Arial"/>
                              <w:snapToGrid w:val="0"/>
                              <w:color w:val="000000"/>
                              <w:kern w:val="0"/>
                              <w:sz w:val="28"/>
                              <w:szCs w:val="28"/>
                              <w:lang w:eastAsia="en-US"/>
                            </w:rPr>
                          </w:pPr>
                          <w:r>
                            <w:rPr>
                              <w:rFonts w:hint="eastAsia" w:ascii="Times New Roman" w:hAnsi="Times New Roman" w:eastAsia="仿宋" w:cs="Arial"/>
                              <w:snapToGrid w:val="0"/>
                              <w:color w:val="000000"/>
                              <w:kern w:val="0"/>
                              <w:sz w:val="28"/>
                              <w:szCs w:val="28"/>
                            </w:rPr>
                            <w:t xml:space="preserve">— </w:t>
                          </w:r>
                          <w:r>
                            <w:rPr>
                              <w:rFonts w:ascii="Times New Roman" w:hAnsi="Times New Roman" w:eastAsia="仿宋" w:cs="Arial"/>
                              <w:snapToGrid w:val="0"/>
                              <w:color w:val="000000"/>
                              <w:kern w:val="0"/>
                              <w:sz w:val="28"/>
                              <w:szCs w:val="28"/>
                              <w:lang w:eastAsia="en-US"/>
                            </w:rPr>
                            <w:fldChar w:fldCharType="begin"/>
                          </w:r>
                          <w:r>
                            <w:rPr>
                              <w:rFonts w:ascii="Times New Roman" w:hAnsi="Times New Roman" w:eastAsia="仿宋" w:cs="Arial"/>
                              <w:snapToGrid w:val="0"/>
                              <w:color w:val="000000"/>
                              <w:kern w:val="0"/>
                              <w:sz w:val="28"/>
                              <w:szCs w:val="28"/>
                              <w:lang w:eastAsia="en-US"/>
                            </w:rPr>
                            <w:instrText xml:space="preserve"> PAGE  \* MERGEFORMAT </w:instrText>
                          </w:r>
                          <w:r>
                            <w:rPr>
                              <w:rFonts w:ascii="Times New Roman" w:hAnsi="Times New Roman" w:eastAsia="仿宋" w:cs="Arial"/>
                              <w:snapToGrid w:val="0"/>
                              <w:color w:val="000000"/>
                              <w:kern w:val="0"/>
                              <w:sz w:val="28"/>
                              <w:szCs w:val="28"/>
                              <w:lang w:eastAsia="en-US"/>
                            </w:rPr>
                            <w:fldChar w:fldCharType="separate"/>
                          </w:r>
                          <w:r>
                            <w:rPr>
                              <w:rFonts w:ascii="Times New Roman" w:hAnsi="Times New Roman" w:eastAsia="仿宋" w:cs="Arial"/>
                              <w:snapToGrid w:val="0"/>
                              <w:color w:val="000000"/>
                              <w:kern w:val="0"/>
                              <w:sz w:val="18"/>
                              <w:szCs w:val="21"/>
                              <w:lang w:eastAsia="en-US"/>
                            </w:rPr>
                            <w:t>1</w:t>
                          </w:r>
                          <w:r>
                            <w:rPr>
                              <w:rFonts w:ascii="Times New Roman" w:hAnsi="Times New Roman" w:eastAsia="仿宋" w:cs="Arial"/>
                              <w:snapToGrid w:val="0"/>
                              <w:color w:val="000000"/>
                              <w:kern w:val="0"/>
                              <w:sz w:val="28"/>
                              <w:szCs w:val="28"/>
                              <w:lang w:eastAsia="en-US"/>
                            </w:rPr>
                            <w:fldChar w:fldCharType="end"/>
                          </w:r>
                          <w:r>
                            <w:rPr>
                              <w:rFonts w:hint="eastAsia" w:ascii="Times New Roman" w:hAnsi="Times New Roman" w:eastAsia="仿宋" w:cs="Arial"/>
                              <w:snapToGrid w:val="0"/>
                              <w:color w:val="000000"/>
                              <w:kern w:val="0"/>
                              <w:sz w:val="28"/>
                              <w:szCs w:val="28"/>
                            </w:rPr>
                            <w:t xml:space="preserve"> —</w:t>
                          </w:r>
                        </w:p>
                      </w:txbxContent>
                    </wps:txbx>
                    <wps:bodyPr wrap="none" lIns="0" tIns="0" rIns="0" bIns="0" upright="1">
                      <a:spAutoFit/>
                    </wps:bodyPr>
                  </wps:wsp>
                </a:graphicData>
              </a:graphic>
            </wp:anchor>
          </w:drawing>
        </mc:Choice>
        <mc:Fallback>
          <w:pict>
            <v:rect id="文本框 2" o:spid="_x0000_s1026" o:spt="1" style="position:absolute;left:0pt;margin-top:0pt;height:30pt;width:77.05pt;mso-position-horizontal:center;mso-position-horizontal-relative:margin;mso-wrap-style:none;z-index:251661312;mso-width-relative:page;mso-height-relative:page;" filled="f" stroked="f" coordsize="21600,21600" o:gfxdata="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ulBBNIAAAAEAQAADwAAAAAAAAABACAAAAAiAAAAZHJzL2Rvd25yZXYu&#10;eG1sUEsBAhQAFAAAAAgAh07iQLYricDIAQAAjQMAAA4AAAAAAAAAAQAgAAAAIQEAAGRycy9lMm9E&#10;b2MueG1sUEsFBgAAAAAGAAYAWQEAAFsFAAAAAA==&#10;">
              <v:fill on="f" focussize="0,0"/>
              <v:stroke on="f"/>
              <v:imagedata o:title=""/>
              <o:lock v:ext="edit" aspectratio="f"/>
              <v:textbox inset="0mm,0mm,0mm,0mm" style="mso-fit-shape-to-text:t;">
                <w:txbxContent>
                  <w:p w14:paraId="0E124EA3">
                    <w:pPr>
                      <w:tabs>
                        <w:tab w:val="center" w:pos="4153"/>
                        <w:tab w:val="right" w:pos="8306"/>
                      </w:tabs>
                      <w:kinsoku w:val="0"/>
                      <w:autoSpaceDE w:val="0"/>
                      <w:autoSpaceDN w:val="0"/>
                      <w:adjustRightInd w:val="0"/>
                      <w:snapToGrid w:val="0"/>
                      <w:spacing w:line="600" w:lineRule="exact"/>
                      <w:ind w:firstLine="560" w:firstLineChars="200"/>
                      <w:jc w:val="left"/>
                      <w:textAlignment w:val="baseline"/>
                      <w:rPr>
                        <w:rFonts w:ascii="Times New Roman" w:hAnsi="Times New Roman" w:eastAsia="仿宋" w:cs="Arial"/>
                        <w:snapToGrid w:val="0"/>
                        <w:color w:val="000000"/>
                        <w:kern w:val="0"/>
                        <w:sz w:val="28"/>
                        <w:szCs w:val="28"/>
                        <w:lang w:eastAsia="en-US"/>
                      </w:rPr>
                    </w:pPr>
                    <w:r>
                      <w:rPr>
                        <w:rFonts w:hint="eastAsia" w:ascii="Times New Roman" w:hAnsi="Times New Roman" w:eastAsia="仿宋" w:cs="Arial"/>
                        <w:snapToGrid w:val="0"/>
                        <w:color w:val="000000"/>
                        <w:kern w:val="0"/>
                        <w:sz w:val="28"/>
                        <w:szCs w:val="28"/>
                      </w:rPr>
                      <w:t xml:space="preserve">— </w:t>
                    </w:r>
                    <w:r>
                      <w:rPr>
                        <w:rFonts w:ascii="Times New Roman" w:hAnsi="Times New Roman" w:eastAsia="仿宋" w:cs="Arial"/>
                        <w:snapToGrid w:val="0"/>
                        <w:color w:val="000000"/>
                        <w:kern w:val="0"/>
                        <w:sz w:val="28"/>
                        <w:szCs w:val="28"/>
                        <w:lang w:eastAsia="en-US"/>
                      </w:rPr>
                      <w:fldChar w:fldCharType="begin"/>
                    </w:r>
                    <w:r>
                      <w:rPr>
                        <w:rFonts w:ascii="Times New Roman" w:hAnsi="Times New Roman" w:eastAsia="仿宋" w:cs="Arial"/>
                        <w:snapToGrid w:val="0"/>
                        <w:color w:val="000000"/>
                        <w:kern w:val="0"/>
                        <w:sz w:val="28"/>
                        <w:szCs w:val="28"/>
                        <w:lang w:eastAsia="en-US"/>
                      </w:rPr>
                      <w:instrText xml:space="preserve"> PAGE  \* MERGEFORMAT </w:instrText>
                    </w:r>
                    <w:r>
                      <w:rPr>
                        <w:rFonts w:ascii="Times New Roman" w:hAnsi="Times New Roman" w:eastAsia="仿宋" w:cs="Arial"/>
                        <w:snapToGrid w:val="0"/>
                        <w:color w:val="000000"/>
                        <w:kern w:val="0"/>
                        <w:sz w:val="28"/>
                        <w:szCs w:val="28"/>
                        <w:lang w:eastAsia="en-US"/>
                      </w:rPr>
                      <w:fldChar w:fldCharType="separate"/>
                    </w:r>
                    <w:r>
                      <w:rPr>
                        <w:rFonts w:ascii="Times New Roman" w:hAnsi="Times New Roman" w:eastAsia="仿宋" w:cs="Arial"/>
                        <w:snapToGrid w:val="0"/>
                        <w:color w:val="000000"/>
                        <w:kern w:val="0"/>
                        <w:sz w:val="18"/>
                        <w:szCs w:val="21"/>
                        <w:lang w:eastAsia="en-US"/>
                      </w:rPr>
                      <w:t>1</w:t>
                    </w:r>
                    <w:r>
                      <w:rPr>
                        <w:rFonts w:ascii="Times New Roman" w:hAnsi="Times New Roman" w:eastAsia="仿宋" w:cs="Arial"/>
                        <w:snapToGrid w:val="0"/>
                        <w:color w:val="000000"/>
                        <w:kern w:val="0"/>
                        <w:sz w:val="28"/>
                        <w:szCs w:val="28"/>
                        <w:lang w:eastAsia="en-US"/>
                      </w:rPr>
                      <w:fldChar w:fldCharType="end"/>
                    </w:r>
                    <w:r>
                      <w:rPr>
                        <w:rFonts w:hint="eastAsia" w:ascii="Times New Roman" w:hAnsi="Times New Roman" w:eastAsia="仿宋" w:cs="Arial"/>
                        <w:snapToGrid w:val="0"/>
                        <w:color w:val="000000"/>
                        <w:kern w:val="0"/>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96AF6">
    <w:pPr>
      <w:kinsoku w:val="0"/>
      <w:autoSpaceDE w:val="0"/>
      <w:autoSpaceDN w:val="0"/>
      <w:adjustRightInd w:val="0"/>
      <w:snapToGrid w:val="0"/>
      <w:spacing w:line="600" w:lineRule="exact"/>
      <w:ind w:firstLine="360" w:firstLineChars="200"/>
      <w:jc w:val="left"/>
      <w:textAlignment w:val="baseline"/>
      <w:rPr>
        <w:rFonts w:ascii="Calibri" w:hAnsi="Calibri" w:eastAsia="宋体" w:cs="Arial"/>
        <w:snapToGrid w:val="0"/>
        <w:color w:val="000000"/>
        <w:sz w:val="18"/>
      </w:rPr>
    </w:pPr>
    <w:r>
      <w:rPr>
        <w:rFonts w:ascii="Calibri" w:hAnsi="Calibri" w:eastAsia="宋体" w:cs="Arial"/>
        <w:snapToGrid w:val="0"/>
        <w:color w:val="000000"/>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67435" cy="381000"/>
              <wp:effectExtent l="0" t="0" r="0" b="0"/>
              <wp:wrapNone/>
              <wp:docPr id="2" name="文本框 4"/>
              <wp:cNvGraphicFramePr/>
              <a:graphic xmlns:a="http://schemas.openxmlformats.org/drawingml/2006/main">
                <a:graphicData uri="http://schemas.microsoft.com/office/word/2010/wordprocessingShape">
                  <wps:wsp>
                    <wps:cNvSpPr/>
                    <wps:spPr>
                      <a:xfrm>
                        <a:off x="0" y="0"/>
                        <a:ext cx="1067435" cy="381000"/>
                      </a:xfrm>
                      <a:prstGeom prst="rect">
                        <a:avLst/>
                      </a:prstGeom>
                      <a:noFill/>
                      <a:ln>
                        <a:noFill/>
                      </a:ln>
                    </wps:spPr>
                    <wps:txbx>
                      <w:txbxContent>
                        <w:p w14:paraId="3D3F2BA1">
                          <w:pPr>
                            <w:kinsoku w:val="0"/>
                            <w:autoSpaceDE w:val="0"/>
                            <w:autoSpaceDN w:val="0"/>
                            <w:adjustRightInd w:val="0"/>
                            <w:snapToGrid w:val="0"/>
                            <w:spacing w:line="600" w:lineRule="exact"/>
                            <w:ind w:firstLine="560" w:firstLineChars="200"/>
                            <w:jc w:val="left"/>
                            <w:textAlignment w:val="baseline"/>
                            <w:rPr>
                              <w:rFonts w:ascii="Times New Roman" w:hAnsi="Times New Roman" w:eastAsia="宋体" w:cs="Arial"/>
                              <w:snapToGrid w:val="0"/>
                              <w:color w:val="000000"/>
                              <w:sz w:val="28"/>
                              <w:szCs w:val="28"/>
                            </w:rPr>
                          </w:pPr>
                          <w:r>
                            <w:rPr>
                              <w:rFonts w:ascii="Times New Roman" w:hAnsi="Times New Roman" w:eastAsia="仿宋_GB2312" w:cs="Arial"/>
                              <w:snapToGrid w:val="0"/>
                              <w:color w:val="000000"/>
                              <w:sz w:val="28"/>
                              <w:szCs w:val="28"/>
                            </w:rPr>
                            <w:t xml:space="preserve">— </w:t>
                          </w:r>
                          <w:r>
                            <w:rPr>
                              <w:rFonts w:ascii="Times New Roman" w:hAnsi="Times New Roman" w:eastAsia="仿宋_GB2312" w:cs="Arial"/>
                              <w:snapToGrid w:val="0"/>
                              <w:color w:val="000000"/>
                              <w:sz w:val="28"/>
                              <w:szCs w:val="28"/>
                            </w:rPr>
                            <w:fldChar w:fldCharType="begin"/>
                          </w:r>
                          <w:r>
                            <w:rPr>
                              <w:rFonts w:ascii="Times New Roman" w:hAnsi="Times New Roman" w:eastAsia="仿宋_GB2312" w:cs="Arial"/>
                              <w:snapToGrid w:val="0"/>
                              <w:color w:val="000000"/>
                              <w:sz w:val="28"/>
                              <w:szCs w:val="28"/>
                            </w:rPr>
                            <w:instrText xml:space="preserve"> PAGE  \* MERGEFORMAT </w:instrText>
                          </w:r>
                          <w:r>
                            <w:rPr>
                              <w:rFonts w:ascii="Times New Roman" w:hAnsi="Times New Roman" w:eastAsia="仿宋_GB2312" w:cs="Arial"/>
                              <w:snapToGrid w:val="0"/>
                              <w:color w:val="000000"/>
                              <w:sz w:val="28"/>
                              <w:szCs w:val="28"/>
                            </w:rPr>
                            <w:fldChar w:fldCharType="separate"/>
                          </w:r>
                          <w:r>
                            <w:rPr>
                              <w:rFonts w:ascii="Times New Roman" w:hAnsi="Times New Roman" w:eastAsia="仿宋" w:cs="Arial"/>
                              <w:snapToGrid w:val="0"/>
                              <w:color w:val="000000"/>
                              <w:kern w:val="0"/>
                              <w:sz w:val="32"/>
                              <w:szCs w:val="21"/>
                              <w:lang w:eastAsia="en-US"/>
                            </w:rPr>
                            <w:t>2</w:t>
                          </w:r>
                          <w:r>
                            <w:rPr>
                              <w:rFonts w:ascii="Times New Roman" w:hAnsi="Times New Roman" w:eastAsia="仿宋_GB2312" w:cs="Arial"/>
                              <w:snapToGrid w:val="0"/>
                              <w:color w:val="000000"/>
                              <w:sz w:val="28"/>
                              <w:szCs w:val="28"/>
                            </w:rPr>
                            <w:fldChar w:fldCharType="end"/>
                          </w:r>
                          <w:r>
                            <w:rPr>
                              <w:rFonts w:ascii="Times New Roman" w:hAnsi="Times New Roman" w:eastAsia="仿宋_GB2312" w:cs="Arial"/>
                              <w:snapToGrid w:val="0"/>
                              <w:color w:val="000000"/>
                              <w:sz w:val="28"/>
                              <w:szCs w:val="28"/>
                            </w:rPr>
                            <w:t xml:space="preserve"> —</w:t>
                          </w:r>
                        </w:p>
                      </w:txbxContent>
                    </wps:txbx>
                    <wps:bodyPr wrap="none" lIns="0" tIns="0" rIns="0" bIns="0" upright="1">
                      <a:spAutoFit/>
                    </wps:bodyPr>
                  </wps:wsp>
                </a:graphicData>
              </a:graphic>
            </wp:anchor>
          </w:drawing>
        </mc:Choice>
        <mc:Fallback>
          <w:pict>
            <v:rect id="文本框 4" o:spid="_x0000_s1026" o:spt="1" style="position:absolute;left:0pt;margin-top:0pt;height:30pt;width:84.05pt;mso-position-horizontal:center;mso-position-horizontal-relative:margin;mso-wrap-style:none;z-index:251659264;mso-width-relative:page;mso-height-relative:page;" filled="f" stroked="f" coordsize="21600,21600" o:gfxdata="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ip4xqtEAAAAEAQAADwAAAAAAAAABACAAAAAiAAAAZHJzL2Rvd25yZXYu&#10;eG1sUEsBAhQAFAAAAAgAh07iQPtT/W/JAQAAjgMAAA4AAAAAAAAAAQAgAAAAIAEAAGRycy9lMm9E&#10;b2MueG1sUEsFBgAAAAAGAAYAWQEAAFsFAAAAAA==&#10;">
              <v:fill on="f" focussize="0,0"/>
              <v:stroke on="f"/>
              <v:imagedata o:title=""/>
              <o:lock v:ext="edit" aspectratio="f"/>
              <v:textbox inset="0mm,0mm,0mm,0mm" style="mso-fit-shape-to-text:t;">
                <w:txbxContent>
                  <w:p w14:paraId="3D3F2BA1">
                    <w:pPr>
                      <w:kinsoku w:val="0"/>
                      <w:autoSpaceDE w:val="0"/>
                      <w:autoSpaceDN w:val="0"/>
                      <w:adjustRightInd w:val="0"/>
                      <w:snapToGrid w:val="0"/>
                      <w:spacing w:line="600" w:lineRule="exact"/>
                      <w:ind w:firstLine="560" w:firstLineChars="200"/>
                      <w:jc w:val="left"/>
                      <w:textAlignment w:val="baseline"/>
                      <w:rPr>
                        <w:rFonts w:ascii="Times New Roman" w:hAnsi="Times New Roman" w:eastAsia="宋体" w:cs="Arial"/>
                        <w:snapToGrid w:val="0"/>
                        <w:color w:val="000000"/>
                        <w:sz w:val="28"/>
                        <w:szCs w:val="28"/>
                      </w:rPr>
                    </w:pPr>
                    <w:r>
                      <w:rPr>
                        <w:rFonts w:ascii="Times New Roman" w:hAnsi="Times New Roman" w:eastAsia="仿宋_GB2312" w:cs="Arial"/>
                        <w:snapToGrid w:val="0"/>
                        <w:color w:val="000000"/>
                        <w:sz w:val="28"/>
                        <w:szCs w:val="28"/>
                      </w:rPr>
                      <w:t xml:space="preserve">— </w:t>
                    </w:r>
                    <w:r>
                      <w:rPr>
                        <w:rFonts w:ascii="Times New Roman" w:hAnsi="Times New Roman" w:eastAsia="仿宋_GB2312" w:cs="Arial"/>
                        <w:snapToGrid w:val="0"/>
                        <w:color w:val="000000"/>
                        <w:sz w:val="28"/>
                        <w:szCs w:val="28"/>
                      </w:rPr>
                      <w:fldChar w:fldCharType="begin"/>
                    </w:r>
                    <w:r>
                      <w:rPr>
                        <w:rFonts w:ascii="Times New Roman" w:hAnsi="Times New Roman" w:eastAsia="仿宋_GB2312" w:cs="Arial"/>
                        <w:snapToGrid w:val="0"/>
                        <w:color w:val="000000"/>
                        <w:sz w:val="28"/>
                        <w:szCs w:val="28"/>
                      </w:rPr>
                      <w:instrText xml:space="preserve"> PAGE  \* MERGEFORMAT </w:instrText>
                    </w:r>
                    <w:r>
                      <w:rPr>
                        <w:rFonts w:ascii="Times New Roman" w:hAnsi="Times New Roman" w:eastAsia="仿宋_GB2312" w:cs="Arial"/>
                        <w:snapToGrid w:val="0"/>
                        <w:color w:val="000000"/>
                        <w:sz w:val="28"/>
                        <w:szCs w:val="28"/>
                      </w:rPr>
                      <w:fldChar w:fldCharType="separate"/>
                    </w:r>
                    <w:r>
                      <w:rPr>
                        <w:rFonts w:ascii="Times New Roman" w:hAnsi="Times New Roman" w:eastAsia="仿宋" w:cs="Arial"/>
                        <w:snapToGrid w:val="0"/>
                        <w:color w:val="000000"/>
                        <w:kern w:val="0"/>
                        <w:sz w:val="32"/>
                        <w:szCs w:val="21"/>
                        <w:lang w:eastAsia="en-US"/>
                      </w:rPr>
                      <w:t>2</w:t>
                    </w:r>
                    <w:r>
                      <w:rPr>
                        <w:rFonts w:ascii="Times New Roman" w:hAnsi="Times New Roman" w:eastAsia="仿宋_GB2312" w:cs="Arial"/>
                        <w:snapToGrid w:val="0"/>
                        <w:color w:val="000000"/>
                        <w:sz w:val="28"/>
                        <w:szCs w:val="28"/>
                      </w:rPr>
                      <w:fldChar w:fldCharType="end"/>
                    </w:r>
                    <w:r>
                      <w:rPr>
                        <w:rFonts w:ascii="Times New Roman" w:hAnsi="Times New Roman" w:eastAsia="仿宋_GB2312" w:cs="Arial"/>
                        <w:snapToGrid w:val="0"/>
                        <w:color w:val="000000"/>
                        <w:sz w:val="28"/>
                        <w:szCs w:val="28"/>
                      </w:rPr>
                      <w:t xml:space="preserve"> —</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075B1">
    <w:pPr>
      <w:widowControl/>
      <w:kinsoku w:val="0"/>
      <w:autoSpaceDE w:val="0"/>
      <w:autoSpaceDN w:val="0"/>
      <w:adjustRightInd w:val="0"/>
      <w:snapToGrid w:val="0"/>
      <w:spacing w:line="233" w:lineRule="auto"/>
      <w:ind w:left="7720" w:firstLine="580" w:firstLineChars="200"/>
      <w:jc w:val="left"/>
      <w:textAlignment w:val="baseline"/>
      <w:rPr>
        <w:rFonts w:hint="eastAsia" w:ascii="宋体" w:hAnsi="宋体" w:eastAsia="宋体" w:cs="宋体"/>
        <w:snapToGrid w:val="0"/>
        <w:color w:val="000000"/>
        <w:kern w:val="0"/>
        <w:sz w:val="29"/>
        <w:szCs w:val="29"/>
        <w:lang w:eastAsia="en-US"/>
      </w:rPr>
    </w:pPr>
    <w:r>
      <w:rPr>
        <w:rFonts w:ascii="Times New Roman" w:hAnsi="Times New Roman" w:eastAsia="仿宋" w:cs="Arial"/>
        <w:snapToGrid w:val="0"/>
        <w:color w:val="000000"/>
        <w:kern w:val="0"/>
        <w:sz w:val="29"/>
        <w:szCs w:val="21"/>
        <w:lang w:eastAsia="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3F86A505">
                          <w:pPr>
                            <w:tabs>
                              <w:tab w:val="center" w:pos="4153"/>
                              <w:tab w:val="right" w:pos="8306"/>
                            </w:tabs>
                            <w:kinsoku w:val="0"/>
                            <w:autoSpaceDE w:val="0"/>
                            <w:autoSpaceDN w:val="0"/>
                            <w:adjustRightInd w:val="0"/>
                            <w:snapToGrid w:val="0"/>
                            <w:spacing w:line="600" w:lineRule="exact"/>
                            <w:jc w:val="center"/>
                            <w:textAlignment w:val="baseline"/>
                            <w:rPr>
                              <w:rFonts w:ascii="Times New Roman" w:hAnsi="Times New Roman" w:eastAsia="宋体" w:cs="Arial"/>
                              <w:snapToGrid w:val="0"/>
                              <w:color w:val="000000"/>
                              <w:kern w:val="0"/>
                              <w:sz w:val="28"/>
                              <w:szCs w:val="21"/>
                              <w:lang w:eastAsia="en-US"/>
                            </w:rPr>
                          </w:pPr>
                          <w:r>
                            <w:rPr>
                              <w:rFonts w:hint="eastAsia" w:ascii="Times New Roman" w:hAnsi="Times New Roman" w:eastAsia="宋体" w:cs="Arial"/>
                              <w:snapToGrid w:val="0"/>
                              <w:color w:val="000000"/>
                              <w:kern w:val="0"/>
                              <w:sz w:val="28"/>
                              <w:szCs w:val="21"/>
                            </w:rPr>
                            <w:t xml:space="preserve">— </w:t>
                          </w:r>
                          <w:r>
                            <w:rPr>
                              <w:rFonts w:ascii="Times New Roman" w:hAnsi="Times New Roman" w:eastAsia="宋体" w:cs="Arial"/>
                              <w:snapToGrid w:val="0"/>
                              <w:color w:val="000000"/>
                              <w:kern w:val="0"/>
                              <w:sz w:val="28"/>
                              <w:szCs w:val="21"/>
                              <w:lang w:eastAsia="en-US"/>
                            </w:rPr>
                            <w:fldChar w:fldCharType="begin"/>
                          </w:r>
                          <w:r>
                            <w:rPr>
                              <w:rFonts w:ascii="Times New Roman" w:hAnsi="Times New Roman" w:eastAsia="宋体" w:cs="Arial"/>
                              <w:snapToGrid w:val="0"/>
                              <w:color w:val="000000"/>
                              <w:kern w:val="0"/>
                              <w:sz w:val="28"/>
                              <w:szCs w:val="21"/>
                              <w:lang w:eastAsia="en-US"/>
                            </w:rPr>
                            <w:instrText xml:space="preserve"> PAGE  \* MERGEFORMAT </w:instrText>
                          </w:r>
                          <w:r>
                            <w:rPr>
                              <w:rFonts w:ascii="Times New Roman" w:hAnsi="Times New Roman" w:eastAsia="宋体" w:cs="Arial"/>
                              <w:snapToGrid w:val="0"/>
                              <w:color w:val="000000"/>
                              <w:kern w:val="0"/>
                              <w:sz w:val="28"/>
                              <w:szCs w:val="21"/>
                              <w:lang w:eastAsia="en-US"/>
                            </w:rPr>
                            <w:fldChar w:fldCharType="separate"/>
                          </w:r>
                          <w:r>
                            <w:rPr>
                              <w:rFonts w:ascii="Times New Roman" w:hAnsi="Times New Roman" w:eastAsia="宋体" w:cs="Arial"/>
                              <w:snapToGrid w:val="0"/>
                              <w:color w:val="000000"/>
                              <w:kern w:val="0"/>
                              <w:sz w:val="28"/>
                              <w:szCs w:val="21"/>
                              <w:lang w:eastAsia="en-US"/>
                            </w:rPr>
                            <w:t>138</w:t>
                          </w:r>
                          <w:r>
                            <w:rPr>
                              <w:rFonts w:ascii="Times New Roman" w:hAnsi="Times New Roman" w:eastAsia="宋体" w:cs="Arial"/>
                              <w:snapToGrid w:val="0"/>
                              <w:color w:val="000000"/>
                              <w:kern w:val="0"/>
                              <w:sz w:val="28"/>
                              <w:szCs w:val="21"/>
                              <w:lang w:eastAsia="en-US"/>
                            </w:rPr>
                            <w:fldChar w:fldCharType="end"/>
                          </w:r>
                          <w:r>
                            <w:rPr>
                              <w:rFonts w:hint="eastAsia" w:ascii="Times New Roman" w:hAnsi="Times New Roman" w:eastAsia="宋体" w:cs="Arial"/>
                              <w:snapToGrid w:val="0"/>
                              <w:color w:val="000000"/>
                              <w:kern w:val="0"/>
                              <w:sz w:val="28"/>
                              <w:szCs w:val="21"/>
                            </w:rPr>
                            <w:t xml:space="preserve"> —</w:t>
                          </w:r>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IzxbVvEAQAAjwMAAA4AAAAAAAAAAQAgAAAAHwEAAGRycy9lMm9Eb2MueG1s&#10;UEsFBgAAAAAGAAYAWQEAAFUFAAAAAA==&#10;">
              <v:fill on="f" focussize="0,0"/>
              <v:stroke on="f"/>
              <v:imagedata o:title=""/>
              <o:lock v:ext="edit" aspectratio="f"/>
              <v:textbox inset="0mm,0mm,0mm,0mm" style="mso-fit-shape-to-text:t;">
                <w:txbxContent>
                  <w:p w14:paraId="3F86A505">
                    <w:pPr>
                      <w:tabs>
                        <w:tab w:val="center" w:pos="4153"/>
                        <w:tab w:val="right" w:pos="8306"/>
                      </w:tabs>
                      <w:kinsoku w:val="0"/>
                      <w:autoSpaceDE w:val="0"/>
                      <w:autoSpaceDN w:val="0"/>
                      <w:adjustRightInd w:val="0"/>
                      <w:snapToGrid w:val="0"/>
                      <w:spacing w:line="600" w:lineRule="exact"/>
                      <w:jc w:val="center"/>
                      <w:textAlignment w:val="baseline"/>
                      <w:rPr>
                        <w:rFonts w:ascii="Times New Roman" w:hAnsi="Times New Roman" w:eastAsia="宋体" w:cs="Arial"/>
                        <w:snapToGrid w:val="0"/>
                        <w:color w:val="000000"/>
                        <w:kern w:val="0"/>
                        <w:sz w:val="28"/>
                        <w:szCs w:val="21"/>
                        <w:lang w:eastAsia="en-US"/>
                      </w:rPr>
                    </w:pPr>
                    <w:r>
                      <w:rPr>
                        <w:rFonts w:hint="eastAsia" w:ascii="Times New Roman" w:hAnsi="Times New Roman" w:eastAsia="宋体" w:cs="Arial"/>
                        <w:snapToGrid w:val="0"/>
                        <w:color w:val="000000"/>
                        <w:kern w:val="0"/>
                        <w:sz w:val="28"/>
                        <w:szCs w:val="21"/>
                      </w:rPr>
                      <w:t xml:space="preserve">— </w:t>
                    </w:r>
                    <w:r>
                      <w:rPr>
                        <w:rFonts w:ascii="Times New Roman" w:hAnsi="Times New Roman" w:eastAsia="宋体" w:cs="Arial"/>
                        <w:snapToGrid w:val="0"/>
                        <w:color w:val="000000"/>
                        <w:kern w:val="0"/>
                        <w:sz w:val="28"/>
                        <w:szCs w:val="21"/>
                        <w:lang w:eastAsia="en-US"/>
                      </w:rPr>
                      <w:fldChar w:fldCharType="begin"/>
                    </w:r>
                    <w:r>
                      <w:rPr>
                        <w:rFonts w:ascii="Times New Roman" w:hAnsi="Times New Roman" w:eastAsia="宋体" w:cs="Arial"/>
                        <w:snapToGrid w:val="0"/>
                        <w:color w:val="000000"/>
                        <w:kern w:val="0"/>
                        <w:sz w:val="28"/>
                        <w:szCs w:val="21"/>
                        <w:lang w:eastAsia="en-US"/>
                      </w:rPr>
                      <w:instrText xml:space="preserve"> PAGE  \* MERGEFORMAT </w:instrText>
                    </w:r>
                    <w:r>
                      <w:rPr>
                        <w:rFonts w:ascii="Times New Roman" w:hAnsi="Times New Roman" w:eastAsia="宋体" w:cs="Arial"/>
                        <w:snapToGrid w:val="0"/>
                        <w:color w:val="000000"/>
                        <w:kern w:val="0"/>
                        <w:sz w:val="28"/>
                        <w:szCs w:val="21"/>
                        <w:lang w:eastAsia="en-US"/>
                      </w:rPr>
                      <w:fldChar w:fldCharType="separate"/>
                    </w:r>
                    <w:r>
                      <w:rPr>
                        <w:rFonts w:ascii="Times New Roman" w:hAnsi="Times New Roman" w:eastAsia="宋体" w:cs="Arial"/>
                        <w:snapToGrid w:val="0"/>
                        <w:color w:val="000000"/>
                        <w:kern w:val="0"/>
                        <w:sz w:val="28"/>
                        <w:szCs w:val="21"/>
                        <w:lang w:eastAsia="en-US"/>
                      </w:rPr>
                      <w:t>138</w:t>
                    </w:r>
                    <w:r>
                      <w:rPr>
                        <w:rFonts w:ascii="Times New Roman" w:hAnsi="Times New Roman" w:eastAsia="宋体" w:cs="Arial"/>
                        <w:snapToGrid w:val="0"/>
                        <w:color w:val="000000"/>
                        <w:kern w:val="0"/>
                        <w:sz w:val="28"/>
                        <w:szCs w:val="21"/>
                        <w:lang w:eastAsia="en-US"/>
                      </w:rPr>
                      <w:fldChar w:fldCharType="end"/>
                    </w:r>
                    <w:r>
                      <w:rPr>
                        <w:rFonts w:hint="eastAsia" w:ascii="Times New Roman" w:hAnsi="Times New Roman" w:eastAsia="宋体" w:cs="Arial"/>
                        <w:snapToGrid w:val="0"/>
                        <w:color w:val="000000"/>
                        <w:kern w:val="0"/>
                        <w:sz w:val="28"/>
                        <w:szCs w:val="21"/>
                      </w:rPr>
                      <w:t xml:space="preserve"> —</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5DAC7">
    <w:pPr>
      <w:widowControl/>
      <w:kinsoku w:val="0"/>
      <w:autoSpaceDE w:val="0"/>
      <w:autoSpaceDN w:val="0"/>
      <w:adjustRightInd w:val="0"/>
      <w:snapToGrid w:val="0"/>
      <w:spacing w:before="1" w:line="232" w:lineRule="auto"/>
      <w:ind w:left="15" w:firstLine="540" w:firstLineChars="200"/>
      <w:jc w:val="left"/>
      <w:textAlignment w:val="baseline"/>
      <w:rPr>
        <w:rFonts w:hint="eastAsia" w:ascii="宋体" w:hAnsi="宋体" w:eastAsia="宋体" w:cs="宋体"/>
        <w:snapToGrid w:val="0"/>
        <w:color w:val="000000"/>
        <w:kern w:val="0"/>
        <w:sz w:val="27"/>
        <w:szCs w:val="27"/>
        <w:lang w:eastAsia="en-US"/>
      </w:rPr>
    </w:pPr>
    <w:r>
      <w:rPr>
        <w:rFonts w:ascii="Times New Roman" w:hAnsi="Times New Roman" w:eastAsia="仿宋" w:cs="Arial"/>
        <w:snapToGrid w:val="0"/>
        <w:color w:val="000000"/>
        <w:kern w:val="0"/>
        <w:sz w:val="27"/>
        <w:szCs w:val="21"/>
        <w:lang w:eastAsia="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7C25BCA">
                          <w:pPr>
                            <w:tabs>
                              <w:tab w:val="center" w:pos="4153"/>
                              <w:tab w:val="right" w:pos="8306"/>
                            </w:tabs>
                            <w:kinsoku w:val="0"/>
                            <w:autoSpaceDE w:val="0"/>
                            <w:autoSpaceDN w:val="0"/>
                            <w:adjustRightInd w:val="0"/>
                            <w:snapToGrid w:val="0"/>
                            <w:spacing w:line="600" w:lineRule="exact"/>
                            <w:jc w:val="center"/>
                            <w:textAlignment w:val="baseline"/>
                            <w:rPr>
                              <w:rFonts w:ascii="Times New Roman" w:hAnsi="Times New Roman" w:eastAsia="宋体" w:cs="Arial"/>
                              <w:snapToGrid w:val="0"/>
                              <w:color w:val="000000"/>
                              <w:kern w:val="0"/>
                              <w:sz w:val="28"/>
                              <w:szCs w:val="21"/>
                              <w:lang w:eastAsia="en-US"/>
                            </w:rPr>
                          </w:pPr>
                          <w:r>
                            <w:rPr>
                              <w:rFonts w:hint="eastAsia" w:ascii="Times New Roman" w:hAnsi="Times New Roman" w:eastAsia="宋体" w:cs="Arial"/>
                              <w:snapToGrid w:val="0"/>
                              <w:color w:val="000000"/>
                              <w:kern w:val="0"/>
                              <w:sz w:val="28"/>
                              <w:szCs w:val="21"/>
                            </w:rPr>
                            <w:t xml:space="preserve">— </w:t>
                          </w:r>
                          <w:r>
                            <w:rPr>
                              <w:rFonts w:ascii="Times New Roman" w:hAnsi="Times New Roman" w:eastAsia="宋体" w:cs="Arial"/>
                              <w:snapToGrid w:val="0"/>
                              <w:color w:val="000000"/>
                              <w:kern w:val="0"/>
                              <w:sz w:val="28"/>
                              <w:szCs w:val="21"/>
                              <w:lang w:eastAsia="en-US"/>
                            </w:rPr>
                            <w:fldChar w:fldCharType="begin"/>
                          </w:r>
                          <w:r>
                            <w:rPr>
                              <w:rFonts w:ascii="Times New Roman" w:hAnsi="Times New Roman" w:eastAsia="宋体" w:cs="Arial"/>
                              <w:snapToGrid w:val="0"/>
                              <w:color w:val="000000"/>
                              <w:kern w:val="0"/>
                              <w:sz w:val="28"/>
                              <w:szCs w:val="21"/>
                              <w:lang w:eastAsia="en-US"/>
                            </w:rPr>
                            <w:instrText xml:space="preserve"> PAGE  \* MERGEFORMAT </w:instrText>
                          </w:r>
                          <w:r>
                            <w:rPr>
                              <w:rFonts w:ascii="Times New Roman" w:hAnsi="Times New Roman" w:eastAsia="宋体" w:cs="Arial"/>
                              <w:snapToGrid w:val="0"/>
                              <w:color w:val="000000"/>
                              <w:kern w:val="0"/>
                              <w:sz w:val="28"/>
                              <w:szCs w:val="21"/>
                              <w:lang w:eastAsia="en-US"/>
                            </w:rPr>
                            <w:fldChar w:fldCharType="separate"/>
                          </w:r>
                          <w:r>
                            <w:rPr>
                              <w:rFonts w:ascii="Times New Roman" w:hAnsi="Times New Roman" w:eastAsia="宋体" w:cs="Arial"/>
                              <w:snapToGrid w:val="0"/>
                              <w:color w:val="000000"/>
                              <w:kern w:val="0"/>
                              <w:sz w:val="28"/>
                              <w:szCs w:val="21"/>
                              <w:lang w:eastAsia="en-US"/>
                            </w:rPr>
                            <w:t>146</w:t>
                          </w:r>
                          <w:r>
                            <w:rPr>
                              <w:rFonts w:ascii="Times New Roman" w:hAnsi="Times New Roman" w:eastAsia="宋体" w:cs="Arial"/>
                              <w:snapToGrid w:val="0"/>
                              <w:color w:val="000000"/>
                              <w:kern w:val="0"/>
                              <w:sz w:val="28"/>
                              <w:szCs w:val="21"/>
                              <w:lang w:eastAsia="en-US"/>
                            </w:rPr>
                            <w:fldChar w:fldCharType="end"/>
                          </w:r>
                          <w:r>
                            <w:rPr>
                              <w:rFonts w:hint="eastAsia" w:ascii="Times New Roman" w:hAnsi="Times New Roman" w:eastAsia="宋体" w:cs="Arial"/>
                              <w:snapToGrid w:val="0"/>
                              <w:color w:val="000000"/>
                              <w:kern w:val="0"/>
                              <w:sz w:val="28"/>
                              <w:szCs w:val="21"/>
                            </w:rPr>
                            <w:t xml:space="preserve"> —</w:t>
                          </w:r>
                        </w:p>
                      </w:txbxContent>
                    </wps:txbx>
                    <wps:bodyPr wrap="none" lIns="0" tIns="0" rIns="0" bIns="0" upright="1">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DOZjI7EAQAAjwMAAA4AAAAAAAAAAQAgAAAAHwEAAGRycy9lMm9Eb2MueG1s&#10;UEsFBgAAAAAGAAYAWQEAAFUFAAAAAA==&#10;">
              <v:fill on="f" focussize="0,0"/>
              <v:stroke on="f"/>
              <v:imagedata o:title=""/>
              <o:lock v:ext="edit" aspectratio="f"/>
              <v:textbox inset="0mm,0mm,0mm,0mm" style="mso-fit-shape-to-text:t;">
                <w:txbxContent>
                  <w:p w14:paraId="57C25BCA">
                    <w:pPr>
                      <w:tabs>
                        <w:tab w:val="center" w:pos="4153"/>
                        <w:tab w:val="right" w:pos="8306"/>
                      </w:tabs>
                      <w:kinsoku w:val="0"/>
                      <w:autoSpaceDE w:val="0"/>
                      <w:autoSpaceDN w:val="0"/>
                      <w:adjustRightInd w:val="0"/>
                      <w:snapToGrid w:val="0"/>
                      <w:spacing w:line="600" w:lineRule="exact"/>
                      <w:jc w:val="center"/>
                      <w:textAlignment w:val="baseline"/>
                      <w:rPr>
                        <w:rFonts w:ascii="Times New Roman" w:hAnsi="Times New Roman" w:eastAsia="宋体" w:cs="Arial"/>
                        <w:snapToGrid w:val="0"/>
                        <w:color w:val="000000"/>
                        <w:kern w:val="0"/>
                        <w:sz w:val="28"/>
                        <w:szCs w:val="21"/>
                        <w:lang w:eastAsia="en-US"/>
                      </w:rPr>
                    </w:pPr>
                    <w:r>
                      <w:rPr>
                        <w:rFonts w:hint="eastAsia" w:ascii="Times New Roman" w:hAnsi="Times New Roman" w:eastAsia="宋体" w:cs="Arial"/>
                        <w:snapToGrid w:val="0"/>
                        <w:color w:val="000000"/>
                        <w:kern w:val="0"/>
                        <w:sz w:val="28"/>
                        <w:szCs w:val="21"/>
                      </w:rPr>
                      <w:t xml:space="preserve">— </w:t>
                    </w:r>
                    <w:r>
                      <w:rPr>
                        <w:rFonts w:ascii="Times New Roman" w:hAnsi="Times New Roman" w:eastAsia="宋体" w:cs="Arial"/>
                        <w:snapToGrid w:val="0"/>
                        <w:color w:val="000000"/>
                        <w:kern w:val="0"/>
                        <w:sz w:val="28"/>
                        <w:szCs w:val="21"/>
                        <w:lang w:eastAsia="en-US"/>
                      </w:rPr>
                      <w:fldChar w:fldCharType="begin"/>
                    </w:r>
                    <w:r>
                      <w:rPr>
                        <w:rFonts w:ascii="Times New Roman" w:hAnsi="Times New Roman" w:eastAsia="宋体" w:cs="Arial"/>
                        <w:snapToGrid w:val="0"/>
                        <w:color w:val="000000"/>
                        <w:kern w:val="0"/>
                        <w:sz w:val="28"/>
                        <w:szCs w:val="21"/>
                        <w:lang w:eastAsia="en-US"/>
                      </w:rPr>
                      <w:instrText xml:space="preserve"> PAGE  \* MERGEFORMAT </w:instrText>
                    </w:r>
                    <w:r>
                      <w:rPr>
                        <w:rFonts w:ascii="Times New Roman" w:hAnsi="Times New Roman" w:eastAsia="宋体" w:cs="Arial"/>
                        <w:snapToGrid w:val="0"/>
                        <w:color w:val="000000"/>
                        <w:kern w:val="0"/>
                        <w:sz w:val="28"/>
                        <w:szCs w:val="21"/>
                        <w:lang w:eastAsia="en-US"/>
                      </w:rPr>
                      <w:fldChar w:fldCharType="separate"/>
                    </w:r>
                    <w:r>
                      <w:rPr>
                        <w:rFonts w:ascii="Times New Roman" w:hAnsi="Times New Roman" w:eastAsia="宋体" w:cs="Arial"/>
                        <w:snapToGrid w:val="0"/>
                        <w:color w:val="000000"/>
                        <w:kern w:val="0"/>
                        <w:sz w:val="28"/>
                        <w:szCs w:val="21"/>
                        <w:lang w:eastAsia="en-US"/>
                      </w:rPr>
                      <w:t>146</w:t>
                    </w:r>
                    <w:r>
                      <w:rPr>
                        <w:rFonts w:ascii="Times New Roman" w:hAnsi="Times New Roman" w:eastAsia="宋体" w:cs="Arial"/>
                        <w:snapToGrid w:val="0"/>
                        <w:color w:val="000000"/>
                        <w:kern w:val="0"/>
                        <w:sz w:val="28"/>
                        <w:szCs w:val="21"/>
                        <w:lang w:eastAsia="en-US"/>
                      </w:rPr>
                      <w:fldChar w:fldCharType="end"/>
                    </w:r>
                    <w:r>
                      <w:rPr>
                        <w:rFonts w:hint="eastAsia" w:ascii="Times New Roman" w:hAnsi="Times New Roman" w:eastAsia="宋体" w:cs="Arial"/>
                        <w:snapToGrid w:val="0"/>
                        <w:color w:val="000000"/>
                        <w:kern w:val="0"/>
                        <w:sz w:val="28"/>
                        <w:szCs w:val="21"/>
                      </w:rPr>
                      <w:t xml:space="preserve"> —</w:t>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269C5">
    <w:pPr>
      <w:widowControl/>
      <w:kinsoku w:val="0"/>
      <w:autoSpaceDE w:val="0"/>
      <w:autoSpaceDN w:val="0"/>
      <w:adjustRightInd w:val="0"/>
      <w:snapToGrid w:val="0"/>
      <w:spacing w:line="234" w:lineRule="auto"/>
      <w:ind w:left="7675" w:firstLine="540" w:firstLineChars="200"/>
      <w:jc w:val="left"/>
      <w:textAlignment w:val="baseline"/>
      <w:rPr>
        <w:rFonts w:hint="eastAsia" w:ascii="宋体" w:hAnsi="宋体" w:eastAsia="宋体" w:cs="宋体"/>
        <w:snapToGrid w:val="0"/>
        <w:color w:val="000000"/>
        <w:kern w:val="0"/>
        <w:sz w:val="27"/>
        <w:szCs w:val="27"/>
        <w:lang w:eastAsia="en-US"/>
      </w:rPr>
    </w:pPr>
    <w:r>
      <w:rPr>
        <w:rFonts w:ascii="Times New Roman" w:hAnsi="Times New Roman" w:eastAsia="仿宋" w:cs="Arial"/>
        <w:snapToGrid w:val="0"/>
        <w:color w:val="000000"/>
        <w:kern w:val="0"/>
        <w:sz w:val="27"/>
        <w:szCs w:val="21"/>
        <w:lang w:eastAsia="en-US"/>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9981897">
                          <w:pPr>
                            <w:tabs>
                              <w:tab w:val="center" w:pos="4153"/>
                              <w:tab w:val="right" w:pos="8306"/>
                            </w:tabs>
                            <w:kinsoku w:val="0"/>
                            <w:autoSpaceDE w:val="0"/>
                            <w:autoSpaceDN w:val="0"/>
                            <w:adjustRightInd w:val="0"/>
                            <w:snapToGrid w:val="0"/>
                            <w:spacing w:line="600" w:lineRule="exact"/>
                            <w:jc w:val="center"/>
                            <w:textAlignment w:val="baseline"/>
                            <w:rPr>
                              <w:rFonts w:ascii="Times New Roman" w:hAnsi="Times New Roman" w:eastAsia="宋体" w:cs="Arial"/>
                              <w:snapToGrid w:val="0"/>
                              <w:color w:val="000000"/>
                              <w:kern w:val="0"/>
                              <w:sz w:val="28"/>
                              <w:szCs w:val="21"/>
                              <w:lang w:eastAsia="en-US"/>
                            </w:rPr>
                          </w:pPr>
                          <w:r>
                            <w:rPr>
                              <w:rFonts w:hint="eastAsia" w:ascii="Times New Roman" w:hAnsi="Times New Roman" w:eastAsia="宋体" w:cs="Arial"/>
                              <w:snapToGrid w:val="0"/>
                              <w:color w:val="000000"/>
                              <w:kern w:val="0"/>
                              <w:sz w:val="28"/>
                              <w:szCs w:val="21"/>
                            </w:rPr>
                            <w:t xml:space="preserve">— </w:t>
                          </w:r>
                          <w:r>
                            <w:rPr>
                              <w:rFonts w:ascii="Times New Roman" w:hAnsi="Times New Roman" w:eastAsia="宋体" w:cs="Arial"/>
                              <w:snapToGrid w:val="0"/>
                              <w:color w:val="000000"/>
                              <w:kern w:val="0"/>
                              <w:sz w:val="28"/>
                              <w:szCs w:val="21"/>
                              <w:lang w:eastAsia="en-US"/>
                            </w:rPr>
                            <w:fldChar w:fldCharType="begin"/>
                          </w:r>
                          <w:r>
                            <w:rPr>
                              <w:rFonts w:ascii="Times New Roman" w:hAnsi="Times New Roman" w:eastAsia="宋体" w:cs="Arial"/>
                              <w:snapToGrid w:val="0"/>
                              <w:color w:val="000000"/>
                              <w:kern w:val="0"/>
                              <w:sz w:val="28"/>
                              <w:szCs w:val="21"/>
                              <w:lang w:eastAsia="en-US"/>
                            </w:rPr>
                            <w:instrText xml:space="preserve"> PAGE  \* MERGEFORMAT </w:instrText>
                          </w:r>
                          <w:r>
                            <w:rPr>
                              <w:rFonts w:ascii="Times New Roman" w:hAnsi="Times New Roman" w:eastAsia="宋体" w:cs="Arial"/>
                              <w:snapToGrid w:val="0"/>
                              <w:color w:val="000000"/>
                              <w:kern w:val="0"/>
                              <w:sz w:val="28"/>
                              <w:szCs w:val="21"/>
                              <w:lang w:eastAsia="en-US"/>
                            </w:rPr>
                            <w:fldChar w:fldCharType="separate"/>
                          </w:r>
                          <w:r>
                            <w:rPr>
                              <w:rFonts w:ascii="Times New Roman" w:hAnsi="Times New Roman" w:eastAsia="宋体" w:cs="Arial"/>
                              <w:snapToGrid w:val="0"/>
                              <w:color w:val="000000"/>
                              <w:kern w:val="0"/>
                              <w:sz w:val="28"/>
                              <w:szCs w:val="21"/>
                              <w:lang w:eastAsia="en-US"/>
                            </w:rPr>
                            <w:t>147</w:t>
                          </w:r>
                          <w:r>
                            <w:rPr>
                              <w:rFonts w:ascii="Times New Roman" w:hAnsi="Times New Roman" w:eastAsia="宋体" w:cs="Arial"/>
                              <w:snapToGrid w:val="0"/>
                              <w:color w:val="000000"/>
                              <w:kern w:val="0"/>
                              <w:sz w:val="28"/>
                              <w:szCs w:val="21"/>
                              <w:lang w:eastAsia="en-US"/>
                            </w:rPr>
                            <w:fldChar w:fldCharType="end"/>
                          </w:r>
                          <w:r>
                            <w:rPr>
                              <w:rFonts w:hint="eastAsia" w:ascii="Times New Roman" w:hAnsi="Times New Roman" w:eastAsia="宋体" w:cs="Arial"/>
                              <w:snapToGrid w:val="0"/>
                              <w:color w:val="000000"/>
                              <w:kern w:val="0"/>
                              <w:sz w:val="28"/>
                              <w:szCs w:val="21"/>
                            </w:rPr>
                            <w:t xml:space="preserve"> —</w:t>
                          </w:r>
                        </w:p>
                      </w:txbxContent>
                    </wps:txbx>
                    <wps:bodyPr wrap="none" lIns="0" tIns="0" rIns="0" bIns="0" upright="1">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JDCUQ/EAQAAjwMAAA4AAAAAAAAAAQAgAAAAHwEAAGRycy9lMm9Eb2MueG1s&#10;UEsFBgAAAAAGAAYAWQEAAFUFAAAAAA==&#10;">
              <v:fill on="f" focussize="0,0"/>
              <v:stroke on="f"/>
              <v:imagedata o:title=""/>
              <o:lock v:ext="edit" aspectratio="f"/>
              <v:textbox inset="0mm,0mm,0mm,0mm" style="mso-fit-shape-to-text:t;">
                <w:txbxContent>
                  <w:p w14:paraId="29981897">
                    <w:pPr>
                      <w:tabs>
                        <w:tab w:val="center" w:pos="4153"/>
                        <w:tab w:val="right" w:pos="8306"/>
                      </w:tabs>
                      <w:kinsoku w:val="0"/>
                      <w:autoSpaceDE w:val="0"/>
                      <w:autoSpaceDN w:val="0"/>
                      <w:adjustRightInd w:val="0"/>
                      <w:snapToGrid w:val="0"/>
                      <w:spacing w:line="600" w:lineRule="exact"/>
                      <w:jc w:val="center"/>
                      <w:textAlignment w:val="baseline"/>
                      <w:rPr>
                        <w:rFonts w:ascii="Times New Roman" w:hAnsi="Times New Roman" w:eastAsia="宋体" w:cs="Arial"/>
                        <w:snapToGrid w:val="0"/>
                        <w:color w:val="000000"/>
                        <w:kern w:val="0"/>
                        <w:sz w:val="28"/>
                        <w:szCs w:val="21"/>
                        <w:lang w:eastAsia="en-US"/>
                      </w:rPr>
                    </w:pPr>
                    <w:r>
                      <w:rPr>
                        <w:rFonts w:hint="eastAsia" w:ascii="Times New Roman" w:hAnsi="Times New Roman" w:eastAsia="宋体" w:cs="Arial"/>
                        <w:snapToGrid w:val="0"/>
                        <w:color w:val="000000"/>
                        <w:kern w:val="0"/>
                        <w:sz w:val="28"/>
                        <w:szCs w:val="21"/>
                      </w:rPr>
                      <w:t xml:space="preserve">— </w:t>
                    </w:r>
                    <w:r>
                      <w:rPr>
                        <w:rFonts w:ascii="Times New Roman" w:hAnsi="Times New Roman" w:eastAsia="宋体" w:cs="Arial"/>
                        <w:snapToGrid w:val="0"/>
                        <w:color w:val="000000"/>
                        <w:kern w:val="0"/>
                        <w:sz w:val="28"/>
                        <w:szCs w:val="21"/>
                        <w:lang w:eastAsia="en-US"/>
                      </w:rPr>
                      <w:fldChar w:fldCharType="begin"/>
                    </w:r>
                    <w:r>
                      <w:rPr>
                        <w:rFonts w:ascii="Times New Roman" w:hAnsi="Times New Roman" w:eastAsia="宋体" w:cs="Arial"/>
                        <w:snapToGrid w:val="0"/>
                        <w:color w:val="000000"/>
                        <w:kern w:val="0"/>
                        <w:sz w:val="28"/>
                        <w:szCs w:val="21"/>
                        <w:lang w:eastAsia="en-US"/>
                      </w:rPr>
                      <w:instrText xml:space="preserve"> PAGE  \* MERGEFORMAT </w:instrText>
                    </w:r>
                    <w:r>
                      <w:rPr>
                        <w:rFonts w:ascii="Times New Roman" w:hAnsi="Times New Roman" w:eastAsia="宋体" w:cs="Arial"/>
                        <w:snapToGrid w:val="0"/>
                        <w:color w:val="000000"/>
                        <w:kern w:val="0"/>
                        <w:sz w:val="28"/>
                        <w:szCs w:val="21"/>
                        <w:lang w:eastAsia="en-US"/>
                      </w:rPr>
                      <w:fldChar w:fldCharType="separate"/>
                    </w:r>
                    <w:r>
                      <w:rPr>
                        <w:rFonts w:ascii="Times New Roman" w:hAnsi="Times New Roman" w:eastAsia="宋体" w:cs="Arial"/>
                        <w:snapToGrid w:val="0"/>
                        <w:color w:val="000000"/>
                        <w:kern w:val="0"/>
                        <w:sz w:val="28"/>
                        <w:szCs w:val="21"/>
                        <w:lang w:eastAsia="en-US"/>
                      </w:rPr>
                      <w:t>147</w:t>
                    </w:r>
                    <w:r>
                      <w:rPr>
                        <w:rFonts w:ascii="Times New Roman" w:hAnsi="Times New Roman" w:eastAsia="宋体" w:cs="Arial"/>
                        <w:snapToGrid w:val="0"/>
                        <w:color w:val="000000"/>
                        <w:kern w:val="0"/>
                        <w:sz w:val="28"/>
                        <w:szCs w:val="21"/>
                        <w:lang w:eastAsia="en-US"/>
                      </w:rPr>
                      <w:fldChar w:fldCharType="end"/>
                    </w:r>
                    <w:r>
                      <w:rPr>
                        <w:rFonts w:hint="eastAsia" w:ascii="Times New Roman" w:hAnsi="Times New Roman" w:eastAsia="宋体" w:cs="Arial"/>
                        <w:snapToGrid w:val="0"/>
                        <w:color w:val="000000"/>
                        <w:kern w:val="0"/>
                        <w:sz w:val="28"/>
                        <w:szCs w:val="21"/>
                      </w:rPr>
                      <w:t xml:space="preserve"> —</w:t>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70E88">
    <w:pPr>
      <w:widowControl/>
      <w:kinsoku w:val="0"/>
      <w:autoSpaceDE w:val="0"/>
      <w:autoSpaceDN w:val="0"/>
      <w:adjustRightInd w:val="0"/>
      <w:snapToGrid w:val="0"/>
      <w:spacing w:before="1" w:line="232" w:lineRule="auto"/>
      <w:ind w:left="12964" w:firstLine="540" w:firstLineChars="200"/>
      <w:jc w:val="left"/>
      <w:textAlignment w:val="baseline"/>
      <w:rPr>
        <w:rFonts w:hint="eastAsia" w:ascii="宋体" w:hAnsi="宋体" w:eastAsia="宋体" w:cs="宋体"/>
        <w:snapToGrid w:val="0"/>
        <w:color w:val="000000"/>
        <w:kern w:val="0"/>
        <w:sz w:val="27"/>
        <w:szCs w:val="27"/>
        <w:lang w:eastAsia="en-US"/>
      </w:rPr>
    </w:pPr>
    <w:r>
      <w:rPr>
        <w:rFonts w:ascii="Times New Roman" w:hAnsi="Times New Roman" w:eastAsia="仿宋" w:cs="Arial"/>
        <w:snapToGrid w:val="0"/>
        <w:color w:val="000000"/>
        <w:kern w:val="0"/>
        <w:sz w:val="27"/>
        <w:szCs w:val="21"/>
        <w:lang w:eastAsia="en-US"/>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05EA0FC">
                          <w:pPr>
                            <w:tabs>
                              <w:tab w:val="center" w:pos="4153"/>
                              <w:tab w:val="right" w:pos="8306"/>
                            </w:tabs>
                            <w:kinsoku w:val="0"/>
                            <w:autoSpaceDE w:val="0"/>
                            <w:autoSpaceDN w:val="0"/>
                            <w:adjustRightInd w:val="0"/>
                            <w:snapToGrid w:val="0"/>
                            <w:spacing w:line="600" w:lineRule="exact"/>
                            <w:ind w:firstLine="560" w:firstLineChars="200"/>
                            <w:jc w:val="left"/>
                            <w:textAlignment w:val="baseline"/>
                            <w:rPr>
                              <w:rFonts w:ascii="Times New Roman" w:hAnsi="Times New Roman" w:eastAsia="仿宋" w:cs="Arial"/>
                              <w:snapToGrid w:val="0"/>
                              <w:color w:val="000000"/>
                              <w:kern w:val="0"/>
                              <w:sz w:val="28"/>
                              <w:szCs w:val="28"/>
                              <w:lang w:eastAsia="en-US"/>
                            </w:rPr>
                          </w:pPr>
                          <w:r>
                            <w:rPr>
                              <w:rFonts w:hint="eastAsia" w:ascii="Times New Roman" w:hAnsi="Times New Roman" w:eastAsia="仿宋" w:cs="Arial"/>
                              <w:snapToGrid w:val="0"/>
                              <w:color w:val="000000"/>
                              <w:kern w:val="0"/>
                              <w:sz w:val="28"/>
                              <w:szCs w:val="28"/>
                            </w:rPr>
                            <w:t xml:space="preserve">— </w:t>
                          </w:r>
                          <w:r>
                            <w:rPr>
                              <w:rFonts w:ascii="Times New Roman" w:hAnsi="Times New Roman" w:eastAsia="仿宋" w:cs="Arial"/>
                              <w:snapToGrid w:val="0"/>
                              <w:color w:val="000000"/>
                              <w:kern w:val="0"/>
                              <w:sz w:val="28"/>
                              <w:szCs w:val="28"/>
                              <w:lang w:eastAsia="en-US"/>
                            </w:rPr>
                            <w:fldChar w:fldCharType="begin"/>
                          </w:r>
                          <w:r>
                            <w:rPr>
                              <w:rFonts w:ascii="Times New Roman" w:hAnsi="Times New Roman" w:eastAsia="仿宋" w:cs="Arial"/>
                              <w:snapToGrid w:val="0"/>
                              <w:color w:val="000000"/>
                              <w:kern w:val="0"/>
                              <w:sz w:val="28"/>
                              <w:szCs w:val="28"/>
                              <w:lang w:eastAsia="en-US"/>
                            </w:rPr>
                            <w:instrText xml:space="preserve"> PAGE  \* MERGEFORMAT </w:instrText>
                          </w:r>
                          <w:r>
                            <w:rPr>
                              <w:rFonts w:ascii="Times New Roman" w:hAnsi="Times New Roman" w:eastAsia="仿宋" w:cs="Arial"/>
                              <w:snapToGrid w:val="0"/>
                              <w:color w:val="000000"/>
                              <w:kern w:val="0"/>
                              <w:sz w:val="28"/>
                              <w:szCs w:val="28"/>
                              <w:lang w:eastAsia="en-US"/>
                            </w:rPr>
                            <w:fldChar w:fldCharType="separate"/>
                          </w:r>
                          <w:r>
                            <w:rPr>
                              <w:rFonts w:ascii="Times New Roman" w:hAnsi="Times New Roman" w:eastAsia="仿宋" w:cs="Arial"/>
                              <w:snapToGrid w:val="0"/>
                              <w:color w:val="000000"/>
                              <w:kern w:val="0"/>
                              <w:sz w:val="18"/>
                              <w:szCs w:val="21"/>
                              <w:lang w:eastAsia="en-US"/>
                            </w:rPr>
                            <w:t>148</w:t>
                          </w:r>
                          <w:r>
                            <w:rPr>
                              <w:rFonts w:ascii="Times New Roman" w:hAnsi="Times New Roman" w:eastAsia="仿宋" w:cs="Arial"/>
                              <w:snapToGrid w:val="0"/>
                              <w:color w:val="000000"/>
                              <w:kern w:val="0"/>
                              <w:sz w:val="28"/>
                              <w:szCs w:val="28"/>
                              <w:lang w:eastAsia="en-US"/>
                            </w:rPr>
                            <w:fldChar w:fldCharType="end"/>
                          </w:r>
                          <w:r>
                            <w:rPr>
                              <w:rFonts w:hint="eastAsia" w:ascii="Times New Roman" w:hAnsi="Times New Roman" w:eastAsia="仿宋" w:cs="Arial"/>
                              <w:snapToGrid w:val="0"/>
                              <w:color w:val="000000"/>
                              <w:kern w:val="0"/>
                              <w:sz w:val="28"/>
                              <w:szCs w:val="28"/>
                            </w:rPr>
                            <w:t xml:space="preserve"> —</w:t>
                          </w:r>
                        </w:p>
                      </w:txbxContent>
                    </wps:txbx>
                    <wps:bodyPr wrap="none" lIns="0" tIns="0" rIns="0" bIns="0" upright="1">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xf3E7MMBAACPAwAADgAAAAAAAAABACAAAAAfAQAAZHJzL2Uyb0RvYy54bWxQ&#10;SwUGAAAAAAYABgBZAQAAVAUAAAAA&#10;">
              <v:fill on="f" focussize="0,0"/>
              <v:stroke on="f"/>
              <v:imagedata o:title=""/>
              <o:lock v:ext="edit" aspectratio="f"/>
              <v:textbox inset="0mm,0mm,0mm,0mm" style="mso-fit-shape-to-text:t;">
                <w:txbxContent>
                  <w:p w14:paraId="105EA0FC">
                    <w:pPr>
                      <w:tabs>
                        <w:tab w:val="center" w:pos="4153"/>
                        <w:tab w:val="right" w:pos="8306"/>
                      </w:tabs>
                      <w:kinsoku w:val="0"/>
                      <w:autoSpaceDE w:val="0"/>
                      <w:autoSpaceDN w:val="0"/>
                      <w:adjustRightInd w:val="0"/>
                      <w:snapToGrid w:val="0"/>
                      <w:spacing w:line="600" w:lineRule="exact"/>
                      <w:ind w:firstLine="560" w:firstLineChars="200"/>
                      <w:jc w:val="left"/>
                      <w:textAlignment w:val="baseline"/>
                      <w:rPr>
                        <w:rFonts w:ascii="Times New Roman" w:hAnsi="Times New Roman" w:eastAsia="仿宋" w:cs="Arial"/>
                        <w:snapToGrid w:val="0"/>
                        <w:color w:val="000000"/>
                        <w:kern w:val="0"/>
                        <w:sz w:val="28"/>
                        <w:szCs w:val="28"/>
                        <w:lang w:eastAsia="en-US"/>
                      </w:rPr>
                    </w:pPr>
                    <w:r>
                      <w:rPr>
                        <w:rFonts w:hint="eastAsia" w:ascii="Times New Roman" w:hAnsi="Times New Roman" w:eastAsia="仿宋" w:cs="Arial"/>
                        <w:snapToGrid w:val="0"/>
                        <w:color w:val="000000"/>
                        <w:kern w:val="0"/>
                        <w:sz w:val="28"/>
                        <w:szCs w:val="28"/>
                      </w:rPr>
                      <w:t xml:space="preserve">— </w:t>
                    </w:r>
                    <w:r>
                      <w:rPr>
                        <w:rFonts w:ascii="Times New Roman" w:hAnsi="Times New Roman" w:eastAsia="仿宋" w:cs="Arial"/>
                        <w:snapToGrid w:val="0"/>
                        <w:color w:val="000000"/>
                        <w:kern w:val="0"/>
                        <w:sz w:val="28"/>
                        <w:szCs w:val="28"/>
                        <w:lang w:eastAsia="en-US"/>
                      </w:rPr>
                      <w:fldChar w:fldCharType="begin"/>
                    </w:r>
                    <w:r>
                      <w:rPr>
                        <w:rFonts w:ascii="Times New Roman" w:hAnsi="Times New Roman" w:eastAsia="仿宋" w:cs="Arial"/>
                        <w:snapToGrid w:val="0"/>
                        <w:color w:val="000000"/>
                        <w:kern w:val="0"/>
                        <w:sz w:val="28"/>
                        <w:szCs w:val="28"/>
                        <w:lang w:eastAsia="en-US"/>
                      </w:rPr>
                      <w:instrText xml:space="preserve"> PAGE  \* MERGEFORMAT </w:instrText>
                    </w:r>
                    <w:r>
                      <w:rPr>
                        <w:rFonts w:ascii="Times New Roman" w:hAnsi="Times New Roman" w:eastAsia="仿宋" w:cs="Arial"/>
                        <w:snapToGrid w:val="0"/>
                        <w:color w:val="000000"/>
                        <w:kern w:val="0"/>
                        <w:sz w:val="28"/>
                        <w:szCs w:val="28"/>
                        <w:lang w:eastAsia="en-US"/>
                      </w:rPr>
                      <w:fldChar w:fldCharType="separate"/>
                    </w:r>
                    <w:r>
                      <w:rPr>
                        <w:rFonts w:ascii="Times New Roman" w:hAnsi="Times New Roman" w:eastAsia="仿宋" w:cs="Arial"/>
                        <w:snapToGrid w:val="0"/>
                        <w:color w:val="000000"/>
                        <w:kern w:val="0"/>
                        <w:sz w:val="18"/>
                        <w:szCs w:val="21"/>
                        <w:lang w:eastAsia="en-US"/>
                      </w:rPr>
                      <w:t>148</w:t>
                    </w:r>
                    <w:r>
                      <w:rPr>
                        <w:rFonts w:ascii="Times New Roman" w:hAnsi="Times New Roman" w:eastAsia="仿宋" w:cs="Arial"/>
                        <w:snapToGrid w:val="0"/>
                        <w:color w:val="000000"/>
                        <w:kern w:val="0"/>
                        <w:sz w:val="28"/>
                        <w:szCs w:val="28"/>
                        <w:lang w:eastAsia="en-US"/>
                      </w:rPr>
                      <w:fldChar w:fldCharType="end"/>
                    </w:r>
                    <w:r>
                      <w:rPr>
                        <w:rFonts w:hint="eastAsia" w:ascii="Times New Roman" w:hAnsi="Times New Roman" w:eastAsia="仿宋" w:cs="Arial"/>
                        <w:snapToGrid w:val="0"/>
                        <w:color w:val="000000"/>
                        <w:kern w:val="0"/>
                        <w:sz w:val="28"/>
                        <w:szCs w:val="28"/>
                      </w:rPr>
                      <w:t xml:space="preserve"> —</w:t>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FBB1B">
    <w:pPr>
      <w:tabs>
        <w:tab w:val="center" w:pos="4153"/>
        <w:tab w:val="right" w:pos="8306"/>
      </w:tabs>
      <w:kinsoku w:val="0"/>
      <w:autoSpaceDE w:val="0"/>
      <w:autoSpaceDN w:val="0"/>
      <w:adjustRightInd w:val="0"/>
      <w:snapToGrid w:val="0"/>
      <w:spacing w:line="600" w:lineRule="exact"/>
      <w:ind w:firstLine="360" w:firstLineChars="200"/>
      <w:jc w:val="left"/>
      <w:textAlignment w:val="baseline"/>
      <w:rPr>
        <w:rFonts w:ascii="Times New Roman" w:hAnsi="Times New Roman" w:eastAsia="仿宋" w:cs="Arial"/>
        <w:snapToGrid w:val="0"/>
        <w:color w:val="000000"/>
        <w:kern w:val="0"/>
        <w:sz w:val="18"/>
        <w:szCs w:val="21"/>
        <w:lang w:eastAsia="en-US"/>
      </w:rPr>
    </w:pPr>
    <w:r>
      <w:rPr>
        <w:rFonts w:ascii="Times New Roman" w:hAnsi="Times New Roman" w:eastAsia="仿宋" w:cs="Arial"/>
        <w:snapToGrid w:val="0"/>
        <w:color w:val="000000"/>
        <w:kern w:val="0"/>
        <w:sz w:val="18"/>
        <w:szCs w:val="21"/>
        <w:lang w:eastAsia="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0B21045">
                          <w:pPr>
                            <w:tabs>
                              <w:tab w:val="center" w:pos="4153"/>
                              <w:tab w:val="right" w:pos="8306"/>
                            </w:tabs>
                            <w:kinsoku w:val="0"/>
                            <w:autoSpaceDE w:val="0"/>
                            <w:autoSpaceDN w:val="0"/>
                            <w:adjustRightInd w:val="0"/>
                            <w:snapToGrid w:val="0"/>
                            <w:spacing w:line="600" w:lineRule="exact"/>
                            <w:ind w:firstLine="560" w:firstLineChars="200"/>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kern w:val="0"/>
                              <w:sz w:val="28"/>
                              <w:szCs w:val="28"/>
                            </w:rPr>
                            <w:t>—</w:t>
                          </w:r>
                          <w:r>
                            <w:rPr>
                              <w:rFonts w:ascii="Times New Roman" w:hAnsi="Times New Roman" w:eastAsia="宋体" w:cs="Arial"/>
                              <w:snapToGrid w:val="0"/>
                              <w:color w:val="000000"/>
                              <w:kern w:val="0"/>
                              <w:sz w:val="28"/>
                              <w:szCs w:val="28"/>
                            </w:rPr>
                            <w:t xml:space="preserve"> </w:t>
                          </w:r>
                          <w:r>
                            <w:rPr>
                              <w:rFonts w:ascii="Times New Roman" w:hAnsi="Times New Roman" w:eastAsia="宋体" w:cs="Arial"/>
                              <w:snapToGrid w:val="0"/>
                              <w:color w:val="000000"/>
                              <w:kern w:val="0"/>
                              <w:sz w:val="28"/>
                              <w:szCs w:val="28"/>
                              <w:lang w:eastAsia="en-US"/>
                            </w:rPr>
                            <w:fldChar w:fldCharType="begin"/>
                          </w:r>
                          <w:r>
                            <w:rPr>
                              <w:rFonts w:ascii="Times New Roman" w:hAnsi="Times New Roman" w:eastAsia="宋体" w:cs="Arial"/>
                              <w:snapToGrid w:val="0"/>
                              <w:color w:val="000000"/>
                              <w:kern w:val="0"/>
                              <w:sz w:val="28"/>
                              <w:szCs w:val="28"/>
                              <w:lang w:eastAsia="en-US"/>
                            </w:rPr>
                            <w:instrText xml:space="preserve"> PAGE  \* MERGEFORMAT </w:instrText>
                          </w:r>
                          <w:r>
                            <w:rPr>
                              <w:rFonts w:ascii="Times New Roman" w:hAnsi="Times New Roman" w:eastAsia="宋体" w:cs="Arial"/>
                              <w:snapToGrid w:val="0"/>
                              <w:color w:val="000000"/>
                              <w:kern w:val="0"/>
                              <w:sz w:val="28"/>
                              <w:szCs w:val="28"/>
                              <w:lang w:eastAsia="en-US"/>
                            </w:rPr>
                            <w:fldChar w:fldCharType="separate"/>
                          </w:r>
                          <w:r>
                            <w:rPr>
                              <w:rFonts w:ascii="Times New Roman" w:hAnsi="Times New Roman" w:eastAsia="仿宋" w:cs="Arial"/>
                              <w:snapToGrid w:val="0"/>
                              <w:color w:val="000000"/>
                              <w:kern w:val="0"/>
                              <w:sz w:val="18"/>
                              <w:szCs w:val="21"/>
                              <w:lang w:eastAsia="en-US"/>
                            </w:rPr>
                            <w:t>157</w:t>
                          </w:r>
                          <w:r>
                            <w:rPr>
                              <w:rFonts w:ascii="Times New Roman" w:hAnsi="Times New Roman" w:eastAsia="宋体" w:cs="Arial"/>
                              <w:snapToGrid w:val="0"/>
                              <w:color w:val="000000"/>
                              <w:kern w:val="0"/>
                              <w:sz w:val="28"/>
                              <w:szCs w:val="28"/>
                              <w:lang w:eastAsia="en-US"/>
                            </w:rPr>
                            <w:fldChar w:fldCharType="end"/>
                          </w:r>
                          <w:r>
                            <w:rPr>
                              <w:rFonts w:hint="eastAsia" w:ascii="宋体" w:hAnsi="宋体" w:eastAsia="宋体" w:cs="宋体"/>
                              <w:snapToGrid w:val="0"/>
                              <w:color w:val="000000"/>
                              <w:kern w:val="0"/>
                              <w:sz w:val="28"/>
                              <w:szCs w:val="28"/>
                            </w:rPr>
                            <w:t xml:space="preserve"> —</w:t>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A7YyYLEAQAAjwMAAA4AAAAAAAAAAQAgAAAAHwEAAGRycy9lMm9Eb2MueG1s&#10;UEsFBgAAAAAGAAYAWQEAAFUFAAAAAA==&#10;">
              <v:fill on="f" focussize="0,0"/>
              <v:stroke on="f"/>
              <v:imagedata o:title=""/>
              <o:lock v:ext="edit" aspectratio="f"/>
              <v:textbox inset="0mm,0mm,0mm,0mm" style="mso-fit-shape-to-text:t;">
                <w:txbxContent>
                  <w:p w14:paraId="10B21045">
                    <w:pPr>
                      <w:tabs>
                        <w:tab w:val="center" w:pos="4153"/>
                        <w:tab w:val="right" w:pos="8306"/>
                      </w:tabs>
                      <w:kinsoku w:val="0"/>
                      <w:autoSpaceDE w:val="0"/>
                      <w:autoSpaceDN w:val="0"/>
                      <w:adjustRightInd w:val="0"/>
                      <w:snapToGrid w:val="0"/>
                      <w:spacing w:line="600" w:lineRule="exact"/>
                      <w:ind w:firstLine="560" w:firstLineChars="200"/>
                      <w:jc w:val="left"/>
                      <w:textAlignment w:val="baseline"/>
                      <w:rPr>
                        <w:rFonts w:hint="eastAsia" w:ascii="宋体" w:hAnsi="宋体" w:eastAsia="宋体" w:cs="宋体"/>
                        <w:snapToGrid w:val="0"/>
                        <w:color w:val="000000"/>
                        <w:kern w:val="0"/>
                        <w:sz w:val="28"/>
                        <w:szCs w:val="28"/>
                      </w:rPr>
                    </w:pPr>
                    <w:r>
                      <w:rPr>
                        <w:rFonts w:hint="eastAsia" w:ascii="宋体" w:hAnsi="宋体" w:eastAsia="宋体" w:cs="宋体"/>
                        <w:snapToGrid w:val="0"/>
                        <w:color w:val="000000"/>
                        <w:kern w:val="0"/>
                        <w:sz w:val="28"/>
                        <w:szCs w:val="28"/>
                      </w:rPr>
                      <w:t>—</w:t>
                    </w:r>
                    <w:r>
                      <w:rPr>
                        <w:rFonts w:ascii="Times New Roman" w:hAnsi="Times New Roman" w:eastAsia="宋体" w:cs="Arial"/>
                        <w:snapToGrid w:val="0"/>
                        <w:color w:val="000000"/>
                        <w:kern w:val="0"/>
                        <w:sz w:val="28"/>
                        <w:szCs w:val="28"/>
                      </w:rPr>
                      <w:t xml:space="preserve"> </w:t>
                    </w:r>
                    <w:r>
                      <w:rPr>
                        <w:rFonts w:ascii="Times New Roman" w:hAnsi="Times New Roman" w:eastAsia="宋体" w:cs="Arial"/>
                        <w:snapToGrid w:val="0"/>
                        <w:color w:val="000000"/>
                        <w:kern w:val="0"/>
                        <w:sz w:val="28"/>
                        <w:szCs w:val="28"/>
                        <w:lang w:eastAsia="en-US"/>
                      </w:rPr>
                      <w:fldChar w:fldCharType="begin"/>
                    </w:r>
                    <w:r>
                      <w:rPr>
                        <w:rFonts w:ascii="Times New Roman" w:hAnsi="Times New Roman" w:eastAsia="宋体" w:cs="Arial"/>
                        <w:snapToGrid w:val="0"/>
                        <w:color w:val="000000"/>
                        <w:kern w:val="0"/>
                        <w:sz w:val="28"/>
                        <w:szCs w:val="28"/>
                        <w:lang w:eastAsia="en-US"/>
                      </w:rPr>
                      <w:instrText xml:space="preserve"> PAGE  \* MERGEFORMAT </w:instrText>
                    </w:r>
                    <w:r>
                      <w:rPr>
                        <w:rFonts w:ascii="Times New Roman" w:hAnsi="Times New Roman" w:eastAsia="宋体" w:cs="Arial"/>
                        <w:snapToGrid w:val="0"/>
                        <w:color w:val="000000"/>
                        <w:kern w:val="0"/>
                        <w:sz w:val="28"/>
                        <w:szCs w:val="28"/>
                        <w:lang w:eastAsia="en-US"/>
                      </w:rPr>
                      <w:fldChar w:fldCharType="separate"/>
                    </w:r>
                    <w:r>
                      <w:rPr>
                        <w:rFonts w:ascii="Times New Roman" w:hAnsi="Times New Roman" w:eastAsia="仿宋" w:cs="Arial"/>
                        <w:snapToGrid w:val="0"/>
                        <w:color w:val="000000"/>
                        <w:kern w:val="0"/>
                        <w:sz w:val="18"/>
                        <w:szCs w:val="21"/>
                        <w:lang w:eastAsia="en-US"/>
                      </w:rPr>
                      <w:t>157</w:t>
                    </w:r>
                    <w:r>
                      <w:rPr>
                        <w:rFonts w:ascii="Times New Roman" w:hAnsi="Times New Roman" w:eastAsia="宋体" w:cs="Arial"/>
                        <w:snapToGrid w:val="0"/>
                        <w:color w:val="000000"/>
                        <w:kern w:val="0"/>
                        <w:sz w:val="28"/>
                        <w:szCs w:val="28"/>
                        <w:lang w:eastAsia="en-US"/>
                      </w:rPr>
                      <w:fldChar w:fldCharType="end"/>
                    </w:r>
                    <w:r>
                      <w:rPr>
                        <w:rFonts w:hint="eastAsia" w:ascii="宋体" w:hAnsi="宋体" w:eastAsia="宋体" w:cs="宋体"/>
                        <w:snapToGrid w:val="0"/>
                        <w:color w:val="000000"/>
                        <w:kern w:val="0"/>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572FC">
    <w:pPr>
      <w:widowControl/>
      <w:kinsoku w:val="0"/>
      <w:autoSpaceDE w:val="0"/>
      <w:autoSpaceDN w:val="0"/>
      <w:adjustRightInd w:val="0"/>
      <w:snapToGrid w:val="0"/>
      <w:spacing w:before="84" w:line="224" w:lineRule="auto"/>
      <w:ind w:left="199" w:firstLine="640" w:firstLineChars="200"/>
      <w:jc w:val="left"/>
      <w:textAlignment w:val="baseline"/>
      <w:rPr>
        <w:rFonts w:hint="eastAsia" w:ascii="黑体" w:hAnsi="黑体" w:eastAsia="黑体" w:cs="黑体"/>
        <w:snapToGrid w:val="0"/>
        <w:color w:val="000000"/>
        <w:kern w:val="0"/>
        <w:sz w:val="32"/>
        <w:szCs w:val="32"/>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2B4A7">
    <w:pPr>
      <w:widowControl/>
      <w:kinsoku w:val="0"/>
      <w:autoSpaceDE w:val="0"/>
      <w:autoSpaceDN w:val="0"/>
      <w:adjustRightInd w:val="0"/>
      <w:snapToGrid w:val="0"/>
      <w:spacing w:line="14" w:lineRule="auto"/>
      <w:ind w:firstLine="40" w:firstLineChars="200"/>
      <w:jc w:val="left"/>
      <w:textAlignment w:val="baseline"/>
      <w:rPr>
        <w:rFonts w:ascii="Arial" w:hAnsi="Arial" w:eastAsia="Arial" w:cs="Arial"/>
        <w:snapToGrid w:val="0"/>
        <w:color w:val="000000"/>
        <w:kern w:val="0"/>
        <w:sz w:val="2"/>
        <w:szCs w:val="21"/>
        <w:lang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2B7"/>
    <w:rsid w:val="0003115A"/>
    <w:rsid w:val="000D6281"/>
    <w:rsid w:val="0024557E"/>
    <w:rsid w:val="00300AFC"/>
    <w:rsid w:val="003032B7"/>
    <w:rsid w:val="003128F9"/>
    <w:rsid w:val="003845D1"/>
    <w:rsid w:val="00683387"/>
    <w:rsid w:val="00907D13"/>
    <w:rsid w:val="00D20F28"/>
    <w:rsid w:val="5CD570AE"/>
    <w:rsid w:val="FC7B2AFC"/>
    <w:rsid w:val="FF7FE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customStyle="1" w:styleId="4">
    <w:name w:val="Table Normal"/>
    <w:basedOn w:val="2"/>
    <w:qFormat/>
    <w:uiPriority w:val="0"/>
    <w:pPr>
      <w:spacing w:after="0" w:line="240" w:lineRule="auto"/>
    </w:pPr>
    <w:rPr>
      <w:rFonts w:ascii="Times New Roman" w:hAnsi="Times New Roman" w:eastAsia="Times New Roman" w:cs="Times New Roman"/>
    </w:rPr>
    <w:tblPr>
      <w:tblCellMar>
        <w:left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2.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233</Pages>
  <Words>13345</Words>
  <Characters>76072</Characters>
  <Lines>633</Lines>
  <Paragraphs>178</Paragraphs>
  <TotalTime>95</TotalTime>
  <ScaleCrop>false</ScaleCrop>
  <LinksUpToDate>false</LinksUpToDate>
  <CharactersWithSpaces>89239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2026-09-09T15:32:00Z</dcterms:created>
  <dc:creator>GreatWall</dc:creator>
  <cp:lastModifiedBy>               </cp:lastModifiedBy>
  <dcterms:modified xsi:type="dcterms:W3CDTF">2026-09-09T17:12:34Z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4185EE614AD91AB93CBBA06AD5EAAC0F_43</vt:lpwstr>
  </property>
</Properties>
</file>