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B877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附件2</w:t>
      </w:r>
    </w:p>
    <w:p w14:paraId="4F37CB9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_GBK" w:hAnsi="方正小标宋_GBK" w:eastAsia="方正小标宋_GBK" w:cs="方正小标宋_GBK"/>
          <w:b w:val="0"/>
          <w:bCs w:val="0"/>
          <w:sz w:val="36"/>
          <w:szCs w:val="36"/>
        </w:rPr>
      </w:pPr>
      <w:bookmarkStart w:id="0" w:name="_GoBack"/>
      <w:r>
        <w:rPr>
          <w:rFonts w:hint="eastAsia" w:ascii="方正小标宋_GBK" w:hAnsi="方正小标宋_GBK" w:eastAsia="方正小标宋_GBK" w:cs="方正小标宋_GBK"/>
          <w:b w:val="0"/>
          <w:bCs w:val="0"/>
          <w:sz w:val="36"/>
          <w:szCs w:val="36"/>
        </w:rPr>
        <w:t>2026年</w:t>
      </w:r>
      <w:r>
        <w:rPr>
          <w:rFonts w:hint="eastAsia" w:ascii="方正小标宋_GBK" w:hAnsi="方正小标宋_GBK" w:eastAsia="方正小标宋_GBK" w:cs="方正小标宋_GBK"/>
          <w:b w:val="0"/>
          <w:bCs w:val="0"/>
          <w:sz w:val="36"/>
          <w:szCs w:val="36"/>
          <w:lang w:val="en-US" w:eastAsia="zh-CN"/>
        </w:rPr>
        <w:t>武陵区</w:t>
      </w:r>
      <w:r>
        <w:rPr>
          <w:rFonts w:hint="eastAsia" w:ascii="方正小标宋_GBK" w:hAnsi="方正小标宋_GBK" w:eastAsia="方正小标宋_GBK" w:cs="方正小标宋_GBK"/>
          <w:b w:val="0"/>
          <w:bCs w:val="0"/>
          <w:sz w:val="36"/>
          <w:szCs w:val="36"/>
        </w:rPr>
        <w:t>征收农用地区片综合地价</w:t>
      </w:r>
    </w:p>
    <w:p w14:paraId="322E0AB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_GBK" w:hAnsi="方正小标宋_GBK" w:eastAsia="方正小标宋_GBK" w:cs="方正小标宋_GBK"/>
          <w:b w:val="0"/>
          <w:bCs w:val="0"/>
          <w:sz w:val="36"/>
          <w:szCs w:val="36"/>
        </w:rPr>
      </w:pPr>
      <w:r>
        <w:rPr>
          <w:rFonts w:hint="eastAsia" w:ascii="方正小标宋_GBK" w:hAnsi="方正小标宋_GBK" w:eastAsia="方正小标宋_GBK" w:cs="方正小标宋_GBK"/>
          <w:b w:val="0"/>
          <w:bCs w:val="0"/>
          <w:sz w:val="36"/>
          <w:szCs w:val="36"/>
        </w:rPr>
        <w:t>（征地补偿标准）调整社会稳定风险评估民意调查表</w:t>
      </w:r>
      <w:bookmarkEnd w:id="0"/>
    </w:p>
    <w:p w14:paraId="2BDBEEDB">
      <w:pPr>
        <w:keepNext w:val="0"/>
        <w:keepLines w:val="0"/>
        <w:pageBreakBefore w:val="0"/>
        <w:widowControl w:val="0"/>
        <w:kinsoku/>
        <w:wordWrap/>
        <w:overflowPunct/>
        <w:topLinePunct w:val="0"/>
        <w:autoSpaceDE/>
        <w:autoSpaceDN/>
        <w:bidi w:val="0"/>
        <w:adjustRightInd/>
        <w:snapToGrid/>
        <w:spacing w:line="20" w:lineRule="exact"/>
        <w:jc w:val="left"/>
        <w:textAlignment w:val="auto"/>
        <w:rPr>
          <w:rFonts w:hint="eastAsia" w:ascii="宋体" w:hAnsi="宋体" w:eastAsia="宋体" w:cs="宋体"/>
          <w:bCs/>
          <w:kern w:val="2"/>
          <w:sz w:val="24"/>
          <w:szCs w:val="24"/>
          <w:u w:val="none"/>
          <w:lang w:val="en-US" w:eastAsia="zh-CN" w:bidi="ar-SA"/>
        </w:rPr>
      </w:pPr>
    </w:p>
    <w:p w14:paraId="1172C742">
      <w:pPr>
        <w:keepNext w:val="0"/>
        <w:keepLines w:val="0"/>
        <w:pageBreakBefore w:val="0"/>
        <w:widowControl w:val="0"/>
        <w:kinsoku/>
        <w:wordWrap/>
        <w:overflowPunct/>
        <w:topLinePunct w:val="0"/>
        <w:autoSpaceDE/>
        <w:autoSpaceDN/>
        <w:bidi w:val="0"/>
        <w:adjustRightInd/>
        <w:snapToGrid/>
        <w:spacing w:line="20" w:lineRule="exact"/>
        <w:jc w:val="left"/>
        <w:textAlignment w:val="auto"/>
        <w:rPr>
          <w:rFonts w:hint="eastAsia" w:ascii="宋体" w:hAnsi="宋体" w:eastAsia="宋体" w:cs="宋体"/>
          <w:bCs/>
          <w:kern w:val="2"/>
          <w:sz w:val="24"/>
          <w:szCs w:val="24"/>
          <w:u w:val="none"/>
          <w:lang w:val="en-US" w:eastAsia="zh-CN" w:bidi="ar-SA"/>
        </w:rPr>
      </w:pPr>
    </w:p>
    <w:tbl>
      <w:tblPr>
        <w:tblStyle w:val="5"/>
        <w:tblW w:w="90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539"/>
        <w:gridCol w:w="3788"/>
        <w:gridCol w:w="1498"/>
        <w:gridCol w:w="1236"/>
        <w:gridCol w:w="1236"/>
      </w:tblGrid>
      <w:tr w14:paraId="17431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4" w:type="dxa"/>
            <w:gridSpan w:val="2"/>
            <w:vAlign w:val="center"/>
          </w:tcPr>
          <w:p w14:paraId="5D3395E6">
            <w:pPr>
              <w:spacing w:line="240" w:lineRule="auto"/>
              <w:jc w:val="center"/>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t>姓名</w:t>
            </w:r>
          </w:p>
        </w:tc>
        <w:tc>
          <w:tcPr>
            <w:tcW w:w="3788" w:type="dxa"/>
            <w:vAlign w:val="center"/>
          </w:tcPr>
          <w:p w14:paraId="630329E3">
            <w:pPr>
              <w:spacing w:line="240" w:lineRule="auto"/>
              <w:rPr>
                <w:rFonts w:hint="eastAsia" w:ascii="方正仿宋_GB2312" w:hAnsi="方正仿宋_GB2312" w:eastAsia="方正仿宋_GB2312" w:cs="方正仿宋_GB2312"/>
                <w:sz w:val="22"/>
                <w:szCs w:val="22"/>
                <w:lang w:val="en-US" w:eastAsia="zh-CN"/>
              </w:rPr>
            </w:pPr>
          </w:p>
        </w:tc>
        <w:tc>
          <w:tcPr>
            <w:tcW w:w="1498" w:type="dxa"/>
            <w:vAlign w:val="center"/>
          </w:tcPr>
          <w:p w14:paraId="4A63EF3A">
            <w:pPr>
              <w:spacing w:line="240" w:lineRule="auto"/>
              <w:jc w:val="center"/>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t>联系电话</w:t>
            </w:r>
          </w:p>
        </w:tc>
        <w:tc>
          <w:tcPr>
            <w:tcW w:w="2472" w:type="dxa"/>
            <w:gridSpan w:val="2"/>
            <w:vAlign w:val="center"/>
          </w:tcPr>
          <w:p w14:paraId="589C157A">
            <w:pPr>
              <w:spacing w:line="240" w:lineRule="auto"/>
              <w:rPr>
                <w:rFonts w:hint="eastAsia" w:ascii="方正仿宋_GB2312" w:hAnsi="方正仿宋_GB2312" w:eastAsia="方正仿宋_GB2312" w:cs="方正仿宋_GB2312"/>
                <w:sz w:val="22"/>
                <w:szCs w:val="22"/>
                <w:lang w:val="en-US" w:eastAsia="zh-CN"/>
              </w:rPr>
            </w:pPr>
          </w:p>
        </w:tc>
      </w:tr>
      <w:tr w14:paraId="6D6BE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4" w:type="dxa"/>
            <w:gridSpan w:val="2"/>
            <w:vMerge w:val="restart"/>
            <w:vAlign w:val="center"/>
          </w:tcPr>
          <w:p w14:paraId="6EE524E1">
            <w:pPr>
              <w:spacing w:line="240" w:lineRule="auto"/>
              <w:jc w:val="center"/>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t>位置</w:t>
            </w:r>
          </w:p>
        </w:tc>
        <w:tc>
          <w:tcPr>
            <w:tcW w:w="3788" w:type="dxa"/>
            <w:vAlign w:val="center"/>
          </w:tcPr>
          <w:p w14:paraId="0C32885C">
            <w:pPr>
              <w:spacing w:line="240" w:lineRule="auto"/>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t>乡镇（街道）：</w:t>
            </w:r>
          </w:p>
        </w:tc>
        <w:tc>
          <w:tcPr>
            <w:tcW w:w="1498" w:type="dxa"/>
            <w:vAlign w:val="center"/>
          </w:tcPr>
          <w:p w14:paraId="69C5F7C6">
            <w:pPr>
              <w:spacing w:line="240" w:lineRule="auto"/>
              <w:jc w:val="center"/>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t>年龄</w:t>
            </w:r>
          </w:p>
        </w:tc>
        <w:tc>
          <w:tcPr>
            <w:tcW w:w="2472" w:type="dxa"/>
            <w:gridSpan w:val="2"/>
            <w:vAlign w:val="center"/>
          </w:tcPr>
          <w:p w14:paraId="5970047E">
            <w:pPr>
              <w:spacing w:line="240" w:lineRule="auto"/>
              <w:rPr>
                <w:rFonts w:hint="eastAsia" w:ascii="方正仿宋_GB2312" w:hAnsi="方正仿宋_GB2312" w:eastAsia="方正仿宋_GB2312" w:cs="方正仿宋_GB2312"/>
                <w:sz w:val="22"/>
                <w:szCs w:val="22"/>
                <w:lang w:val="en-US" w:eastAsia="zh-CN"/>
              </w:rPr>
            </w:pPr>
          </w:p>
        </w:tc>
      </w:tr>
      <w:tr w14:paraId="626C2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74" w:type="dxa"/>
            <w:gridSpan w:val="2"/>
            <w:vMerge w:val="continue"/>
            <w:vAlign w:val="center"/>
          </w:tcPr>
          <w:p w14:paraId="49F395E2">
            <w:pPr>
              <w:spacing w:line="240" w:lineRule="auto"/>
              <w:rPr>
                <w:rFonts w:hint="eastAsia" w:ascii="方正仿宋_GB2312" w:hAnsi="方正仿宋_GB2312" w:eastAsia="方正仿宋_GB2312" w:cs="方正仿宋_GB2312"/>
                <w:sz w:val="22"/>
                <w:szCs w:val="22"/>
                <w:lang w:val="en-US" w:eastAsia="zh-CN"/>
              </w:rPr>
            </w:pPr>
          </w:p>
        </w:tc>
        <w:tc>
          <w:tcPr>
            <w:tcW w:w="3788" w:type="dxa"/>
            <w:vAlign w:val="center"/>
          </w:tcPr>
          <w:p w14:paraId="1E8F5913">
            <w:pPr>
              <w:spacing w:line="240" w:lineRule="auto"/>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t>社区/村：</w:t>
            </w:r>
          </w:p>
        </w:tc>
        <w:tc>
          <w:tcPr>
            <w:tcW w:w="1498" w:type="dxa"/>
            <w:vAlign w:val="center"/>
          </w:tcPr>
          <w:p w14:paraId="48AC9269">
            <w:pPr>
              <w:spacing w:line="240" w:lineRule="auto"/>
              <w:jc w:val="center"/>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t>性别</w:t>
            </w:r>
          </w:p>
        </w:tc>
        <w:tc>
          <w:tcPr>
            <w:tcW w:w="2472" w:type="dxa"/>
            <w:gridSpan w:val="2"/>
            <w:vAlign w:val="center"/>
          </w:tcPr>
          <w:p w14:paraId="6989C1C9">
            <w:pPr>
              <w:spacing w:line="240" w:lineRule="auto"/>
              <w:rPr>
                <w:rFonts w:hint="eastAsia" w:ascii="方正仿宋_GB2312" w:hAnsi="方正仿宋_GB2312" w:eastAsia="方正仿宋_GB2312" w:cs="方正仿宋_GB2312"/>
                <w:sz w:val="22"/>
                <w:szCs w:val="22"/>
                <w:lang w:val="en-US" w:eastAsia="zh-CN"/>
              </w:rPr>
            </w:pPr>
          </w:p>
        </w:tc>
      </w:tr>
      <w:tr w14:paraId="31E7A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9032" w:type="dxa"/>
            <w:gridSpan w:val="6"/>
            <w:vAlign w:val="center"/>
          </w:tcPr>
          <w:p w14:paraId="17CE7242">
            <w:pPr>
              <w:spacing w:line="240" w:lineRule="auto"/>
              <w:jc w:val="center"/>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区片综合地价调整工作背景及调整方案介绍</w:t>
            </w:r>
          </w:p>
        </w:tc>
      </w:tr>
      <w:tr w14:paraId="2D405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1" w:hRule="atLeast"/>
          <w:jc w:val="center"/>
        </w:trPr>
        <w:tc>
          <w:tcPr>
            <w:tcW w:w="9032" w:type="dxa"/>
            <w:gridSpan w:val="6"/>
            <w:vAlign w:val="center"/>
          </w:tcPr>
          <w:p w14:paraId="5C8D4C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440" w:firstLineChars="200"/>
              <w:jc w:val="left"/>
              <w:textAlignment w:val="auto"/>
              <w:rPr>
                <w:rFonts w:hint="eastAsia" w:ascii="仿宋" w:hAnsi="仿宋" w:eastAsia="仿宋" w:cs="仿宋"/>
                <w:kern w:val="2"/>
                <w:sz w:val="22"/>
                <w:szCs w:val="22"/>
                <w:lang w:val="en-US" w:eastAsia="zh-CN" w:bidi="ar"/>
              </w:rPr>
            </w:pPr>
            <w:r>
              <w:rPr>
                <w:rFonts w:hint="eastAsia" w:ascii="仿宋" w:hAnsi="仿宋" w:eastAsia="仿宋" w:cs="仿宋"/>
                <w:kern w:val="2"/>
                <w:sz w:val="22"/>
                <w:szCs w:val="22"/>
                <w:lang w:val="en-US" w:eastAsia="zh-CN" w:bidi="ar"/>
              </w:rPr>
              <w:t>依据《中华人民共和国土地管理法》第四十八条以及《湖南省自然资源厅 湖南省财政厅关于做好湖南省征收农用地区片综合地价调整工作的通知》，征收农用地区片综合地价应当至少每三年调整或重新公布一次。为保持征地补偿标准的现势性，使之与当地经济社会发展水平相适应，有效支撑武陵区征地补偿安置相关政策的实施，对被征收人给予公平、合理的补偿，维护被征收人的合法权益，保障被征地农民原有生活水平不降低、长远生计有保障，根据有关法律法规相关规定，对2026年武陵区征收农用地区片综合地价标准进行调整。</w:t>
            </w:r>
          </w:p>
          <w:p w14:paraId="6C57E4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440" w:firstLineChars="200"/>
              <w:jc w:val="left"/>
              <w:textAlignment w:val="auto"/>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重要提示：武陵区征收农用地区片综合地价内涵（征地补偿标准）仅包含土地补偿费和安置补助费两部分，不含青苗、地上建筑物、附着物补偿，以及被征地农民社会保障等其他费用。</w:t>
            </w:r>
          </w:p>
        </w:tc>
      </w:tr>
      <w:tr w14:paraId="692F0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9032" w:type="dxa"/>
            <w:gridSpan w:val="6"/>
            <w:vAlign w:val="center"/>
          </w:tcPr>
          <w:p w14:paraId="62109215">
            <w:pPr>
              <w:spacing w:line="240" w:lineRule="auto"/>
              <w:jc w:val="center"/>
              <w:rPr>
                <w:rFonts w:hint="default"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2026年武陵区征收农用地区片综合地价（征地补偿标准）调整方案</w:t>
            </w:r>
          </w:p>
        </w:tc>
      </w:tr>
      <w:tr w14:paraId="515AD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735" w:type="dxa"/>
            <w:vAlign w:val="center"/>
          </w:tcPr>
          <w:p w14:paraId="57B509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级别</w:t>
            </w:r>
          </w:p>
        </w:tc>
        <w:tc>
          <w:tcPr>
            <w:tcW w:w="5825" w:type="dxa"/>
            <w:gridSpan w:val="3"/>
            <w:vAlign w:val="center"/>
          </w:tcPr>
          <w:p w14:paraId="15B2DA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40" w:firstLineChars="200"/>
              <w:jc w:val="center"/>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区域范围</w:t>
            </w:r>
          </w:p>
        </w:tc>
        <w:tc>
          <w:tcPr>
            <w:tcW w:w="1236" w:type="dxa"/>
            <w:vAlign w:val="center"/>
          </w:tcPr>
          <w:p w14:paraId="06BBE8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right="0" w:rightChars="0"/>
              <w:jc w:val="center"/>
              <w:textAlignment w:val="auto"/>
              <w:rPr>
                <w:rFonts w:hint="eastAsia" w:ascii="仿宋" w:hAnsi="仿宋" w:eastAsia="仿宋" w:cs="仿宋"/>
                <w:kern w:val="2"/>
                <w:sz w:val="22"/>
                <w:szCs w:val="22"/>
                <w:lang w:val="en-US" w:eastAsia="zh-CN" w:bidi="ar"/>
              </w:rPr>
            </w:pPr>
            <w:r>
              <w:rPr>
                <w:rFonts w:hint="eastAsia" w:ascii="仿宋" w:hAnsi="仿宋" w:eastAsia="仿宋" w:cs="仿宋"/>
                <w:kern w:val="2"/>
                <w:sz w:val="22"/>
                <w:szCs w:val="22"/>
                <w:lang w:val="en-US" w:eastAsia="zh-CN" w:bidi="ar"/>
              </w:rPr>
              <w:t>调整后</w:t>
            </w:r>
          </w:p>
          <w:p w14:paraId="078371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right="0" w:rightChars="0"/>
              <w:jc w:val="center"/>
              <w:textAlignment w:val="auto"/>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补偿标准（元/亩）</w:t>
            </w:r>
          </w:p>
        </w:tc>
        <w:tc>
          <w:tcPr>
            <w:tcW w:w="1236" w:type="dxa"/>
            <w:vAlign w:val="center"/>
          </w:tcPr>
          <w:p w14:paraId="595985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right="0" w:rightChars="0"/>
              <w:jc w:val="center"/>
              <w:textAlignment w:val="auto"/>
              <w:rPr>
                <w:rFonts w:hint="eastAsia" w:ascii="仿宋" w:hAnsi="仿宋" w:eastAsia="仿宋" w:cs="仿宋"/>
                <w:kern w:val="2"/>
                <w:sz w:val="22"/>
                <w:szCs w:val="22"/>
                <w:lang w:val="en-US" w:eastAsia="zh-CN" w:bidi="ar"/>
              </w:rPr>
            </w:pPr>
            <w:r>
              <w:rPr>
                <w:rFonts w:hint="eastAsia" w:ascii="仿宋" w:hAnsi="仿宋" w:eastAsia="仿宋" w:cs="仿宋"/>
                <w:kern w:val="2"/>
                <w:sz w:val="22"/>
                <w:szCs w:val="22"/>
                <w:lang w:val="en-US" w:eastAsia="zh-CN" w:bidi="ar"/>
              </w:rPr>
              <w:t>调整前</w:t>
            </w:r>
          </w:p>
          <w:p w14:paraId="50ECF7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right="0" w:rightChars="0"/>
              <w:jc w:val="center"/>
              <w:textAlignment w:val="auto"/>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补偿标准（元/亩）</w:t>
            </w:r>
          </w:p>
        </w:tc>
      </w:tr>
      <w:tr w14:paraId="67115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35" w:type="dxa"/>
            <w:vMerge w:val="restart"/>
            <w:vAlign w:val="center"/>
          </w:tcPr>
          <w:p w14:paraId="0887CF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I区</w:t>
            </w:r>
          </w:p>
        </w:tc>
        <w:tc>
          <w:tcPr>
            <w:tcW w:w="5825" w:type="dxa"/>
            <w:gridSpan w:val="3"/>
            <w:vAlign w:val="center"/>
          </w:tcPr>
          <w:p w14:paraId="4CCF80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jc w:val="left"/>
              <w:textAlignment w:val="auto"/>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启明街道、府坪街道、穿紫河街道、丹阳街道、白马湖街道、永安街道、东江街道、长庚街道、南坪街道、芷兰街道、七里桥街道、芙蓉街道、河洑镇、丹洲乡</w:t>
            </w:r>
          </w:p>
        </w:tc>
        <w:tc>
          <w:tcPr>
            <w:tcW w:w="1236" w:type="dxa"/>
            <w:vMerge w:val="restart"/>
            <w:vAlign w:val="center"/>
          </w:tcPr>
          <w:p w14:paraId="61D175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rPr>
              <w:t>97000</w:t>
            </w:r>
          </w:p>
        </w:tc>
        <w:tc>
          <w:tcPr>
            <w:tcW w:w="1236" w:type="dxa"/>
            <w:vMerge w:val="restart"/>
            <w:vAlign w:val="center"/>
          </w:tcPr>
          <w:p w14:paraId="488DBC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rPr>
              <w:t>97000</w:t>
            </w:r>
          </w:p>
        </w:tc>
      </w:tr>
      <w:tr w14:paraId="3578E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35" w:type="dxa"/>
            <w:vMerge w:val="continue"/>
            <w:vAlign w:val="center"/>
          </w:tcPr>
          <w:p w14:paraId="6E1893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40" w:firstLineChars="200"/>
              <w:jc w:val="center"/>
              <w:rPr>
                <w:sz w:val="22"/>
                <w:szCs w:val="22"/>
              </w:rPr>
            </w:pPr>
          </w:p>
        </w:tc>
        <w:tc>
          <w:tcPr>
            <w:tcW w:w="5825" w:type="dxa"/>
            <w:gridSpan w:val="3"/>
            <w:vAlign w:val="center"/>
          </w:tcPr>
          <w:p w14:paraId="7E7EC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jc w:val="left"/>
              <w:textAlignment w:val="auto"/>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柳叶湖街道：岩子堰社区、万寿社区、双桥社区、泉水桥社区、花山社区、白石社区</w:t>
            </w:r>
          </w:p>
        </w:tc>
        <w:tc>
          <w:tcPr>
            <w:tcW w:w="1236" w:type="dxa"/>
            <w:vMerge w:val="continue"/>
            <w:vAlign w:val="center"/>
          </w:tcPr>
          <w:p w14:paraId="28858A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40" w:firstLineChars="200"/>
              <w:jc w:val="center"/>
              <w:rPr>
                <w:rFonts w:hint="eastAsia" w:ascii="方正仿宋_GB2312" w:hAnsi="方正仿宋_GB2312" w:eastAsia="方正仿宋_GB2312" w:cs="方正仿宋_GB2312"/>
                <w:sz w:val="22"/>
                <w:szCs w:val="22"/>
                <w:lang w:val="en-US" w:eastAsia="zh-CN"/>
              </w:rPr>
            </w:pPr>
          </w:p>
        </w:tc>
        <w:tc>
          <w:tcPr>
            <w:tcW w:w="1236" w:type="dxa"/>
            <w:vMerge w:val="continue"/>
            <w:vAlign w:val="center"/>
          </w:tcPr>
          <w:p w14:paraId="7A8AB7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40" w:firstLineChars="200"/>
              <w:jc w:val="center"/>
              <w:rPr>
                <w:rFonts w:hint="eastAsia" w:ascii="方正仿宋_GB2312" w:hAnsi="方正仿宋_GB2312" w:eastAsia="方正仿宋_GB2312" w:cs="方正仿宋_GB2312"/>
                <w:sz w:val="22"/>
                <w:szCs w:val="22"/>
                <w:lang w:val="en-US" w:eastAsia="zh-CN"/>
              </w:rPr>
            </w:pPr>
          </w:p>
        </w:tc>
      </w:tr>
      <w:tr w14:paraId="5D988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35" w:type="dxa"/>
            <w:vMerge w:val="continue"/>
            <w:vAlign w:val="center"/>
          </w:tcPr>
          <w:p w14:paraId="7729AD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40" w:firstLineChars="200"/>
              <w:jc w:val="center"/>
              <w:rPr>
                <w:rFonts w:hint="eastAsia" w:ascii="方正仿宋_GB2312" w:hAnsi="方正仿宋_GB2312" w:eastAsia="方正仿宋_GB2312" w:cs="方正仿宋_GB2312"/>
                <w:sz w:val="22"/>
                <w:szCs w:val="22"/>
                <w:lang w:val="en-US" w:eastAsia="zh-CN"/>
              </w:rPr>
            </w:pPr>
          </w:p>
        </w:tc>
        <w:tc>
          <w:tcPr>
            <w:tcW w:w="5825" w:type="dxa"/>
            <w:gridSpan w:val="3"/>
            <w:vAlign w:val="center"/>
          </w:tcPr>
          <w:p w14:paraId="5B3FCC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jc w:val="left"/>
              <w:textAlignment w:val="auto"/>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白鹤镇：万金障社区、东山社区、桃树岗社区、白鹤山社区、沾天湖社区、罗湾社区、月亮社区、太阳山社区、肖伍铺社区、郑家河社区、同德村、猴子巷村、同兴村</w:t>
            </w:r>
          </w:p>
        </w:tc>
        <w:tc>
          <w:tcPr>
            <w:tcW w:w="1236" w:type="dxa"/>
            <w:vMerge w:val="continue"/>
            <w:vAlign w:val="center"/>
          </w:tcPr>
          <w:p w14:paraId="4F38B8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40" w:firstLineChars="200"/>
              <w:jc w:val="center"/>
              <w:rPr>
                <w:rFonts w:hint="eastAsia" w:ascii="方正仿宋_GB2312" w:hAnsi="方正仿宋_GB2312" w:eastAsia="方正仿宋_GB2312" w:cs="方正仿宋_GB2312"/>
                <w:sz w:val="22"/>
                <w:szCs w:val="22"/>
                <w:lang w:val="en-US" w:eastAsia="zh-CN"/>
              </w:rPr>
            </w:pPr>
          </w:p>
        </w:tc>
        <w:tc>
          <w:tcPr>
            <w:tcW w:w="1236" w:type="dxa"/>
            <w:vMerge w:val="continue"/>
            <w:vAlign w:val="center"/>
          </w:tcPr>
          <w:p w14:paraId="3C28BD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40" w:firstLineChars="200"/>
              <w:jc w:val="center"/>
              <w:rPr>
                <w:rFonts w:hint="eastAsia" w:ascii="方正仿宋_GB2312" w:hAnsi="方正仿宋_GB2312" w:eastAsia="方正仿宋_GB2312" w:cs="方正仿宋_GB2312"/>
                <w:sz w:val="22"/>
                <w:szCs w:val="22"/>
                <w:lang w:val="en-US" w:eastAsia="zh-CN"/>
              </w:rPr>
            </w:pPr>
          </w:p>
        </w:tc>
      </w:tr>
      <w:tr w14:paraId="6C0BC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35" w:type="dxa"/>
            <w:vMerge w:val="continue"/>
            <w:vAlign w:val="center"/>
          </w:tcPr>
          <w:p w14:paraId="1C68D9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40" w:firstLineChars="200"/>
              <w:jc w:val="center"/>
              <w:rPr>
                <w:rFonts w:hint="eastAsia" w:ascii="方正仿宋_GB2312" w:hAnsi="方正仿宋_GB2312" w:eastAsia="方正仿宋_GB2312" w:cs="方正仿宋_GB2312"/>
                <w:sz w:val="22"/>
                <w:szCs w:val="22"/>
                <w:lang w:val="en-US" w:eastAsia="zh-CN"/>
              </w:rPr>
            </w:pPr>
          </w:p>
        </w:tc>
        <w:tc>
          <w:tcPr>
            <w:tcW w:w="5825" w:type="dxa"/>
            <w:gridSpan w:val="3"/>
            <w:vAlign w:val="center"/>
          </w:tcPr>
          <w:p w14:paraId="1C3F15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jc w:val="left"/>
              <w:textAlignment w:val="auto"/>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芦荻山乡：李白溪村、张家堰村、台家铺村、石公庙村、黄爱村、社木铺村、毛坪里村、蓼子坪村、岩栀子村、桑场社区、芦山社区、金狮堤社区、熊家坪社区</w:t>
            </w:r>
          </w:p>
        </w:tc>
        <w:tc>
          <w:tcPr>
            <w:tcW w:w="1236" w:type="dxa"/>
            <w:vMerge w:val="continue"/>
            <w:vAlign w:val="center"/>
          </w:tcPr>
          <w:p w14:paraId="0F28A3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40" w:firstLineChars="200"/>
              <w:jc w:val="center"/>
              <w:rPr>
                <w:rFonts w:hint="eastAsia" w:ascii="方正仿宋_GB2312" w:hAnsi="方正仿宋_GB2312" w:eastAsia="方正仿宋_GB2312" w:cs="方正仿宋_GB2312"/>
                <w:sz w:val="22"/>
                <w:szCs w:val="22"/>
                <w:lang w:val="en-US" w:eastAsia="zh-CN"/>
              </w:rPr>
            </w:pPr>
          </w:p>
        </w:tc>
        <w:tc>
          <w:tcPr>
            <w:tcW w:w="1236" w:type="dxa"/>
            <w:vMerge w:val="continue"/>
            <w:vAlign w:val="center"/>
          </w:tcPr>
          <w:p w14:paraId="3628AA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40" w:firstLineChars="200"/>
              <w:jc w:val="center"/>
              <w:rPr>
                <w:rFonts w:hint="eastAsia" w:ascii="方正仿宋_GB2312" w:hAnsi="方正仿宋_GB2312" w:eastAsia="方正仿宋_GB2312" w:cs="方正仿宋_GB2312"/>
                <w:sz w:val="22"/>
                <w:szCs w:val="22"/>
                <w:lang w:val="en-US" w:eastAsia="zh-CN"/>
              </w:rPr>
            </w:pPr>
          </w:p>
        </w:tc>
      </w:tr>
      <w:tr w14:paraId="7A3C1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35" w:type="dxa"/>
            <w:vMerge w:val="continue"/>
            <w:vAlign w:val="center"/>
          </w:tcPr>
          <w:p w14:paraId="062F65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40" w:firstLineChars="200"/>
              <w:jc w:val="center"/>
              <w:rPr>
                <w:rFonts w:hint="eastAsia" w:ascii="方正仿宋_GB2312" w:hAnsi="方正仿宋_GB2312" w:eastAsia="方正仿宋_GB2312" w:cs="方正仿宋_GB2312"/>
                <w:sz w:val="22"/>
                <w:szCs w:val="22"/>
                <w:lang w:val="en-US" w:eastAsia="zh-CN"/>
              </w:rPr>
            </w:pPr>
          </w:p>
        </w:tc>
        <w:tc>
          <w:tcPr>
            <w:tcW w:w="5825" w:type="dxa"/>
            <w:gridSpan w:val="3"/>
            <w:vAlign w:val="center"/>
          </w:tcPr>
          <w:p w14:paraId="279F4A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leftChars="0" w:right="0" w:rightChars="0"/>
              <w:jc w:val="left"/>
              <w:textAlignment w:val="auto"/>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农科所、白鹤镇渔场、东江乡渔场、老堤障渔场、南坪岗乡渔场、原武陵监狱万金障农场、万金公墓、毛家垱、柳叶湖、沾天湖、河洑林场</w:t>
            </w:r>
          </w:p>
        </w:tc>
        <w:tc>
          <w:tcPr>
            <w:tcW w:w="1236" w:type="dxa"/>
            <w:vMerge w:val="continue"/>
            <w:vAlign w:val="center"/>
          </w:tcPr>
          <w:p w14:paraId="763C78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40" w:firstLineChars="200"/>
              <w:jc w:val="center"/>
              <w:rPr>
                <w:rFonts w:hint="eastAsia" w:ascii="方正仿宋_GB2312" w:hAnsi="方正仿宋_GB2312" w:eastAsia="方正仿宋_GB2312" w:cs="方正仿宋_GB2312"/>
                <w:sz w:val="22"/>
                <w:szCs w:val="22"/>
                <w:lang w:val="en-US" w:eastAsia="zh-CN"/>
              </w:rPr>
            </w:pPr>
          </w:p>
        </w:tc>
        <w:tc>
          <w:tcPr>
            <w:tcW w:w="1236" w:type="dxa"/>
            <w:vMerge w:val="continue"/>
            <w:vAlign w:val="center"/>
          </w:tcPr>
          <w:p w14:paraId="19BF7E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40" w:firstLineChars="200"/>
              <w:jc w:val="center"/>
              <w:rPr>
                <w:rFonts w:hint="eastAsia" w:ascii="方正仿宋_GB2312" w:hAnsi="方正仿宋_GB2312" w:eastAsia="方正仿宋_GB2312" w:cs="方正仿宋_GB2312"/>
                <w:sz w:val="22"/>
                <w:szCs w:val="22"/>
                <w:lang w:val="en-US" w:eastAsia="zh-CN"/>
              </w:rPr>
            </w:pPr>
          </w:p>
        </w:tc>
      </w:tr>
      <w:tr w14:paraId="49AB7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35" w:type="dxa"/>
            <w:vMerge w:val="restart"/>
            <w:vAlign w:val="center"/>
          </w:tcPr>
          <w:p w14:paraId="699EEA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II区</w:t>
            </w:r>
          </w:p>
        </w:tc>
        <w:tc>
          <w:tcPr>
            <w:tcW w:w="5825" w:type="dxa"/>
            <w:gridSpan w:val="3"/>
            <w:vAlign w:val="center"/>
          </w:tcPr>
          <w:p w14:paraId="439665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德山街道、樟木桥街道</w:t>
            </w:r>
          </w:p>
        </w:tc>
        <w:tc>
          <w:tcPr>
            <w:tcW w:w="1236" w:type="dxa"/>
            <w:vMerge w:val="restart"/>
            <w:vAlign w:val="center"/>
          </w:tcPr>
          <w:p w14:paraId="011A6F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rPr>
              <w:t>85000</w:t>
            </w:r>
          </w:p>
        </w:tc>
        <w:tc>
          <w:tcPr>
            <w:tcW w:w="1236" w:type="dxa"/>
            <w:vMerge w:val="restart"/>
            <w:vAlign w:val="center"/>
          </w:tcPr>
          <w:p w14:paraId="7B0DFA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rPr>
              <w:t>85000</w:t>
            </w:r>
          </w:p>
        </w:tc>
      </w:tr>
      <w:tr w14:paraId="075EA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35" w:type="dxa"/>
            <w:vMerge w:val="continue"/>
            <w:vAlign w:val="center"/>
          </w:tcPr>
          <w:p w14:paraId="72D795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40" w:firstLineChars="200"/>
              <w:jc w:val="center"/>
              <w:rPr>
                <w:rFonts w:hint="eastAsia" w:ascii="方正仿宋_GB2312" w:hAnsi="方正仿宋_GB2312" w:eastAsia="方正仿宋_GB2312" w:cs="方正仿宋_GB2312"/>
                <w:sz w:val="22"/>
                <w:szCs w:val="22"/>
                <w:lang w:val="en-US" w:eastAsia="zh-CN"/>
              </w:rPr>
            </w:pPr>
          </w:p>
        </w:tc>
        <w:tc>
          <w:tcPr>
            <w:tcW w:w="5825" w:type="dxa"/>
            <w:gridSpan w:val="3"/>
            <w:vAlign w:val="center"/>
          </w:tcPr>
          <w:p w14:paraId="18BB9A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白鹤镇：梁山社区、同富桥村、卸甲洲村</w:t>
            </w:r>
          </w:p>
        </w:tc>
        <w:tc>
          <w:tcPr>
            <w:tcW w:w="1236" w:type="dxa"/>
            <w:vMerge w:val="continue"/>
            <w:vAlign w:val="center"/>
          </w:tcPr>
          <w:p w14:paraId="36A80A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40" w:firstLineChars="200"/>
              <w:jc w:val="center"/>
              <w:rPr>
                <w:rFonts w:hint="eastAsia" w:ascii="方正仿宋_GB2312" w:hAnsi="方正仿宋_GB2312" w:eastAsia="方正仿宋_GB2312" w:cs="方正仿宋_GB2312"/>
                <w:sz w:val="22"/>
                <w:szCs w:val="22"/>
                <w:lang w:val="en-US" w:eastAsia="zh-CN"/>
              </w:rPr>
            </w:pPr>
          </w:p>
        </w:tc>
        <w:tc>
          <w:tcPr>
            <w:tcW w:w="1236" w:type="dxa"/>
            <w:vMerge w:val="continue"/>
            <w:vAlign w:val="center"/>
          </w:tcPr>
          <w:p w14:paraId="64DAF0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40" w:firstLineChars="200"/>
              <w:jc w:val="center"/>
              <w:rPr>
                <w:rFonts w:hint="eastAsia" w:ascii="方正仿宋_GB2312" w:hAnsi="方正仿宋_GB2312" w:eastAsia="方正仿宋_GB2312" w:cs="方正仿宋_GB2312"/>
                <w:sz w:val="22"/>
                <w:szCs w:val="22"/>
                <w:lang w:val="en-US" w:eastAsia="zh-CN"/>
              </w:rPr>
            </w:pPr>
          </w:p>
        </w:tc>
      </w:tr>
      <w:tr w14:paraId="64F8D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35" w:type="dxa"/>
            <w:vMerge w:val="continue"/>
            <w:vAlign w:val="center"/>
          </w:tcPr>
          <w:p w14:paraId="164B24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40" w:firstLineChars="200"/>
              <w:jc w:val="center"/>
              <w:rPr>
                <w:rFonts w:hint="eastAsia" w:ascii="方正仿宋_GB2312" w:hAnsi="方正仿宋_GB2312" w:eastAsia="方正仿宋_GB2312" w:cs="方正仿宋_GB2312"/>
                <w:sz w:val="22"/>
                <w:szCs w:val="22"/>
                <w:lang w:val="en-US" w:eastAsia="zh-CN"/>
              </w:rPr>
            </w:pPr>
          </w:p>
        </w:tc>
        <w:tc>
          <w:tcPr>
            <w:tcW w:w="5825" w:type="dxa"/>
            <w:gridSpan w:val="3"/>
            <w:vAlign w:val="center"/>
          </w:tcPr>
          <w:p w14:paraId="37183E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芦荻山乡：苗儿港村、双往垱村、观音寺村、玉带桥村、大关庙村</w:t>
            </w:r>
          </w:p>
        </w:tc>
        <w:tc>
          <w:tcPr>
            <w:tcW w:w="1236" w:type="dxa"/>
            <w:vMerge w:val="continue"/>
            <w:vAlign w:val="center"/>
          </w:tcPr>
          <w:p w14:paraId="46CB68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40" w:firstLineChars="200"/>
              <w:jc w:val="center"/>
              <w:rPr>
                <w:rFonts w:hint="eastAsia" w:ascii="方正仿宋_GB2312" w:hAnsi="方正仿宋_GB2312" w:eastAsia="方正仿宋_GB2312" w:cs="方正仿宋_GB2312"/>
                <w:sz w:val="22"/>
                <w:szCs w:val="22"/>
                <w:lang w:val="en-US" w:eastAsia="zh-CN"/>
              </w:rPr>
            </w:pPr>
          </w:p>
        </w:tc>
        <w:tc>
          <w:tcPr>
            <w:tcW w:w="1236" w:type="dxa"/>
            <w:vMerge w:val="continue"/>
            <w:vAlign w:val="center"/>
          </w:tcPr>
          <w:p w14:paraId="2035E7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40" w:firstLineChars="200"/>
              <w:jc w:val="center"/>
              <w:rPr>
                <w:rFonts w:hint="eastAsia" w:ascii="方正仿宋_GB2312" w:hAnsi="方正仿宋_GB2312" w:eastAsia="方正仿宋_GB2312" w:cs="方正仿宋_GB2312"/>
                <w:sz w:val="22"/>
                <w:szCs w:val="22"/>
                <w:lang w:val="en-US" w:eastAsia="zh-CN"/>
              </w:rPr>
            </w:pPr>
          </w:p>
        </w:tc>
      </w:tr>
      <w:tr w14:paraId="5ECFB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35" w:type="dxa"/>
            <w:vMerge w:val="continue"/>
            <w:vAlign w:val="center"/>
          </w:tcPr>
          <w:p w14:paraId="60D931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40" w:firstLineChars="200"/>
              <w:jc w:val="center"/>
              <w:rPr>
                <w:rFonts w:hint="eastAsia" w:ascii="方正仿宋_GB2312" w:hAnsi="方正仿宋_GB2312" w:eastAsia="方正仿宋_GB2312" w:cs="方正仿宋_GB2312"/>
                <w:sz w:val="22"/>
                <w:szCs w:val="22"/>
                <w:lang w:val="en-US" w:eastAsia="zh-CN"/>
              </w:rPr>
            </w:pPr>
          </w:p>
        </w:tc>
        <w:tc>
          <w:tcPr>
            <w:tcW w:w="5825" w:type="dxa"/>
            <w:gridSpan w:val="3"/>
            <w:vAlign w:val="center"/>
          </w:tcPr>
          <w:p w14:paraId="51D9E7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德山森林公园、芦荻山乡渔场、红旗水库管理所、常德市林场</w:t>
            </w:r>
          </w:p>
        </w:tc>
        <w:tc>
          <w:tcPr>
            <w:tcW w:w="1236" w:type="dxa"/>
            <w:vMerge w:val="continue"/>
            <w:vAlign w:val="center"/>
          </w:tcPr>
          <w:p w14:paraId="74D1F6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40" w:firstLineChars="200"/>
              <w:jc w:val="center"/>
              <w:rPr>
                <w:rFonts w:hint="eastAsia" w:ascii="方正仿宋_GB2312" w:hAnsi="方正仿宋_GB2312" w:eastAsia="方正仿宋_GB2312" w:cs="方正仿宋_GB2312"/>
                <w:sz w:val="22"/>
                <w:szCs w:val="22"/>
                <w:lang w:val="en-US" w:eastAsia="zh-CN"/>
              </w:rPr>
            </w:pPr>
          </w:p>
        </w:tc>
        <w:tc>
          <w:tcPr>
            <w:tcW w:w="1236" w:type="dxa"/>
            <w:vMerge w:val="continue"/>
            <w:vAlign w:val="center"/>
          </w:tcPr>
          <w:p w14:paraId="35D0EF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40" w:firstLineChars="200"/>
              <w:jc w:val="center"/>
              <w:rPr>
                <w:rFonts w:hint="eastAsia" w:ascii="方正仿宋_GB2312" w:hAnsi="方正仿宋_GB2312" w:eastAsia="方正仿宋_GB2312" w:cs="方正仿宋_GB2312"/>
                <w:sz w:val="22"/>
                <w:szCs w:val="22"/>
                <w:lang w:val="en-US" w:eastAsia="zh-CN"/>
              </w:rPr>
            </w:pPr>
          </w:p>
        </w:tc>
      </w:tr>
      <w:tr w14:paraId="27F13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2" w:type="dxa"/>
            <w:gridSpan w:val="6"/>
            <w:vAlign w:val="center"/>
          </w:tcPr>
          <w:p w14:paraId="1DAF57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rPr>
                <w:rFonts w:hint="eastAsia" w:ascii="方正仿宋_GB2312" w:hAnsi="方正仿宋_GB2312" w:eastAsia="方正仿宋_GB2312" w:cs="方正仿宋_GB2312"/>
                <w:sz w:val="22"/>
                <w:szCs w:val="22"/>
                <w:lang w:val="en-US" w:eastAsia="zh-CN"/>
              </w:rPr>
            </w:pPr>
            <w:r>
              <w:rPr>
                <w:rFonts w:hint="eastAsia" w:ascii="仿宋" w:hAnsi="仿宋" w:eastAsia="仿宋" w:cs="仿宋"/>
                <w:kern w:val="2"/>
                <w:sz w:val="22"/>
                <w:szCs w:val="22"/>
                <w:lang w:val="en-US" w:eastAsia="zh-CN" w:bidi="ar"/>
              </w:rPr>
              <w:t>注：武陵区征地地类修正系数：旱地、园地0.84，林地0.67。</w:t>
            </w:r>
          </w:p>
        </w:tc>
      </w:tr>
      <w:tr w14:paraId="644CA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32" w:type="dxa"/>
            <w:gridSpan w:val="6"/>
            <w:vAlign w:val="center"/>
          </w:tcPr>
          <w:p w14:paraId="27226F1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b/>
                <w:bCs/>
                <w:sz w:val="22"/>
                <w:szCs w:val="22"/>
                <w:lang w:val="en-US" w:eastAsia="zh-CN"/>
              </w:rPr>
            </w:pPr>
            <w:r>
              <w:rPr>
                <w:rFonts w:hint="eastAsia" w:ascii="方正仿宋_GB2312" w:hAnsi="方正仿宋_GB2312" w:eastAsia="方正仿宋_GB2312" w:cs="方正仿宋_GB2312"/>
                <w:b/>
                <w:bCs/>
                <w:sz w:val="22"/>
                <w:szCs w:val="22"/>
                <w:lang w:val="en-US" w:eastAsia="zh-CN"/>
              </w:rPr>
              <w:t>1.您通过何种渠道了解本次区片综合地价调整工作？（可多选）?</w:t>
            </w:r>
          </w:p>
          <w:p w14:paraId="7CF5EAD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t>□政府正式文件/会议 □政府官网公示 □新闻媒体 □本次调查 □其他</w:t>
            </w:r>
          </w:p>
        </w:tc>
      </w:tr>
      <w:tr w14:paraId="34B13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2" w:type="dxa"/>
            <w:gridSpan w:val="6"/>
            <w:vAlign w:val="center"/>
          </w:tcPr>
          <w:p w14:paraId="60BB084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b/>
                <w:bCs/>
                <w:sz w:val="22"/>
                <w:szCs w:val="22"/>
                <w:lang w:val="en-US" w:eastAsia="zh-CN"/>
              </w:rPr>
            </w:pPr>
            <w:r>
              <w:rPr>
                <w:rFonts w:hint="eastAsia" w:ascii="方正仿宋_GB2312" w:hAnsi="方正仿宋_GB2312" w:eastAsia="方正仿宋_GB2312" w:cs="方正仿宋_GB2312"/>
                <w:b/>
                <w:bCs/>
                <w:sz w:val="22"/>
                <w:szCs w:val="22"/>
                <w:lang w:val="en-US" w:eastAsia="zh-CN"/>
              </w:rPr>
              <w:t>2.您对本次区片综合地价调整政策的了解程度？</w:t>
            </w:r>
          </w:p>
          <w:p w14:paraId="59FE201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t>□充分了解 □大致了解 □不了解</w:t>
            </w:r>
          </w:p>
        </w:tc>
      </w:tr>
      <w:tr w14:paraId="2C61B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2" w:type="dxa"/>
            <w:gridSpan w:val="6"/>
            <w:vAlign w:val="center"/>
          </w:tcPr>
          <w:p w14:paraId="22DE9C2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b/>
                <w:bCs/>
                <w:sz w:val="22"/>
                <w:szCs w:val="22"/>
                <w:lang w:val="en-US" w:eastAsia="zh-CN"/>
              </w:rPr>
            </w:pPr>
            <w:r>
              <w:rPr>
                <w:rFonts w:hint="eastAsia" w:ascii="方正仿宋_GB2312" w:hAnsi="方正仿宋_GB2312" w:eastAsia="方正仿宋_GB2312" w:cs="方正仿宋_GB2312"/>
                <w:b/>
                <w:bCs/>
                <w:sz w:val="22"/>
                <w:szCs w:val="22"/>
                <w:lang w:val="en-US" w:eastAsia="zh-CN"/>
              </w:rPr>
              <w:t>3.您认为本次区片综合地价调整方案是否契合本辖区经济、土地实际情况？</w:t>
            </w:r>
          </w:p>
          <w:p w14:paraId="25308A3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t>□符合 □部分不符合，理由：                                </w:t>
            </w:r>
          </w:p>
          <w:p w14:paraId="19C324B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t>□不符合，理由：                               □无法判断</w:t>
            </w:r>
          </w:p>
        </w:tc>
      </w:tr>
      <w:tr w14:paraId="4ED7F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2" w:type="dxa"/>
            <w:gridSpan w:val="6"/>
            <w:vAlign w:val="center"/>
          </w:tcPr>
          <w:p w14:paraId="65CF9FB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b/>
                <w:bCs/>
                <w:sz w:val="22"/>
                <w:szCs w:val="22"/>
                <w:lang w:val="en-US" w:eastAsia="zh-CN"/>
              </w:rPr>
            </w:pPr>
            <w:r>
              <w:rPr>
                <w:rFonts w:hint="eastAsia" w:ascii="方正仿宋_GB2312" w:hAnsi="方正仿宋_GB2312" w:eastAsia="方正仿宋_GB2312" w:cs="方正仿宋_GB2312"/>
                <w:b/>
                <w:bCs/>
                <w:sz w:val="22"/>
                <w:szCs w:val="22"/>
                <w:lang w:val="en-US" w:eastAsia="zh-CN"/>
              </w:rPr>
              <w:t>4.对于本次区片综合地价调整，您最担心哪方面的问题？</w:t>
            </w:r>
          </w:p>
          <w:p w14:paraId="13D7E5F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 xml:space="preserve">补偿标准降低   </w:t>
            </w: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 xml:space="preserve">区片之间补偿标准差异过大   </w:t>
            </w: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 xml:space="preserve">政策程序的合法性    </w:t>
            </w:r>
          </w:p>
          <w:p w14:paraId="47019F8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其他：</w:t>
            </w:r>
          </w:p>
        </w:tc>
      </w:tr>
      <w:tr w14:paraId="70D61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2" w:type="dxa"/>
            <w:gridSpan w:val="6"/>
            <w:vAlign w:val="center"/>
          </w:tcPr>
          <w:p w14:paraId="6E1AF8A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b/>
                <w:bCs/>
                <w:sz w:val="22"/>
                <w:szCs w:val="22"/>
                <w:lang w:val="en-US" w:eastAsia="zh-CN"/>
              </w:rPr>
            </w:pPr>
            <w:r>
              <w:rPr>
                <w:rFonts w:hint="eastAsia" w:ascii="方正仿宋_GB2312" w:hAnsi="方正仿宋_GB2312" w:eastAsia="方正仿宋_GB2312" w:cs="方正仿宋_GB2312"/>
                <w:b/>
                <w:bCs/>
                <w:sz w:val="22"/>
                <w:szCs w:val="22"/>
                <w:lang w:val="en-US" w:eastAsia="zh-CN"/>
              </w:rPr>
              <w:t>5.您认为本项目的实施对当地经济发展和社会生活的作用如何？</w:t>
            </w:r>
          </w:p>
          <w:p w14:paraId="02B9983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 xml:space="preserve">积极作用    </w:t>
            </w: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 xml:space="preserve">作用一般    </w:t>
            </w: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作用很小</w:t>
            </w:r>
          </w:p>
        </w:tc>
      </w:tr>
      <w:tr w14:paraId="1B556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2" w:type="dxa"/>
            <w:gridSpan w:val="6"/>
            <w:vAlign w:val="center"/>
          </w:tcPr>
          <w:p w14:paraId="61D4381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b/>
                <w:bCs/>
                <w:sz w:val="22"/>
                <w:szCs w:val="22"/>
                <w:lang w:val="en-US" w:eastAsia="zh-CN"/>
              </w:rPr>
            </w:pPr>
            <w:r>
              <w:rPr>
                <w:rFonts w:hint="eastAsia" w:ascii="方正仿宋_GB2312" w:hAnsi="方正仿宋_GB2312" w:eastAsia="方正仿宋_GB2312" w:cs="方正仿宋_GB2312"/>
                <w:b/>
                <w:bCs/>
                <w:sz w:val="22"/>
                <w:szCs w:val="22"/>
                <w:lang w:val="en-US" w:eastAsia="zh-CN"/>
              </w:rPr>
              <w:t>6.您认为本次调整在实施过程中，哪些方面最容易引发社会稳定风险？（可多选）</w:t>
            </w:r>
          </w:p>
          <w:p w14:paraId="1D67546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 xml:space="preserve">地价标准不合理   </w:t>
            </w: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 xml:space="preserve">公众参与度不够   </w:t>
            </w: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 xml:space="preserve">经济社会影响性    </w:t>
            </w: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媒体舆论导向</w:t>
            </w:r>
          </w:p>
          <w:p w14:paraId="2BDD548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其他：</w:t>
            </w:r>
          </w:p>
        </w:tc>
      </w:tr>
      <w:tr w14:paraId="1AF83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2" w:type="dxa"/>
            <w:gridSpan w:val="6"/>
            <w:vAlign w:val="center"/>
          </w:tcPr>
          <w:p w14:paraId="4A2D720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b/>
                <w:bCs/>
                <w:sz w:val="22"/>
                <w:szCs w:val="22"/>
                <w:lang w:val="en-US" w:eastAsia="zh-CN"/>
              </w:rPr>
            </w:pPr>
            <w:r>
              <w:rPr>
                <w:rFonts w:hint="eastAsia" w:ascii="方正仿宋_GB2312" w:hAnsi="方正仿宋_GB2312" w:eastAsia="方正仿宋_GB2312" w:cs="方正仿宋_GB2312"/>
                <w:b/>
                <w:bCs/>
                <w:sz w:val="22"/>
                <w:szCs w:val="22"/>
                <w:lang w:val="en-US" w:eastAsia="zh-CN"/>
              </w:rPr>
              <w:t>7.您对本项目实施的支持情况？</w:t>
            </w:r>
          </w:p>
          <w:p w14:paraId="1D9C880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 xml:space="preserve">支持    </w:t>
            </w: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 xml:space="preserve">不表态    </w:t>
            </w:r>
            <w:r>
              <w:rPr>
                <w:rFonts w:hint="eastAsia" w:ascii="方正仿宋_GB2312" w:hAnsi="方正仿宋_GB2312" w:eastAsia="方正仿宋_GB2312" w:cs="方正仿宋_GB2312"/>
                <w:sz w:val="22"/>
                <w:szCs w:val="22"/>
                <w:lang w:val="en-US" w:eastAsia="zh-CN"/>
              </w:rPr>
              <w:sym w:font="Wingdings 2" w:char="00A3"/>
            </w:r>
            <w:r>
              <w:rPr>
                <w:rFonts w:hint="eastAsia" w:ascii="方正仿宋_GB2312" w:hAnsi="方正仿宋_GB2312" w:eastAsia="方正仿宋_GB2312" w:cs="方正仿宋_GB2312"/>
                <w:sz w:val="22"/>
                <w:szCs w:val="22"/>
                <w:lang w:val="en-US" w:eastAsia="zh-CN"/>
              </w:rPr>
              <w:t>不支持  不支持理由：</w:t>
            </w:r>
          </w:p>
        </w:tc>
      </w:tr>
      <w:tr w14:paraId="222D4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032" w:type="dxa"/>
            <w:gridSpan w:val="6"/>
            <w:vAlign w:val="center"/>
          </w:tcPr>
          <w:p w14:paraId="6DAB8F8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b/>
                <w:bCs/>
                <w:sz w:val="22"/>
                <w:szCs w:val="22"/>
                <w:lang w:val="en-US" w:eastAsia="zh-CN"/>
              </w:rPr>
            </w:pPr>
            <w:r>
              <w:rPr>
                <w:rFonts w:hint="eastAsia" w:ascii="方正仿宋_GB2312" w:hAnsi="方正仿宋_GB2312" w:eastAsia="方正仿宋_GB2312" w:cs="方正仿宋_GB2312"/>
                <w:b/>
                <w:bCs/>
                <w:sz w:val="22"/>
                <w:szCs w:val="22"/>
                <w:lang w:val="en-US" w:eastAsia="zh-CN"/>
              </w:rPr>
              <w:t>8、</w:t>
            </w:r>
            <w:r>
              <w:rPr>
                <w:rFonts w:hint="eastAsia" w:ascii="仿宋" w:hAnsi="仿宋" w:eastAsia="仿宋" w:cs="仿宋"/>
                <w:b/>
                <w:bCs/>
                <w:sz w:val="22"/>
                <w:szCs w:val="22"/>
                <w:lang w:val="en-US" w:eastAsia="zh-CN"/>
              </w:rPr>
              <w:t>您对本次调整方案的建议或意见：</w:t>
            </w:r>
          </w:p>
          <w:p w14:paraId="33DCD1B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2312" w:hAnsi="方正仿宋_GB2312" w:eastAsia="方正仿宋_GB2312" w:cs="方正仿宋_GB2312"/>
                <w:sz w:val="22"/>
                <w:szCs w:val="22"/>
                <w:lang w:val="en-US" w:eastAsia="zh-CN"/>
              </w:rPr>
            </w:pPr>
          </w:p>
        </w:tc>
      </w:tr>
    </w:tbl>
    <w:p w14:paraId="69A2283D">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right"/>
        <w:textAlignment w:val="auto"/>
        <w:rPr>
          <w:rFonts w:hint="eastAsia" w:ascii="方正仿宋_GB2312" w:hAnsi="方正仿宋_GB2312" w:eastAsia="方正仿宋_GB2312" w:cs="方正仿宋_GB2312"/>
          <w:sz w:val="24"/>
          <w:szCs w:val="24"/>
          <w:lang w:val="en-US" w:eastAsia="zh-CN"/>
        </w:rPr>
      </w:pPr>
    </w:p>
    <w:p w14:paraId="09298B3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right"/>
        <w:textAlignment w:val="auto"/>
        <w:rPr>
          <w:rFonts w:hint="default" w:ascii="Times New Roman" w:hAnsi="Times New Roman" w:eastAsia="华文仿宋" w:cs="Times New Roman"/>
          <w:b w:val="0"/>
          <w:bCs w:val="0"/>
          <w:sz w:val="28"/>
          <w:szCs w:val="36"/>
          <w:lang w:eastAsia="zh-CN"/>
        </w:rPr>
      </w:pPr>
      <w:r>
        <w:rPr>
          <w:rFonts w:hint="eastAsia" w:ascii="方正仿宋_GB2312" w:hAnsi="方正仿宋_GB2312" w:eastAsia="方正仿宋_GB2312" w:cs="方正仿宋_GB2312"/>
          <w:sz w:val="24"/>
          <w:szCs w:val="24"/>
          <w:lang w:val="en-US" w:eastAsia="zh-CN"/>
        </w:rPr>
        <w:t>调查时间：2026年   月    日</w:t>
      </w:r>
      <w:r>
        <w:rPr>
          <w:rFonts w:hint="default" w:ascii="Times New Roman" w:hAnsi="Times New Roman" w:eastAsia="华文仿宋" w:cs="Times New Roman"/>
          <w:b w:val="0"/>
          <w:bCs w:val="0"/>
          <w:sz w:val="28"/>
          <w:szCs w:val="36"/>
          <w:lang w:eastAsia="zh-CN"/>
        </w:rPr>
        <w:tab/>
      </w:r>
    </w:p>
    <w:p w14:paraId="6A4291A4"/>
    <w:sectPr>
      <w:pgSz w:w="11906" w:h="16838"/>
      <w:pgMar w:top="1587" w:right="1587" w:bottom="1587"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5E7A4F87-46CE-4B40-B0DC-027A38D952DF}"/>
  </w:font>
  <w:font w:name="方正小标宋_GBK">
    <w:panose1 w:val="02000000000000000000"/>
    <w:charset w:val="86"/>
    <w:family w:val="auto"/>
    <w:pitch w:val="default"/>
    <w:sig w:usb0="A00002BF" w:usb1="38CF7CFA" w:usb2="00082016" w:usb3="00000000" w:csb0="00040001" w:csb1="00000000"/>
    <w:embedRegular r:id="rId2" w:fontKey="{E47C2E62-553E-4DE2-A319-72E3B88AD258}"/>
  </w:font>
  <w:font w:name="方正仿宋_GB2312">
    <w:altName w:val="仿宋"/>
    <w:panose1 w:val="02000000000000000000"/>
    <w:charset w:val="86"/>
    <w:family w:val="auto"/>
    <w:pitch w:val="default"/>
    <w:sig w:usb0="00000000" w:usb1="00000000" w:usb2="00000012" w:usb3="00000000" w:csb0="00040001" w:csb1="00000000"/>
    <w:embedRegular r:id="rId3" w:fontKey="{D5BD19E0-F42C-4A9C-92BA-43A61A38B721}"/>
  </w:font>
  <w:font w:name="仿宋">
    <w:panose1 w:val="02010609060101010101"/>
    <w:charset w:val="86"/>
    <w:family w:val="auto"/>
    <w:pitch w:val="default"/>
    <w:sig w:usb0="800002BF" w:usb1="38CF7CFA" w:usb2="00000016" w:usb3="00000000" w:csb0="00040001" w:csb1="00000000"/>
    <w:embedRegular r:id="rId4" w:fontKey="{EE989138-2970-414B-8224-3A7AF5D6E0A7}"/>
  </w:font>
  <w:font w:name="Wingdings 2">
    <w:altName w:val="Wingdings"/>
    <w:panose1 w:val="05020102010507070707"/>
    <w:charset w:val="00"/>
    <w:family w:val="auto"/>
    <w:pitch w:val="default"/>
    <w:sig w:usb0="00000000" w:usb1="00000000" w:usb2="00000000" w:usb3="00000000" w:csb0="80000000" w:csb1="00000000"/>
    <w:embedRegular r:id="rId5" w:fontKey="{5F67514A-BD30-4E16-8529-C365CEF3F2A6}"/>
  </w:font>
  <w:font w:name="华文仿宋">
    <w:altName w:val="仿宋"/>
    <w:panose1 w:val="02010600040101010101"/>
    <w:charset w:val="86"/>
    <w:family w:val="auto"/>
    <w:pitch w:val="default"/>
    <w:sig w:usb0="00000000" w:usb1="00000000" w:usb2="00000000" w:usb3="00000000" w:csb0="0004009F" w:csb1="DFD70000"/>
    <w:embedRegular r:id="rId6" w:fontKey="{BD568D4E-0949-4B44-9CB1-FB3E0746513C}"/>
  </w:font>
  <w:font w:name="Kingsoft UE">
    <w:panose1 w:val="02000100010000000000"/>
    <w:charset w:val="00"/>
    <w:family w:val="auto"/>
    <w:pitch w:val="default"/>
    <w:sig w:usb0="00000001" w:usb1="00004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590CC5"/>
    <w:rsid w:val="42590C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Indent"/>
    <w:basedOn w:val="1"/>
    <w:qFormat/>
    <w:uiPriority w:val="0"/>
    <w:pPr>
      <w:spacing w:after="120" w:afterLines="0" w:afterAutospacing="0"/>
      <w:ind w:left="420" w:leftChars="200"/>
    </w:pPr>
  </w:style>
  <w:style w:type="paragraph" w:styleId="3">
    <w:name w:val="Body Text First Indent 2"/>
    <w:basedOn w:val="2"/>
    <w:next w:val="1"/>
    <w:qFormat/>
    <w:uiPriority w:val="0"/>
    <w:pPr>
      <w:ind w:firstLine="420" w:firstLineChars="200"/>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2026-09-24T02:36:00Z</dcterms:created>
  <dc:creator>KKTT</dc:creator>
  <cp:lastModifiedBy>KKTT</cp:lastModifiedBy>
  <dcterms:modified xsi:type="dcterms:W3CDTF">2026-09-24T02:36:49Z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546FFB03A7D44960AEAA57526B82238D_11</vt:lpwstr>
  </property>
  <property fmtid="{D5CDD505-2E9C-101B-9397-08002B2CF9AE}" pid="4" name="KSOTemplateDocerSaveRecord">
    <vt:lpwstr>eyJoZGlkIjoiN2RiYWM1NWNlYmM1MmJhNGMwZDZhOWU4Yzc3MDA4N2QiLCJ1c2VySWQiOiI0MzY1MDc2MzkifQ==</vt:lpwstr>
  </property>
</Properties>
</file>